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5F2B0F" w:rsidRDefault="00C2256B" w:rsidP="006615D9">
      <w:pPr>
        <w:jc w:val="center"/>
        <w:rPr>
          <w:rFonts w:cs="Arial"/>
          <w:b/>
          <w:sz w:val="16"/>
          <w:szCs w:val="16"/>
        </w:rPr>
      </w:pPr>
      <w:r w:rsidRPr="005F2B0F">
        <w:rPr>
          <w:rFonts w:cs="Arial"/>
          <w:b/>
          <w:sz w:val="16"/>
          <w:szCs w:val="16"/>
        </w:rPr>
        <w:t xml:space="preserve"> </w:t>
      </w:r>
      <w:r w:rsidR="00A0735B" w:rsidRPr="005F2B0F">
        <w:rPr>
          <w:rFonts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5F2B0F" w:rsidRPr="005F2B0F" w:rsidRDefault="005F2B0F" w:rsidP="006615D9">
      <w:pPr>
        <w:jc w:val="center"/>
        <w:rPr>
          <w:rFonts w:cs="Arial"/>
          <w:b/>
          <w:sz w:val="16"/>
          <w:szCs w:val="16"/>
        </w:rPr>
      </w:pP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5F2B0F">
      <w:pPr>
        <w:tabs>
          <w:tab w:val="right" w:pos="8931"/>
        </w:tabs>
        <w:rPr>
          <w:rFonts w:ascii="Book Antiqua" w:hAnsi="Book Antiqua"/>
        </w:rPr>
      </w:pPr>
      <w:r w:rsidRPr="00933B67">
        <w:rPr>
          <w:rFonts w:ascii="Book Antiqua" w:hAnsi="Book Antiqua"/>
        </w:rPr>
        <w:t>(Immigration and Asylum Chamber)</w:t>
      </w:r>
      <w:r w:rsidR="005F2B0F">
        <w:rPr>
          <w:rFonts w:ascii="Book Antiqua" w:hAnsi="Book Antiqua"/>
        </w:rPr>
        <w:tab/>
      </w:r>
      <w:r w:rsidRPr="00933B67">
        <w:rPr>
          <w:rFonts w:ascii="Book Antiqua" w:hAnsi="Book Antiqua"/>
        </w:rPr>
        <w:t>Appeal Number</w:t>
      </w:r>
      <w:r w:rsidR="008E3281" w:rsidRPr="00933B67">
        <w:rPr>
          <w:rFonts w:ascii="Book Antiqua" w:hAnsi="Book Antiqua"/>
        </w:rPr>
        <w:t>:</w:t>
      </w:r>
      <w:r w:rsidR="008E3281">
        <w:rPr>
          <w:rFonts w:ascii="Book Antiqua" w:hAnsi="Book Antiqua"/>
        </w:rPr>
        <w:t xml:space="preserve"> </w:t>
      </w:r>
      <w:bookmarkStart w:id="0" w:name="_Hlk514061246"/>
      <w:bookmarkStart w:id="1" w:name="_GoBack"/>
      <w:r w:rsidR="008E3281">
        <w:rPr>
          <w:rFonts w:ascii="Book Antiqua" w:hAnsi="Book Antiqua"/>
        </w:rPr>
        <w:t>IA</w:t>
      </w:r>
      <w:r w:rsidR="00DB177C">
        <w:rPr>
          <w:rFonts w:ascii="Book Antiqua" w:hAnsi="Book Antiqua"/>
        </w:rPr>
        <w:t>/01467/2016</w:t>
      </w:r>
      <w:bookmarkEnd w:id="0"/>
      <w:bookmarkEnd w:id="1"/>
    </w:p>
    <w:p w:rsidR="005F2B0F" w:rsidRDefault="005F2B0F" w:rsidP="00933B67">
      <w:pPr>
        <w:jc w:val="center"/>
        <w:rPr>
          <w:rFonts w:ascii="Book Antiqua" w:hAnsi="Book Antiqua"/>
          <w:u w:val="single"/>
        </w:rPr>
      </w:pPr>
    </w:p>
    <w:p w:rsidR="005F2B0F" w:rsidRDefault="005F2B0F" w:rsidP="00933B67">
      <w:pPr>
        <w:jc w:val="center"/>
        <w:rPr>
          <w:rFonts w:ascii="Book Antiqua" w:hAnsi="Book Antiqua"/>
          <w:u w:val="single"/>
        </w:rPr>
      </w:pPr>
    </w:p>
    <w:p w:rsidR="009E598F" w:rsidRDefault="009E598F" w:rsidP="00933B67">
      <w:pPr>
        <w:jc w:val="center"/>
        <w:rPr>
          <w:rFonts w:ascii="Book Antiqua" w:hAnsi="Book Antiqua"/>
          <w:u w:val="single"/>
        </w:rPr>
      </w:pPr>
      <w:r w:rsidRPr="00933B67">
        <w:rPr>
          <w:rFonts w:ascii="Book Antiqua" w:hAnsi="Book Antiqua"/>
          <w:u w:val="single"/>
        </w:rPr>
        <w:t xml:space="preserve"> IMMIGRATION ACTS</w:t>
      </w:r>
    </w:p>
    <w:p w:rsidR="005F2B0F" w:rsidRDefault="005F2B0F" w:rsidP="00933B67">
      <w:pPr>
        <w:jc w:val="center"/>
        <w:rPr>
          <w:rFonts w:ascii="Book Antiqua" w:hAnsi="Book Antiqua"/>
          <w:u w:val="single"/>
        </w:rPr>
      </w:pPr>
    </w:p>
    <w:p w:rsidR="005F2B0F" w:rsidRPr="00933B67" w:rsidRDefault="005F2B0F" w:rsidP="00933B67">
      <w:pPr>
        <w:jc w:val="center"/>
        <w:rPr>
          <w:rFonts w:ascii="Book Antiqua" w:hAnsi="Book Antiqua"/>
          <w:u w:val="single"/>
        </w:rPr>
      </w:pPr>
    </w:p>
    <w:p w:rsidR="00933B67" w:rsidRDefault="009E598F" w:rsidP="00A0735B">
      <w:pPr>
        <w:rPr>
          <w:rFonts w:ascii="Book Antiqua" w:hAnsi="Book Antiqua"/>
        </w:rPr>
      </w:pPr>
      <w:r w:rsidRPr="00933B67">
        <w:rPr>
          <w:rFonts w:ascii="Book Antiqua" w:hAnsi="Book Antiqua"/>
        </w:rPr>
        <w:t xml:space="preserve">Heard at </w:t>
      </w:r>
      <w:r w:rsidR="0081737B">
        <w:rPr>
          <w:rFonts w:ascii="Book Antiqua" w:hAnsi="Book Antiqua"/>
        </w:rPr>
        <w:t>Field House</w:t>
      </w:r>
      <w:r w:rsidRPr="00933B67">
        <w:rPr>
          <w:rFonts w:ascii="Book Antiqua" w:hAnsi="Book Antiqua"/>
        </w:rPr>
        <w:t xml:space="preserve"> </w:t>
      </w:r>
      <w:r w:rsidR="00A0735B">
        <w:rPr>
          <w:rFonts w:ascii="Book Antiqua" w:hAnsi="Book Antiqua"/>
        </w:rPr>
        <w:t xml:space="preserve">                                         Decision &amp; Reasons Promulgated</w:t>
      </w:r>
    </w:p>
    <w:p w:rsidR="009E598F" w:rsidRDefault="00933B67" w:rsidP="00A0735B">
      <w:pPr>
        <w:rPr>
          <w:rFonts w:ascii="Book Antiqua" w:hAnsi="Book Antiqua"/>
        </w:rPr>
      </w:pPr>
      <w:r>
        <w:rPr>
          <w:rFonts w:ascii="Book Antiqua" w:hAnsi="Book Antiqua"/>
        </w:rPr>
        <w:t>O</w:t>
      </w:r>
      <w:r w:rsidR="009E598F" w:rsidRPr="00933B67">
        <w:rPr>
          <w:rFonts w:ascii="Book Antiqua" w:hAnsi="Book Antiqua"/>
        </w:rPr>
        <w:t xml:space="preserve">n </w:t>
      </w:r>
      <w:r w:rsidR="0081737B">
        <w:rPr>
          <w:rFonts w:ascii="Book Antiqua" w:hAnsi="Book Antiqua"/>
        </w:rPr>
        <w:t>5</w:t>
      </w:r>
      <w:r w:rsidR="0081737B" w:rsidRPr="0081737B">
        <w:rPr>
          <w:rFonts w:ascii="Book Antiqua" w:hAnsi="Book Antiqua"/>
          <w:vertAlign w:val="superscript"/>
        </w:rPr>
        <w:t>th</w:t>
      </w:r>
      <w:r w:rsidR="0081737B">
        <w:rPr>
          <w:rFonts w:ascii="Book Antiqua" w:hAnsi="Book Antiqua"/>
        </w:rPr>
        <w:t xml:space="preserve"> </w:t>
      </w:r>
      <w:r w:rsidR="008E3281">
        <w:rPr>
          <w:rFonts w:ascii="Book Antiqua" w:hAnsi="Book Antiqua"/>
        </w:rPr>
        <w:t>March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0A7ACD">
        <w:rPr>
          <w:rFonts w:ascii="Book Antiqua" w:hAnsi="Book Antiqua"/>
        </w:rPr>
        <w:t xml:space="preserve"> </w:t>
      </w:r>
      <w:r w:rsidR="00A0735B">
        <w:rPr>
          <w:rFonts w:ascii="Book Antiqua" w:hAnsi="Book Antiqua"/>
        </w:rPr>
        <w:t xml:space="preserve">                     On 15</w:t>
      </w:r>
      <w:r w:rsidR="00A0735B" w:rsidRPr="00A0735B">
        <w:rPr>
          <w:rFonts w:ascii="Book Antiqua" w:hAnsi="Book Antiqua"/>
          <w:vertAlign w:val="superscript"/>
        </w:rPr>
        <w:t>th</w:t>
      </w:r>
      <w:r w:rsidR="00A0735B">
        <w:rPr>
          <w:rFonts w:ascii="Book Antiqua" w:hAnsi="Book Antiqua"/>
        </w:rPr>
        <w:t xml:space="preserve"> May 2018</w:t>
      </w:r>
    </w:p>
    <w:p w:rsidR="005F2B0F" w:rsidRDefault="000A7ACD" w:rsidP="00694A5F">
      <w:pPr>
        <w:rPr>
          <w:rFonts w:ascii="Book Antiqua" w:hAnsi="Book Antiqua"/>
        </w:rPr>
      </w:pPr>
      <w:r>
        <w:rPr>
          <w:rFonts w:ascii="Book Antiqua" w:hAnsi="Book Antiqua"/>
        </w:rPr>
        <w:t xml:space="preserve">                                                                                     </w:t>
      </w:r>
    </w:p>
    <w:p w:rsidR="000A7ACD" w:rsidRPr="00933B67" w:rsidRDefault="000A7ACD" w:rsidP="00694A5F">
      <w:pPr>
        <w:rPr>
          <w:rFonts w:ascii="Book Antiqua" w:hAnsi="Book Antiqua"/>
        </w:rPr>
      </w:pPr>
      <w:r>
        <w:rPr>
          <w:rFonts w:ascii="Book Antiqua" w:hAnsi="Book Antiqua"/>
        </w:rPr>
        <w:t xml:space="preserve">               </w:t>
      </w:r>
    </w:p>
    <w:p w:rsidR="009E598F" w:rsidRDefault="009E598F" w:rsidP="00784C42">
      <w:pPr>
        <w:jc w:val="center"/>
        <w:rPr>
          <w:rFonts w:ascii="Book Antiqua" w:hAnsi="Book Antiqua"/>
        </w:rPr>
      </w:pPr>
      <w:r w:rsidRPr="00933B67">
        <w:rPr>
          <w:rFonts w:ascii="Book Antiqua" w:hAnsi="Book Antiqua"/>
        </w:rPr>
        <w:t>Before</w:t>
      </w:r>
    </w:p>
    <w:p w:rsidR="005F2B0F" w:rsidRDefault="005F2B0F" w:rsidP="00784C42">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rsidR="005F2B0F" w:rsidRDefault="005F2B0F" w:rsidP="00933B67">
      <w:pPr>
        <w:jc w:val="center"/>
        <w:rPr>
          <w:rFonts w:ascii="Book Antiqua" w:hAnsi="Book Antiqua"/>
        </w:rPr>
      </w:pPr>
    </w:p>
    <w:p w:rsidR="005F2B0F" w:rsidRDefault="005F2B0F"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5F2B0F" w:rsidRPr="00933B67" w:rsidRDefault="005F2B0F" w:rsidP="00933B67">
      <w:pPr>
        <w:jc w:val="center"/>
        <w:rPr>
          <w:rFonts w:ascii="Book Antiqua" w:hAnsi="Book Antiqua"/>
        </w:rPr>
      </w:pPr>
    </w:p>
    <w:p w:rsidR="00DB177C" w:rsidRDefault="00364E9A" w:rsidP="00933B67">
      <w:pPr>
        <w:jc w:val="center"/>
        <w:rPr>
          <w:rFonts w:ascii="Book Antiqua" w:hAnsi="Book Antiqua"/>
        </w:rPr>
      </w:pPr>
      <w:r>
        <w:rPr>
          <w:rFonts w:ascii="Book Antiqua" w:hAnsi="Book Antiqua"/>
        </w:rPr>
        <w:t>M</w:t>
      </w:r>
      <w:r w:rsidR="00A26E59">
        <w:rPr>
          <w:rFonts w:ascii="Book Antiqua" w:hAnsi="Book Antiqua"/>
        </w:rPr>
        <w:t>rs U</w:t>
      </w:r>
      <w:r w:rsidR="005F2B0F">
        <w:rPr>
          <w:rFonts w:ascii="Book Antiqua" w:hAnsi="Book Antiqua"/>
        </w:rPr>
        <w:t>.</w:t>
      </w:r>
      <w:r w:rsidR="00A26E59">
        <w:rPr>
          <w:rFonts w:ascii="Book Antiqua" w:hAnsi="Book Antiqua"/>
        </w:rPr>
        <w:t xml:space="preserve"> K</w:t>
      </w:r>
      <w:r w:rsidR="005F2B0F">
        <w:rPr>
          <w:rFonts w:ascii="Book Antiqua" w:hAnsi="Book Antiqua"/>
        </w:rPr>
        <w:t>.</w:t>
      </w:r>
      <w:r w:rsidR="00A26E59">
        <w:rPr>
          <w:rFonts w:ascii="Book Antiqua" w:hAnsi="Book Antiqua"/>
        </w:rPr>
        <w:t xml:space="preserve"> BHOJAK</w:t>
      </w:r>
    </w:p>
    <w:p w:rsidR="009E598F" w:rsidRPr="00933B67" w:rsidRDefault="00D0324C" w:rsidP="00933B67">
      <w:pPr>
        <w:jc w:val="center"/>
        <w:rPr>
          <w:rFonts w:ascii="Book Antiqua" w:hAnsi="Book Antiqua"/>
        </w:rPr>
      </w:pPr>
      <w:r w:rsidRPr="00933B67">
        <w:rPr>
          <w:rFonts w:ascii="Book Antiqua" w:hAnsi="Book Antiqua"/>
        </w:rPr>
        <w:t>(</w:t>
      </w:r>
      <w:r w:rsidR="0081737B">
        <w:rPr>
          <w:rFonts w:ascii="Book Antiqua" w:hAnsi="Book Antiqua"/>
        </w:rPr>
        <w:t xml:space="preserve">NO </w:t>
      </w:r>
      <w:r>
        <w:rPr>
          <w:rFonts w:ascii="Book Antiqua" w:hAnsi="Book Antiqua"/>
        </w:rPr>
        <w:t>ANONYMITY</w:t>
      </w:r>
      <w:r w:rsidR="009E598F" w:rsidRPr="00933B67">
        <w:rPr>
          <w:rFonts w:ascii="Book Antiqua" w:hAnsi="Book Antiqua"/>
        </w:rPr>
        <w:t xml:space="preserve"> DIRECTION MADE)</w:t>
      </w:r>
    </w:p>
    <w:p w:rsidR="009E598F" w:rsidRPr="00933B67" w:rsidRDefault="009E598F" w:rsidP="00933B67">
      <w:pPr>
        <w:ind w:left="7938"/>
        <w:rPr>
          <w:rFonts w:ascii="Book Antiqua" w:hAnsi="Book Antiqua"/>
        </w:rPr>
      </w:pPr>
      <w:r w:rsidRPr="00933B67">
        <w:rPr>
          <w:rFonts w:ascii="Book Antiqua" w:hAnsi="Book Antiqua"/>
        </w:rPr>
        <w:t>Appellant</w:t>
      </w:r>
    </w:p>
    <w:p w:rsidR="009E598F" w:rsidRDefault="00694A5F" w:rsidP="00933B67">
      <w:pPr>
        <w:jc w:val="center"/>
        <w:rPr>
          <w:rFonts w:ascii="Book Antiqua" w:hAnsi="Book Antiqua"/>
        </w:rPr>
      </w:pPr>
      <w:r w:rsidRPr="00933B67">
        <w:rPr>
          <w:rFonts w:ascii="Book Antiqua" w:hAnsi="Book Antiqua"/>
        </w:rPr>
        <w:t>And</w:t>
      </w:r>
    </w:p>
    <w:p w:rsidR="005F2B0F" w:rsidRPr="00933B67" w:rsidRDefault="005F2B0F"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SECRETARY OF STATE FOR THE HOME DEPARTMENT</w:t>
      </w:r>
    </w:p>
    <w:p w:rsidR="00822A53" w:rsidRPr="00933B67" w:rsidRDefault="00962958" w:rsidP="005F2B0F">
      <w:pPr>
        <w:jc w:val="right"/>
        <w:rPr>
          <w:rFonts w:ascii="Book Antiqua" w:hAnsi="Book Antiqua"/>
        </w:rPr>
      </w:pPr>
      <w:r>
        <w:rPr>
          <w:rFonts w:ascii="Book Antiqua" w:hAnsi="Book Antiqua"/>
        </w:rPr>
        <w:t>Respondent</w:t>
      </w:r>
    </w:p>
    <w:p w:rsidR="00933B67" w:rsidRDefault="00933B67" w:rsidP="009E598F">
      <w:pPr>
        <w:rPr>
          <w:rFonts w:ascii="Book Antiqua" w:hAnsi="Book Antiqua"/>
        </w:rPr>
      </w:pPr>
    </w:p>
    <w:p w:rsidR="005F2B0F" w:rsidRDefault="005F2B0F" w:rsidP="009E598F">
      <w:pPr>
        <w:rPr>
          <w:rFonts w:ascii="Book Antiqua" w:hAnsi="Book Antiqua"/>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81737B" w:rsidRDefault="00933B67" w:rsidP="005F2B0F">
      <w:pPr>
        <w:tabs>
          <w:tab w:val="left" w:pos="2552"/>
        </w:tabs>
        <w:rPr>
          <w:rFonts w:ascii="Book Antiqua" w:hAnsi="Book Antiqua"/>
        </w:rPr>
      </w:pPr>
      <w:r>
        <w:rPr>
          <w:rFonts w:ascii="Book Antiqua" w:hAnsi="Book Antiqua"/>
        </w:rPr>
        <w:t>For the Appellant:</w:t>
      </w:r>
      <w:r w:rsidR="005F2B0F">
        <w:rPr>
          <w:rFonts w:ascii="Book Antiqua" w:hAnsi="Book Antiqua"/>
        </w:rPr>
        <w:tab/>
      </w:r>
      <w:r w:rsidR="00A26E59">
        <w:rPr>
          <w:rFonts w:ascii="Book Antiqua" w:hAnsi="Book Antiqua"/>
        </w:rPr>
        <w:t>Ms.</w:t>
      </w:r>
      <w:r w:rsidR="005F2B0F">
        <w:rPr>
          <w:rFonts w:ascii="Book Antiqua" w:hAnsi="Book Antiqua"/>
        </w:rPr>
        <w:t xml:space="preserve"> </w:t>
      </w:r>
      <w:r w:rsidR="00A26E59">
        <w:rPr>
          <w:rFonts w:ascii="Book Antiqua" w:hAnsi="Book Antiqua"/>
        </w:rPr>
        <w:t>S Iqbal</w:t>
      </w:r>
      <w:r w:rsidR="008E3281">
        <w:rPr>
          <w:rFonts w:ascii="Book Antiqua" w:hAnsi="Book Antiqua"/>
        </w:rPr>
        <w:t>, Counsel</w:t>
      </w:r>
      <w:r w:rsidR="00A26E59">
        <w:rPr>
          <w:rFonts w:ascii="Book Antiqua" w:hAnsi="Book Antiqua"/>
        </w:rPr>
        <w:t xml:space="preserve"> instructed by Hiren Patel Solicitors</w:t>
      </w:r>
    </w:p>
    <w:p w:rsidR="00822A53" w:rsidRPr="00933B67" w:rsidRDefault="0081737B" w:rsidP="005F2B0F">
      <w:pPr>
        <w:tabs>
          <w:tab w:val="left" w:pos="2552"/>
        </w:tabs>
        <w:rPr>
          <w:rFonts w:ascii="Book Antiqua" w:hAnsi="Book Antiqua"/>
        </w:rPr>
      </w:pPr>
      <w:r>
        <w:rPr>
          <w:rFonts w:ascii="Book Antiqua" w:hAnsi="Book Antiqua"/>
        </w:rPr>
        <w:t xml:space="preserve">For </w:t>
      </w:r>
      <w:r w:rsidR="008E3281">
        <w:rPr>
          <w:rFonts w:ascii="Book Antiqua" w:hAnsi="Book Antiqua"/>
        </w:rPr>
        <w:t>the respondent:</w:t>
      </w:r>
      <w:r w:rsidR="005F2B0F">
        <w:rPr>
          <w:rFonts w:ascii="Book Antiqua" w:hAnsi="Book Antiqua"/>
        </w:rPr>
        <w:tab/>
      </w:r>
      <w:r w:rsidR="00055D52">
        <w:rPr>
          <w:rFonts w:ascii="Book Antiqua" w:hAnsi="Book Antiqua"/>
        </w:rPr>
        <w:t>M</w:t>
      </w:r>
      <w:r w:rsidR="00207560">
        <w:rPr>
          <w:rFonts w:ascii="Book Antiqua" w:hAnsi="Book Antiqua"/>
        </w:rPr>
        <w:t xml:space="preserve">r </w:t>
      </w:r>
      <w:r w:rsidR="0036476D">
        <w:rPr>
          <w:rFonts w:ascii="Book Antiqua" w:hAnsi="Book Antiqua"/>
        </w:rPr>
        <w:t>Avery</w:t>
      </w:r>
      <w:r w:rsidR="00962958">
        <w:rPr>
          <w:rFonts w:ascii="Book Antiqua" w:hAnsi="Book Antiqua"/>
        </w:rPr>
        <w:t>, Home</w:t>
      </w:r>
      <w:r w:rsidR="00055D52">
        <w:rPr>
          <w:rFonts w:ascii="Book Antiqua" w:hAnsi="Book Antiqua"/>
        </w:rPr>
        <w:t xml:space="preserve"> Office Presenting Officer.</w:t>
      </w:r>
      <w:r w:rsidR="00822A53">
        <w:rPr>
          <w:rFonts w:ascii="Book Antiqua" w:hAnsi="Book Antiqua"/>
        </w:rPr>
        <w:t xml:space="preserve"> </w:t>
      </w:r>
    </w:p>
    <w:p w:rsidR="00933B67" w:rsidRDefault="00933B67" w:rsidP="009E598F">
      <w:pPr>
        <w:rPr>
          <w:rFonts w:ascii="Book Antiqua" w:hAnsi="Book Antiqua"/>
        </w:rPr>
      </w:pPr>
    </w:p>
    <w:p w:rsidR="005F2B0F" w:rsidRDefault="005F2B0F" w:rsidP="00933B67">
      <w:pPr>
        <w:jc w:val="center"/>
        <w:rPr>
          <w:rFonts w:ascii="Book Antiqua" w:hAnsi="Book Antiqua"/>
        </w:rPr>
      </w:pPr>
    </w:p>
    <w:p w:rsidR="009E598F" w:rsidRPr="005F2B0F" w:rsidRDefault="009E598F" w:rsidP="00933B67">
      <w:pPr>
        <w:jc w:val="center"/>
        <w:rPr>
          <w:rFonts w:ascii="Book Antiqua" w:hAnsi="Book Antiqua"/>
          <w:u w:val="single"/>
        </w:rPr>
      </w:pPr>
      <w:r w:rsidRPr="005F2B0F">
        <w:rPr>
          <w:rFonts w:ascii="Book Antiqua" w:hAnsi="Book Antiqua"/>
          <w:u w:val="single"/>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36476D" w:rsidRDefault="0036476D" w:rsidP="00421DA4">
      <w:pPr>
        <w:rPr>
          <w:rFonts w:ascii="Book Antiqua" w:hAnsi="Book Antiqua"/>
          <w:u w:val="single"/>
        </w:rPr>
      </w:pPr>
    </w:p>
    <w:p w:rsidR="00A26E59" w:rsidRDefault="00A26E59" w:rsidP="00A26E59">
      <w:pPr>
        <w:numPr>
          <w:ilvl w:val="0"/>
          <w:numId w:val="38"/>
        </w:numPr>
        <w:rPr>
          <w:rFonts w:ascii="Book Antiqua" w:hAnsi="Book Antiqua"/>
        </w:rPr>
      </w:pPr>
      <w:r>
        <w:rPr>
          <w:rFonts w:ascii="Book Antiqua" w:hAnsi="Book Antiqua"/>
        </w:rPr>
        <w:t>The appellant has been granted permission to appeal the decision of First-tier Tribunal Judge Robertson promulgated on 21 June 2017. That decision dismissed her appeal against th</w:t>
      </w:r>
      <w:r w:rsidR="008E3281">
        <w:rPr>
          <w:rFonts w:ascii="Book Antiqua" w:hAnsi="Book Antiqua"/>
        </w:rPr>
        <w:t>e respondent's refusal to vary her</w:t>
      </w:r>
      <w:r>
        <w:rPr>
          <w:rFonts w:ascii="Book Antiqua" w:hAnsi="Book Antiqua"/>
        </w:rPr>
        <w:t xml:space="preserve"> leave to remain.</w:t>
      </w:r>
      <w:r w:rsidR="000864D1">
        <w:rPr>
          <w:rFonts w:ascii="Book Antiqua" w:hAnsi="Book Antiqua"/>
        </w:rPr>
        <w:t xml:space="preserve"> Her husband ha</w:t>
      </w:r>
      <w:r w:rsidR="002C4675">
        <w:rPr>
          <w:rFonts w:ascii="Book Antiqua" w:hAnsi="Book Antiqua"/>
        </w:rPr>
        <w:t>d</w:t>
      </w:r>
      <w:r w:rsidR="000864D1">
        <w:rPr>
          <w:rFonts w:ascii="Book Antiqua" w:hAnsi="Book Antiqua"/>
        </w:rPr>
        <w:t xml:space="preserve"> a linked appeal as her dependent</w:t>
      </w:r>
    </w:p>
    <w:p w:rsidR="00A26E59" w:rsidRDefault="00A26E59" w:rsidP="00A26E59">
      <w:pPr>
        <w:ind w:left="720"/>
        <w:rPr>
          <w:rFonts w:ascii="Book Antiqua" w:hAnsi="Book Antiqua"/>
        </w:rPr>
      </w:pPr>
    </w:p>
    <w:p w:rsidR="00A57093" w:rsidRDefault="00A26E59" w:rsidP="00A57093">
      <w:pPr>
        <w:numPr>
          <w:ilvl w:val="0"/>
          <w:numId w:val="38"/>
        </w:numPr>
        <w:rPr>
          <w:rFonts w:ascii="Book Antiqua" w:hAnsi="Book Antiqua"/>
        </w:rPr>
      </w:pPr>
      <w:r>
        <w:rPr>
          <w:rFonts w:ascii="Book Antiqua" w:hAnsi="Book Antiqua"/>
        </w:rPr>
        <w:t xml:space="preserve">Mrs Bhojak </w:t>
      </w:r>
      <w:r w:rsidR="000864D1">
        <w:rPr>
          <w:rFonts w:ascii="Book Antiqua" w:hAnsi="Book Antiqua"/>
        </w:rPr>
        <w:t xml:space="preserve">came to the </w:t>
      </w:r>
      <w:smartTag w:uri="urn:schemas-microsoft-com:office:smarttags" w:element="place">
        <w:smartTag w:uri="urn:schemas-microsoft-com:office:smarttags" w:element="country-region">
          <w:r w:rsidR="000864D1">
            <w:rPr>
              <w:rFonts w:ascii="Book Antiqua" w:hAnsi="Book Antiqua"/>
            </w:rPr>
            <w:t>United Kingdom</w:t>
          </w:r>
        </w:smartTag>
      </w:smartTag>
      <w:r w:rsidR="000864D1">
        <w:rPr>
          <w:rFonts w:ascii="Book Antiqua" w:hAnsi="Book Antiqua"/>
        </w:rPr>
        <w:t xml:space="preserve"> as a student in February 2009 with leave until 30 April 2010. </w:t>
      </w:r>
      <w:r w:rsidR="00E8538B">
        <w:rPr>
          <w:rFonts w:ascii="Book Antiqua" w:hAnsi="Book Antiqua"/>
        </w:rPr>
        <w:t xml:space="preserve">On 17 May 2010, she was </w:t>
      </w:r>
      <w:r w:rsidR="002C4675">
        <w:rPr>
          <w:rFonts w:ascii="Book Antiqua" w:hAnsi="Book Antiqua"/>
        </w:rPr>
        <w:t>granted</w:t>
      </w:r>
      <w:r w:rsidR="000864D1">
        <w:rPr>
          <w:rFonts w:ascii="Book Antiqua" w:hAnsi="Book Antiqua"/>
        </w:rPr>
        <w:t xml:space="preserve"> further leave</w:t>
      </w:r>
      <w:r w:rsidR="00E8538B">
        <w:rPr>
          <w:rFonts w:ascii="Book Antiqua" w:hAnsi="Book Antiqua"/>
        </w:rPr>
        <w:t xml:space="preserve"> as a student until 30 August 2013</w:t>
      </w:r>
      <w:r w:rsidR="000864D1">
        <w:rPr>
          <w:rFonts w:ascii="Book Antiqua" w:hAnsi="Book Antiqua"/>
        </w:rPr>
        <w:t xml:space="preserve">. However, </w:t>
      </w:r>
      <w:r w:rsidR="00E8538B">
        <w:rPr>
          <w:rFonts w:ascii="Book Antiqua" w:hAnsi="Book Antiqua"/>
        </w:rPr>
        <w:t xml:space="preserve">on 1 June 2012 that leave was curtailed, effective from 31 July 2012. </w:t>
      </w:r>
      <w:r w:rsidR="00A57093">
        <w:rPr>
          <w:rFonts w:ascii="Book Antiqua" w:hAnsi="Book Antiqua"/>
        </w:rPr>
        <w:t>The judge recorded that the curtail</w:t>
      </w:r>
      <w:r w:rsidR="008E3281">
        <w:rPr>
          <w:rFonts w:ascii="Book Antiqua" w:hAnsi="Book Antiqua"/>
        </w:rPr>
        <w:t>ment</w:t>
      </w:r>
      <w:r w:rsidR="00A57093">
        <w:rPr>
          <w:rFonts w:ascii="Book Antiqua" w:hAnsi="Book Antiqua"/>
        </w:rPr>
        <w:t xml:space="preserve"> was because she had not been attending the </w:t>
      </w:r>
      <w:r w:rsidR="006A4E81">
        <w:rPr>
          <w:rFonts w:ascii="Book Antiqua" w:hAnsi="Book Antiqua"/>
        </w:rPr>
        <w:t>course. She</w:t>
      </w:r>
      <w:r w:rsidR="00A57093">
        <w:rPr>
          <w:rFonts w:ascii="Book Antiqua" w:hAnsi="Book Antiqua"/>
        </w:rPr>
        <w:t xml:space="preserve"> told the judge that at the time she was pregnant and then had taken a six-month holiday. She states that she informed the college. At paragraph 12 </w:t>
      </w:r>
      <w:r w:rsidR="006A4E81">
        <w:rPr>
          <w:rFonts w:ascii="Book Antiqua" w:hAnsi="Book Antiqua"/>
        </w:rPr>
        <w:t>the judge</w:t>
      </w:r>
      <w:r w:rsidR="00A57093">
        <w:rPr>
          <w:rFonts w:ascii="Book Antiqua" w:hAnsi="Book Antiqua"/>
        </w:rPr>
        <w:t xml:space="preserve"> records that she </w:t>
      </w:r>
      <w:r w:rsidR="008E3281">
        <w:rPr>
          <w:rFonts w:ascii="Book Antiqua" w:hAnsi="Book Antiqua"/>
        </w:rPr>
        <w:t>said</w:t>
      </w:r>
      <w:r w:rsidR="00A57093">
        <w:rPr>
          <w:rFonts w:ascii="Book Antiqua" w:hAnsi="Book Antiqua"/>
        </w:rPr>
        <w:t xml:space="preserve"> she had appealed that decision successfully but a copy had not been provided.</w:t>
      </w:r>
    </w:p>
    <w:p w:rsidR="00A57093" w:rsidRDefault="00A57093" w:rsidP="006A4E81">
      <w:pPr>
        <w:rPr>
          <w:rFonts w:ascii="Book Antiqua" w:hAnsi="Book Antiqua"/>
        </w:rPr>
      </w:pPr>
    </w:p>
    <w:p w:rsidR="00A57093" w:rsidRDefault="008E3281" w:rsidP="000864D1">
      <w:pPr>
        <w:numPr>
          <w:ilvl w:val="0"/>
          <w:numId w:val="38"/>
        </w:numPr>
        <w:rPr>
          <w:rFonts w:ascii="Book Antiqua" w:hAnsi="Book Antiqua"/>
        </w:rPr>
      </w:pPr>
      <w:r>
        <w:rPr>
          <w:rFonts w:ascii="Book Antiqua" w:hAnsi="Book Antiqua"/>
        </w:rPr>
        <w:t>She was then granted</w:t>
      </w:r>
      <w:r w:rsidR="000864D1">
        <w:rPr>
          <w:rFonts w:ascii="Book Antiqua" w:hAnsi="Book Antiqua"/>
        </w:rPr>
        <w:t xml:space="preserve"> further leave to remain as a student </w:t>
      </w:r>
      <w:r w:rsidR="00E8538B">
        <w:rPr>
          <w:rFonts w:ascii="Book Antiqua" w:hAnsi="Book Antiqua"/>
        </w:rPr>
        <w:t>on 28th</w:t>
      </w:r>
      <w:r w:rsidR="000864D1">
        <w:rPr>
          <w:rFonts w:ascii="Book Antiqua" w:hAnsi="Book Antiqua"/>
        </w:rPr>
        <w:t xml:space="preserve"> February 2013</w:t>
      </w:r>
      <w:r w:rsidR="002C4675">
        <w:rPr>
          <w:rFonts w:ascii="Book Antiqua" w:hAnsi="Book Antiqua"/>
        </w:rPr>
        <w:t>,</w:t>
      </w:r>
      <w:r w:rsidR="00E8538B">
        <w:rPr>
          <w:rFonts w:ascii="Book Antiqua" w:hAnsi="Book Antiqua"/>
        </w:rPr>
        <w:t xml:space="preserve"> v</w:t>
      </w:r>
      <w:r w:rsidR="000864D1">
        <w:rPr>
          <w:rFonts w:ascii="Book Antiqua" w:hAnsi="Book Antiqua"/>
        </w:rPr>
        <w:t xml:space="preserve">alid until </w:t>
      </w:r>
      <w:r w:rsidR="00E8538B">
        <w:rPr>
          <w:rFonts w:ascii="Book Antiqua" w:hAnsi="Book Antiqua"/>
        </w:rPr>
        <w:t>15</w:t>
      </w:r>
      <w:r w:rsidR="00E8538B" w:rsidRPr="00E8538B">
        <w:rPr>
          <w:rFonts w:ascii="Book Antiqua" w:hAnsi="Book Antiqua"/>
          <w:vertAlign w:val="superscript"/>
        </w:rPr>
        <w:t>th</w:t>
      </w:r>
      <w:r w:rsidR="00E8538B">
        <w:rPr>
          <w:rFonts w:ascii="Book Antiqua" w:hAnsi="Book Antiqua"/>
        </w:rPr>
        <w:t xml:space="preserve"> </w:t>
      </w:r>
      <w:r w:rsidR="000864D1">
        <w:rPr>
          <w:rFonts w:ascii="Book Antiqua" w:hAnsi="Book Antiqua"/>
        </w:rPr>
        <w:t xml:space="preserve">June 2014. </w:t>
      </w:r>
    </w:p>
    <w:p w:rsidR="00A57093" w:rsidRDefault="00A57093" w:rsidP="00A57093">
      <w:pPr>
        <w:ind w:left="720"/>
        <w:rPr>
          <w:rFonts w:ascii="Book Antiqua" w:hAnsi="Book Antiqua"/>
        </w:rPr>
      </w:pPr>
    </w:p>
    <w:p w:rsidR="003414BE" w:rsidRDefault="000864D1" w:rsidP="003414BE">
      <w:pPr>
        <w:numPr>
          <w:ilvl w:val="0"/>
          <w:numId w:val="38"/>
        </w:numPr>
        <w:rPr>
          <w:rFonts w:ascii="Book Antiqua" w:hAnsi="Book Antiqua"/>
        </w:rPr>
      </w:pPr>
      <w:r>
        <w:rPr>
          <w:rFonts w:ascii="Book Antiqua" w:hAnsi="Book Antiqua"/>
        </w:rPr>
        <w:t>She made a further application for leave to remain as a student</w:t>
      </w:r>
      <w:r w:rsidR="003414BE">
        <w:rPr>
          <w:rFonts w:ascii="Book Antiqua" w:hAnsi="Book Antiqua"/>
        </w:rPr>
        <w:t xml:space="preserve"> on the 12</w:t>
      </w:r>
      <w:r w:rsidR="003414BE" w:rsidRPr="003414BE">
        <w:rPr>
          <w:rFonts w:ascii="Book Antiqua" w:hAnsi="Book Antiqua"/>
          <w:vertAlign w:val="superscript"/>
        </w:rPr>
        <w:t>th</w:t>
      </w:r>
      <w:r w:rsidR="003414BE">
        <w:rPr>
          <w:rFonts w:ascii="Book Antiqua" w:hAnsi="Book Antiqua"/>
        </w:rPr>
        <w:t xml:space="preserve"> June 2014. The respondent had concerns as to whether she was a genuine student and invited her for interview on 8 December 2015.She did not attend and gave no explanation. </w:t>
      </w:r>
    </w:p>
    <w:p w:rsidR="00714EB0" w:rsidRDefault="00714EB0" w:rsidP="00714EB0">
      <w:pPr>
        <w:rPr>
          <w:rFonts w:ascii="Book Antiqua" w:hAnsi="Book Antiqua"/>
        </w:rPr>
      </w:pPr>
    </w:p>
    <w:p w:rsidR="00714EB0" w:rsidRDefault="00714EB0" w:rsidP="00714EB0">
      <w:pPr>
        <w:numPr>
          <w:ilvl w:val="0"/>
          <w:numId w:val="38"/>
        </w:numPr>
        <w:rPr>
          <w:rFonts w:ascii="Book Antiqua" w:hAnsi="Book Antiqua"/>
        </w:rPr>
      </w:pPr>
      <w:r w:rsidRPr="00A57093">
        <w:rPr>
          <w:rFonts w:ascii="Book Antiqua" w:hAnsi="Book Antiqua"/>
        </w:rPr>
        <w:t xml:space="preserve">To qualify for leave to remain as a Tier 4 (General) Student under paragraph 245ZX of the Immigration Rules, an applicant has to meet </w:t>
      </w:r>
      <w:r>
        <w:rPr>
          <w:rFonts w:ascii="Book Antiqua" w:hAnsi="Book Antiqua"/>
        </w:rPr>
        <w:t>the</w:t>
      </w:r>
      <w:r w:rsidRPr="00A57093">
        <w:rPr>
          <w:rFonts w:ascii="Book Antiqua" w:hAnsi="Book Antiqua"/>
        </w:rPr>
        <w:t xml:space="preserve"> requirements </w:t>
      </w:r>
      <w:r>
        <w:rPr>
          <w:rFonts w:ascii="Book Antiqua" w:hAnsi="Book Antiqua"/>
        </w:rPr>
        <w:t>of the</w:t>
      </w:r>
      <w:r w:rsidRPr="00A57093">
        <w:rPr>
          <w:rFonts w:ascii="Book Antiqua" w:hAnsi="Book Antiqua"/>
        </w:rPr>
        <w:t xml:space="preserve"> points-based scheme ("PBS"), including having a minimum of 30 points under paragraphs 113-120 of Appendix A to the Rules</w:t>
      </w:r>
      <w:r>
        <w:rPr>
          <w:rFonts w:ascii="Book Antiqua" w:hAnsi="Book Antiqua"/>
        </w:rPr>
        <w:t xml:space="preserve"> relating to attributes</w:t>
      </w:r>
      <w:r w:rsidRPr="00A57093">
        <w:rPr>
          <w:rFonts w:ascii="Book Antiqua" w:hAnsi="Book Antiqua"/>
        </w:rPr>
        <w:t xml:space="preserve">. To obtain those points, under paragraph 114 of that appendix, the Applicant is required to have a valid CAS. </w:t>
      </w:r>
      <w:r>
        <w:rPr>
          <w:rFonts w:ascii="Book Antiqua" w:hAnsi="Book Antiqua"/>
        </w:rPr>
        <w:t xml:space="preserve">The CAS provided related to 360 GSP College. </w:t>
      </w:r>
    </w:p>
    <w:p w:rsidR="00714EB0" w:rsidRDefault="00714EB0" w:rsidP="00714EB0">
      <w:pPr>
        <w:rPr>
          <w:rFonts w:ascii="Book Antiqua" w:hAnsi="Book Antiqua"/>
        </w:rPr>
      </w:pPr>
    </w:p>
    <w:p w:rsidR="00714EB0" w:rsidRDefault="00714EB0" w:rsidP="00714EB0">
      <w:pPr>
        <w:numPr>
          <w:ilvl w:val="0"/>
          <w:numId w:val="38"/>
        </w:numPr>
        <w:rPr>
          <w:rFonts w:ascii="Book Antiqua" w:hAnsi="Book Antiqua"/>
        </w:rPr>
      </w:pPr>
      <w:r w:rsidRPr="00A57093">
        <w:rPr>
          <w:rFonts w:ascii="Book Antiqua" w:hAnsi="Book Antiqua"/>
        </w:rPr>
        <w:t xml:space="preserve">When the respondent checked the register of approved sponsors on 2 March 2016 this college was not listed. </w:t>
      </w:r>
    </w:p>
    <w:p w:rsidR="00714EB0" w:rsidRDefault="00714EB0" w:rsidP="00714EB0">
      <w:pPr>
        <w:rPr>
          <w:rFonts w:ascii="Book Antiqua" w:hAnsi="Book Antiqua"/>
        </w:rPr>
      </w:pPr>
    </w:p>
    <w:p w:rsidR="001941DC" w:rsidRDefault="00714EB0" w:rsidP="00714EB0">
      <w:pPr>
        <w:numPr>
          <w:ilvl w:val="0"/>
          <w:numId w:val="38"/>
        </w:numPr>
        <w:rPr>
          <w:rFonts w:ascii="Book Antiqua" w:hAnsi="Book Antiqua"/>
        </w:rPr>
      </w:pPr>
      <w:r>
        <w:rPr>
          <w:rFonts w:ascii="Book Antiqua" w:hAnsi="Book Antiqua"/>
        </w:rPr>
        <w:t xml:space="preserve">On the 2 March 2016 her application was refused. As she did not have a valid CAS </w:t>
      </w:r>
      <w:r w:rsidRPr="00A57093">
        <w:rPr>
          <w:rFonts w:ascii="Book Antiqua" w:hAnsi="Book Antiqua"/>
        </w:rPr>
        <w:t>she was not awarded the necessary 30 points in respect of attributes</w:t>
      </w:r>
      <w:r>
        <w:rPr>
          <w:rFonts w:ascii="Book Antiqua" w:hAnsi="Book Antiqua"/>
        </w:rPr>
        <w:t xml:space="preserve">. </w:t>
      </w:r>
      <w:r w:rsidRPr="00A57093">
        <w:rPr>
          <w:rFonts w:ascii="Book Antiqua" w:hAnsi="Book Antiqua"/>
        </w:rPr>
        <w:t xml:space="preserve">Because there was no educational provider it was not possible to assess the course fees and so she </w:t>
      </w:r>
      <w:r>
        <w:rPr>
          <w:rFonts w:ascii="Book Antiqua" w:hAnsi="Book Antiqua"/>
        </w:rPr>
        <w:t xml:space="preserve">also </w:t>
      </w:r>
      <w:r w:rsidRPr="00A57093">
        <w:rPr>
          <w:rFonts w:ascii="Book Antiqua" w:hAnsi="Book Antiqua"/>
        </w:rPr>
        <w:t>did not achieve the necessary 10 points for maintenance</w:t>
      </w:r>
      <w:r>
        <w:rPr>
          <w:rFonts w:ascii="Book Antiqua" w:hAnsi="Book Antiqua"/>
        </w:rPr>
        <w:t xml:space="preserve">. </w:t>
      </w:r>
    </w:p>
    <w:p w:rsidR="001941DC" w:rsidRDefault="001941DC" w:rsidP="001941DC">
      <w:pPr>
        <w:rPr>
          <w:rFonts w:ascii="Book Antiqua" w:hAnsi="Book Antiqua"/>
        </w:rPr>
      </w:pPr>
    </w:p>
    <w:p w:rsidR="000864D1" w:rsidRDefault="00714EB0" w:rsidP="00714EB0">
      <w:pPr>
        <w:numPr>
          <w:ilvl w:val="0"/>
          <w:numId w:val="38"/>
        </w:numPr>
        <w:rPr>
          <w:rFonts w:ascii="Book Antiqua" w:hAnsi="Book Antiqua"/>
        </w:rPr>
      </w:pPr>
      <w:r>
        <w:rPr>
          <w:rFonts w:ascii="Book Antiqua" w:hAnsi="Book Antiqua"/>
        </w:rPr>
        <w:t>Her</w:t>
      </w:r>
      <w:r w:rsidR="002C4675">
        <w:rPr>
          <w:rFonts w:ascii="Book Antiqua" w:hAnsi="Book Antiqua"/>
        </w:rPr>
        <w:t xml:space="preserve"> failure to attend without providing a reasonable explanation caused her application to be refused under para 322(10) of the rules. Because</w:t>
      </w:r>
      <w:r w:rsidR="00F5468A">
        <w:rPr>
          <w:rFonts w:ascii="Book Antiqua" w:hAnsi="Book Antiqua"/>
        </w:rPr>
        <w:t xml:space="preserve"> she had not been granted leave then her husband's application as her dependent did not meet the rules.</w:t>
      </w:r>
    </w:p>
    <w:p w:rsidR="006A4E81" w:rsidRDefault="006A4E81" w:rsidP="006A4E81">
      <w:pPr>
        <w:rPr>
          <w:rFonts w:ascii="Book Antiqua" w:hAnsi="Book Antiqua"/>
        </w:rPr>
      </w:pPr>
    </w:p>
    <w:p w:rsidR="006A4E81" w:rsidRPr="006A4E81" w:rsidRDefault="006A4E81" w:rsidP="006A4E81">
      <w:pPr>
        <w:rPr>
          <w:rFonts w:ascii="Book Antiqua" w:hAnsi="Book Antiqua"/>
          <w:u w:val="single"/>
        </w:rPr>
      </w:pPr>
      <w:r w:rsidRPr="006A4E81">
        <w:rPr>
          <w:rFonts w:ascii="Book Antiqua" w:hAnsi="Book Antiqua"/>
          <w:u w:val="single"/>
        </w:rPr>
        <w:t xml:space="preserve">The First </w:t>
      </w:r>
      <w:proofErr w:type="gramStart"/>
      <w:r w:rsidRPr="006A4E81">
        <w:rPr>
          <w:rFonts w:ascii="Book Antiqua" w:hAnsi="Book Antiqua"/>
          <w:u w:val="single"/>
        </w:rPr>
        <w:t>tier</w:t>
      </w:r>
      <w:proofErr w:type="gramEnd"/>
      <w:r w:rsidRPr="006A4E81">
        <w:rPr>
          <w:rFonts w:ascii="Book Antiqua" w:hAnsi="Book Antiqua"/>
          <w:u w:val="single"/>
        </w:rPr>
        <w:t xml:space="preserve"> Tribunal</w:t>
      </w:r>
    </w:p>
    <w:p w:rsidR="00F5468A" w:rsidRDefault="00F5468A" w:rsidP="00F5468A">
      <w:pPr>
        <w:rPr>
          <w:rFonts w:ascii="Book Antiqua" w:hAnsi="Book Antiqua"/>
        </w:rPr>
      </w:pPr>
    </w:p>
    <w:p w:rsidR="003D66DB" w:rsidRPr="006F6036" w:rsidRDefault="00714EB0" w:rsidP="003D66DB">
      <w:pPr>
        <w:numPr>
          <w:ilvl w:val="0"/>
          <w:numId w:val="38"/>
        </w:numPr>
        <w:rPr>
          <w:rFonts w:ascii="Book Antiqua" w:hAnsi="Book Antiqua"/>
        </w:rPr>
      </w:pPr>
      <w:r w:rsidRPr="006F6036">
        <w:rPr>
          <w:rFonts w:ascii="Book Antiqua" w:hAnsi="Book Antiqua"/>
        </w:rPr>
        <w:t>The refusal of 2</w:t>
      </w:r>
      <w:r w:rsidRPr="006F6036">
        <w:rPr>
          <w:rFonts w:ascii="Book Antiqua" w:hAnsi="Book Antiqua"/>
          <w:vertAlign w:val="superscript"/>
        </w:rPr>
        <w:t>nd</w:t>
      </w:r>
      <w:r w:rsidRPr="006F6036">
        <w:rPr>
          <w:rFonts w:ascii="Book Antiqua" w:hAnsi="Book Antiqua"/>
        </w:rPr>
        <w:t xml:space="preserve"> March 2016 was the decision under appeal before First-tier Tribunal Judge Robertson. The decision records the appellant's evidence was she went to the college in February 2015 and was advised </w:t>
      </w:r>
      <w:r w:rsidRPr="006F6036">
        <w:rPr>
          <w:rFonts w:ascii="Book Antiqua" w:hAnsi="Book Antiqua"/>
        </w:rPr>
        <w:lastRenderedPageBreak/>
        <w:t>they had lost their licence and had unsuccessfully disputed this with the Home Office. She confirmed she had received letters dated 16 November 2015 and 27 November 2015 inviting her to attend for interview. She acknowledged she did not respond</w:t>
      </w:r>
      <w:r w:rsidR="001941DC">
        <w:rPr>
          <w:rFonts w:ascii="Book Antiqua" w:hAnsi="Book Antiqua"/>
        </w:rPr>
        <w:t>,</w:t>
      </w:r>
      <w:r w:rsidRPr="006F6036">
        <w:rPr>
          <w:rFonts w:ascii="Book Antiqua" w:hAnsi="Book Antiqua"/>
        </w:rPr>
        <w:t xml:space="preserve"> saying she was waiting for her 60-day letter and there was no point in her attending for the interview as at that stage she could not advise of her studies. </w:t>
      </w:r>
    </w:p>
    <w:p w:rsidR="003D66DB" w:rsidRPr="006F6036" w:rsidRDefault="003D66DB" w:rsidP="003D66DB">
      <w:pPr>
        <w:ind w:left="720"/>
        <w:rPr>
          <w:rFonts w:ascii="Book Antiqua" w:hAnsi="Book Antiqua"/>
        </w:rPr>
      </w:pPr>
    </w:p>
    <w:p w:rsidR="001941DC" w:rsidRDefault="00714EB0" w:rsidP="003D66DB">
      <w:pPr>
        <w:numPr>
          <w:ilvl w:val="0"/>
          <w:numId w:val="38"/>
        </w:numPr>
        <w:rPr>
          <w:rFonts w:ascii="Book Antiqua" w:hAnsi="Book Antiqua"/>
        </w:rPr>
      </w:pPr>
      <w:r w:rsidRPr="006F6036">
        <w:rPr>
          <w:rFonts w:ascii="Book Antiqua" w:hAnsi="Book Antiqua"/>
        </w:rPr>
        <w:t xml:space="preserve">On behalf of the appellant </w:t>
      </w:r>
      <w:r w:rsidR="00F5468A" w:rsidRPr="006F6036">
        <w:rPr>
          <w:rFonts w:ascii="Book Antiqua" w:hAnsi="Book Antiqua"/>
        </w:rPr>
        <w:t xml:space="preserve">it was argued that the appellant should have been given a </w:t>
      </w:r>
      <w:proofErr w:type="gramStart"/>
      <w:r w:rsidR="00F5468A" w:rsidRPr="006F6036">
        <w:rPr>
          <w:rFonts w:ascii="Book Antiqua" w:hAnsi="Book Antiqua"/>
        </w:rPr>
        <w:t>60 day</w:t>
      </w:r>
      <w:proofErr w:type="gramEnd"/>
      <w:r w:rsidR="00F5468A" w:rsidRPr="006F6036">
        <w:rPr>
          <w:rFonts w:ascii="Book Antiqua" w:hAnsi="Book Antiqua"/>
        </w:rPr>
        <w:t xml:space="preserve"> letter in</w:t>
      </w:r>
      <w:r w:rsidR="00FE4866" w:rsidRPr="006F6036">
        <w:rPr>
          <w:rFonts w:ascii="Book Antiqua" w:hAnsi="Book Antiqua"/>
        </w:rPr>
        <w:t xml:space="preserve"> accordance with the decision of </w:t>
      </w:r>
      <w:r w:rsidR="00FE4866" w:rsidRPr="006F6036">
        <w:rPr>
          <w:rFonts w:ascii="Book Antiqua" w:hAnsi="Book Antiqua"/>
          <w:u w:val="single"/>
        </w:rPr>
        <w:t>Kaur (Patel</w:t>
      </w:r>
      <w:r w:rsidR="00A254E6">
        <w:rPr>
          <w:rFonts w:ascii="Book Antiqua" w:hAnsi="Book Antiqua"/>
          <w:u w:val="single"/>
        </w:rPr>
        <w:t xml:space="preserve"> </w:t>
      </w:r>
      <w:r w:rsidR="00F5468A" w:rsidRPr="006F6036">
        <w:rPr>
          <w:rFonts w:ascii="Book Antiqua" w:hAnsi="Book Antiqua"/>
          <w:u w:val="single"/>
        </w:rPr>
        <w:t>fairness:</w:t>
      </w:r>
      <w:r w:rsidR="00FE4866" w:rsidRPr="006F6036">
        <w:rPr>
          <w:rFonts w:ascii="Book Antiqua" w:hAnsi="Book Antiqua"/>
          <w:u w:val="single"/>
        </w:rPr>
        <w:t xml:space="preserve"> </w:t>
      </w:r>
      <w:r w:rsidR="00F5468A" w:rsidRPr="006F6036">
        <w:rPr>
          <w:rFonts w:ascii="Book Antiqua" w:hAnsi="Book Antiqua"/>
          <w:u w:val="single"/>
        </w:rPr>
        <w:t>respondent’s policy</w:t>
      </w:r>
      <w:r w:rsidR="00F5468A" w:rsidRPr="006F6036">
        <w:rPr>
          <w:rFonts w:ascii="Book Antiqua" w:hAnsi="Book Antiqua"/>
        </w:rPr>
        <w:t xml:space="preserve"> [2013]</w:t>
      </w:r>
      <w:r w:rsidR="005F2B0F">
        <w:rPr>
          <w:rFonts w:ascii="Book Antiqua" w:hAnsi="Book Antiqua"/>
        </w:rPr>
        <w:t xml:space="preserve"> </w:t>
      </w:r>
      <w:r w:rsidR="00F5468A" w:rsidRPr="006F6036">
        <w:rPr>
          <w:rFonts w:ascii="Book Antiqua" w:hAnsi="Book Antiqua"/>
        </w:rPr>
        <w:t>UKUT 00344(IAC)</w:t>
      </w:r>
      <w:r w:rsidR="009363C2" w:rsidRPr="006F6036">
        <w:rPr>
          <w:rFonts w:ascii="Book Antiqua" w:hAnsi="Book Antiqua"/>
        </w:rPr>
        <w:t>.</w:t>
      </w:r>
      <w:r w:rsidR="00FE4866" w:rsidRPr="006F6036">
        <w:rPr>
          <w:rFonts w:ascii="Book Antiqua" w:hAnsi="Book Antiqua"/>
        </w:rPr>
        <w:t xml:space="preserve"> The original </w:t>
      </w:r>
      <w:r w:rsidR="00FE4866" w:rsidRPr="006F6036">
        <w:rPr>
          <w:rFonts w:ascii="Book Antiqua" w:hAnsi="Book Antiqua"/>
          <w:u w:val="single"/>
        </w:rPr>
        <w:t xml:space="preserve">Patel </w:t>
      </w:r>
      <w:r w:rsidR="001D6FBB" w:rsidRPr="006F6036">
        <w:rPr>
          <w:rFonts w:ascii="Book Antiqua" w:hAnsi="Book Antiqua"/>
        </w:rPr>
        <w:t>decision (</w:t>
      </w:r>
      <w:r w:rsidR="00FE4866" w:rsidRPr="006F6036">
        <w:rPr>
          <w:rFonts w:ascii="Book Antiqua" w:hAnsi="Book Antiqua"/>
          <w:u w:val="single"/>
        </w:rPr>
        <w:t>Patel (revocation of sponsor licence – fairness</w:t>
      </w:r>
      <w:r w:rsidR="00FE4866" w:rsidRPr="001941DC">
        <w:rPr>
          <w:rFonts w:ascii="Book Antiqua" w:hAnsi="Book Antiqua"/>
          <w:u w:val="single"/>
        </w:rPr>
        <w:t>) India</w:t>
      </w:r>
      <w:r w:rsidR="00FE4866" w:rsidRPr="006F6036">
        <w:rPr>
          <w:rFonts w:ascii="Book Antiqua" w:hAnsi="Book Antiqua"/>
        </w:rPr>
        <w:t xml:space="preserve"> [2011] UKUT 211 (IAC) held that where the applicant is </w:t>
      </w:r>
      <w:r w:rsidR="005F2B0F" w:rsidRPr="006F6036">
        <w:rPr>
          <w:rFonts w:ascii="Book Antiqua" w:hAnsi="Book Antiqua"/>
        </w:rPr>
        <w:t>innocent and</w:t>
      </w:r>
      <w:r w:rsidR="00FE4866" w:rsidRPr="006F6036">
        <w:rPr>
          <w:rFonts w:ascii="Book Antiqua" w:hAnsi="Book Antiqua"/>
        </w:rPr>
        <w:t xml:space="preserve"> ignorant of the loss of status, common law fairness and the principle of treating applicants equally mean that they should have an equal opportunity to vary their application by affording them a reasonable time with which to find a substitute </w:t>
      </w:r>
      <w:r w:rsidR="00A254E6" w:rsidRPr="006F6036">
        <w:rPr>
          <w:rFonts w:ascii="Book Antiqua" w:hAnsi="Book Antiqua"/>
        </w:rPr>
        <w:t>college. Such</w:t>
      </w:r>
      <w:r w:rsidR="00FE4866" w:rsidRPr="006F6036">
        <w:rPr>
          <w:rFonts w:ascii="Book Antiqua" w:hAnsi="Book Antiqua"/>
        </w:rPr>
        <w:t xml:space="preserve"> potential refusals should be treated in the same </w:t>
      </w:r>
      <w:r w:rsidR="001D6FBB" w:rsidRPr="006F6036">
        <w:rPr>
          <w:rFonts w:ascii="Book Antiqua" w:hAnsi="Book Antiqua"/>
        </w:rPr>
        <w:t>way as</w:t>
      </w:r>
      <w:r w:rsidR="00FE4866" w:rsidRPr="006F6036">
        <w:rPr>
          <w:rFonts w:ascii="Book Antiqua" w:hAnsi="Book Antiqua"/>
        </w:rPr>
        <w:t xml:space="preserve"> curtailment cases where </w:t>
      </w:r>
      <w:r w:rsidR="001D6FBB" w:rsidRPr="006F6036">
        <w:rPr>
          <w:rFonts w:ascii="Book Antiqua" w:hAnsi="Book Antiqua"/>
        </w:rPr>
        <w:t>the Home</w:t>
      </w:r>
      <w:r w:rsidR="00FE4866" w:rsidRPr="006F6036">
        <w:rPr>
          <w:rFonts w:ascii="Book Antiqua" w:hAnsi="Book Antiqua"/>
        </w:rPr>
        <w:t xml:space="preserve"> Office policy is to allow sixty days to find a substitute college. </w:t>
      </w:r>
    </w:p>
    <w:p w:rsidR="001941DC" w:rsidRDefault="001941DC" w:rsidP="001941DC">
      <w:pPr>
        <w:rPr>
          <w:rFonts w:ascii="Book Antiqua" w:hAnsi="Book Antiqua"/>
          <w:u w:val="single"/>
        </w:rPr>
      </w:pPr>
    </w:p>
    <w:p w:rsidR="003D66DB" w:rsidRPr="006F6036" w:rsidRDefault="003D66DB" w:rsidP="003D66DB">
      <w:pPr>
        <w:numPr>
          <w:ilvl w:val="0"/>
          <w:numId w:val="38"/>
        </w:numPr>
        <w:rPr>
          <w:rFonts w:ascii="Book Antiqua" w:hAnsi="Book Antiqua"/>
        </w:rPr>
      </w:pPr>
      <w:r w:rsidRPr="006F6036">
        <w:rPr>
          <w:rFonts w:ascii="Book Antiqua" w:hAnsi="Book Antiqua"/>
          <w:u w:val="single"/>
        </w:rPr>
        <w:t>Kaur (Patel fairness: respondent's policy)</w:t>
      </w:r>
      <w:r w:rsidRPr="006F6036">
        <w:rPr>
          <w:rFonts w:ascii="Book Antiqua" w:hAnsi="Book Antiqua"/>
        </w:rPr>
        <w:t xml:space="preserve"> [2013] UKUT 00344 (IAC) referred to the </w:t>
      </w:r>
      <w:r w:rsidR="001D6FBB" w:rsidRPr="006F6036">
        <w:rPr>
          <w:rFonts w:ascii="Book Antiqua" w:hAnsi="Book Antiqua"/>
        </w:rPr>
        <w:t xml:space="preserve">respondent’s </w:t>
      </w:r>
      <w:r w:rsidR="001D6FBB" w:rsidRPr="001D6FBB">
        <w:rPr>
          <w:rFonts w:ascii="Book Antiqua" w:hAnsi="Book Antiqua"/>
          <w:iCs/>
        </w:rPr>
        <w:t>policy</w:t>
      </w:r>
      <w:r w:rsidRPr="001D6FBB">
        <w:rPr>
          <w:rFonts w:ascii="Book Antiqua" w:hAnsi="Book Antiqua"/>
          <w:iCs/>
        </w:rPr>
        <w:t xml:space="preserve"> </w:t>
      </w:r>
      <w:r w:rsidR="005F2B0F" w:rsidRPr="006F6036">
        <w:rPr>
          <w:rFonts w:ascii="Book Antiqua" w:hAnsi="Book Antiqua"/>
          <w:iCs/>
        </w:rPr>
        <w:t>introduced to</w:t>
      </w:r>
      <w:r w:rsidRPr="006F6036">
        <w:rPr>
          <w:rFonts w:ascii="Book Antiqua" w:hAnsi="Book Antiqua"/>
          <w:iCs/>
        </w:rPr>
        <w:t xml:space="preserve"> give effect to </w:t>
      </w:r>
      <w:r w:rsidR="001D6FBB" w:rsidRPr="006F6036">
        <w:rPr>
          <w:rFonts w:ascii="Book Antiqua" w:hAnsi="Book Antiqua"/>
          <w:iCs/>
          <w:u w:val="single"/>
        </w:rPr>
        <w:t>Patel</w:t>
      </w:r>
      <w:r w:rsidR="001D6FBB" w:rsidRPr="006F6036">
        <w:rPr>
          <w:rFonts w:ascii="Book Antiqua" w:hAnsi="Book Antiqua"/>
          <w:iCs/>
        </w:rPr>
        <w:t>. The</w:t>
      </w:r>
      <w:r w:rsidRPr="006F6036">
        <w:rPr>
          <w:rFonts w:ascii="Book Antiqua" w:hAnsi="Book Antiqua"/>
          <w:iCs/>
        </w:rPr>
        <w:t xml:space="preserve"> policy provides that, in cases of potential discretionary refusal under paragraph </w:t>
      </w:r>
      <w:r w:rsidR="001D6FBB" w:rsidRPr="006F6036">
        <w:rPr>
          <w:rFonts w:ascii="Book Antiqua" w:hAnsi="Book Antiqua"/>
          <w:iCs/>
        </w:rPr>
        <w:t>322 caseworkers</w:t>
      </w:r>
      <w:r w:rsidRPr="006F6036">
        <w:rPr>
          <w:rFonts w:ascii="Book Antiqua" w:hAnsi="Book Antiqua"/>
          <w:iCs/>
        </w:rPr>
        <w:t xml:space="preserve"> should follow the 'Patel' process otherwise the resulting decision will not be in accordance with the </w:t>
      </w:r>
      <w:r w:rsidR="001D6FBB" w:rsidRPr="006F6036">
        <w:rPr>
          <w:rFonts w:ascii="Book Antiqua" w:hAnsi="Book Antiqua"/>
          <w:iCs/>
        </w:rPr>
        <w:t>law. In</w:t>
      </w:r>
      <w:r w:rsidR="00461ED4" w:rsidRPr="006F6036">
        <w:rPr>
          <w:rFonts w:ascii="Book Antiqua" w:hAnsi="Book Antiqua"/>
          <w:iCs/>
        </w:rPr>
        <w:t xml:space="preserve"> that case there was a change made to the policy between the date of application and the decision in 2013.</w:t>
      </w:r>
    </w:p>
    <w:p w:rsidR="007C26FF" w:rsidRPr="006F6036" w:rsidRDefault="007C26FF" w:rsidP="00461ED4">
      <w:pPr>
        <w:rPr>
          <w:rFonts w:ascii="Book Antiqua" w:hAnsi="Book Antiqua"/>
        </w:rPr>
      </w:pPr>
    </w:p>
    <w:p w:rsidR="006A4E81" w:rsidRDefault="00BD30B8" w:rsidP="006A4E81">
      <w:pPr>
        <w:numPr>
          <w:ilvl w:val="0"/>
          <w:numId w:val="38"/>
        </w:numPr>
        <w:rPr>
          <w:rFonts w:ascii="Book Antiqua" w:hAnsi="Book Antiqua"/>
        </w:rPr>
      </w:pPr>
      <w:r w:rsidRPr="006F6036">
        <w:rPr>
          <w:rFonts w:ascii="Book Antiqua" w:hAnsi="Book Antiqua"/>
        </w:rPr>
        <w:t>The present</w:t>
      </w:r>
      <w:r w:rsidR="006A4E81" w:rsidRPr="006F6036">
        <w:rPr>
          <w:rFonts w:ascii="Book Antiqua" w:hAnsi="Book Antiqua"/>
        </w:rPr>
        <w:t>ing officer</w:t>
      </w:r>
      <w:r w:rsidRPr="006F6036">
        <w:rPr>
          <w:rFonts w:ascii="Book Antiqua" w:hAnsi="Book Antiqua"/>
        </w:rPr>
        <w:t xml:space="preserve"> had submitted that the </w:t>
      </w:r>
      <w:r w:rsidR="006A4E81" w:rsidRPr="006F6036">
        <w:rPr>
          <w:rFonts w:ascii="Book Antiqua" w:hAnsi="Book Antiqua"/>
        </w:rPr>
        <w:t>60-day</w:t>
      </w:r>
      <w:r w:rsidRPr="006F6036">
        <w:rPr>
          <w:rFonts w:ascii="Book Antiqua" w:hAnsi="Book Antiqua"/>
        </w:rPr>
        <w:t xml:space="preserve"> letter was only relevant if that was the only reason </w:t>
      </w:r>
      <w:r w:rsidR="001941DC">
        <w:rPr>
          <w:rFonts w:ascii="Book Antiqua" w:hAnsi="Book Antiqua"/>
        </w:rPr>
        <w:t>for refusal</w:t>
      </w:r>
      <w:r w:rsidRPr="006F6036">
        <w:rPr>
          <w:rFonts w:ascii="Book Antiqua" w:hAnsi="Book Antiqua"/>
        </w:rPr>
        <w:t xml:space="preserve">. </w:t>
      </w:r>
      <w:r w:rsidR="006A4E81" w:rsidRPr="006F6036">
        <w:rPr>
          <w:rFonts w:ascii="Book Antiqua" w:hAnsi="Book Antiqua"/>
        </w:rPr>
        <w:t>I</w:t>
      </w:r>
      <w:r w:rsidRPr="006F6036">
        <w:rPr>
          <w:rFonts w:ascii="Book Antiqua" w:hAnsi="Book Antiqua"/>
        </w:rPr>
        <w:t xml:space="preserve">f there were other </w:t>
      </w:r>
      <w:r w:rsidR="001941DC">
        <w:rPr>
          <w:rFonts w:ascii="Book Antiqua" w:hAnsi="Book Antiqua"/>
        </w:rPr>
        <w:t>reasons,</w:t>
      </w:r>
      <w:r w:rsidRPr="006F6036">
        <w:rPr>
          <w:rFonts w:ascii="Book Antiqua" w:hAnsi="Book Antiqua"/>
        </w:rPr>
        <w:t xml:space="preserve"> for instance, the applicant </w:t>
      </w:r>
      <w:r w:rsidR="001941DC">
        <w:rPr>
          <w:rFonts w:ascii="Book Antiqua" w:hAnsi="Book Antiqua"/>
        </w:rPr>
        <w:t>had not established they were a</w:t>
      </w:r>
      <w:r w:rsidRPr="006F6036">
        <w:rPr>
          <w:rFonts w:ascii="Book Antiqua" w:hAnsi="Book Antiqua"/>
        </w:rPr>
        <w:t xml:space="preserve"> bone fide student then it fell for </w:t>
      </w:r>
      <w:r w:rsidR="00791533" w:rsidRPr="006F6036">
        <w:rPr>
          <w:rFonts w:ascii="Book Antiqua" w:hAnsi="Book Antiqua"/>
        </w:rPr>
        <w:t>refusal.</w:t>
      </w:r>
      <w:r w:rsidR="00791533">
        <w:rPr>
          <w:rFonts w:ascii="Book Antiqua" w:hAnsi="Book Antiqua"/>
        </w:rPr>
        <w:t xml:space="preserve"> Here, the refusal </w:t>
      </w:r>
      <w:r w:rsidRPr="006F6036">
        <w:rPr>
          <w:rFonts w:ascii="Book Antiqua" w:hAnsi="Book Antiqua"/>
        </w:rPr>
        <w:t>related to the appellant's failure to attend for interview and paragraph 3</w:t>
      </w:r>
      <w:r w:rsidR="00791533">
        <w:rPr>
          <w:rFonts w:ascii="Book Antiqua" w:hAnsi="Book Antiqua"/>
        </w:rPr>
        <w:t xml:space="preserve">22(10) of the rules. The </w:t>
      </w:r>
      <w:r w:rsidRPr="006F6036">
        <w:rPr>
          <w:rFonts w:ascii="Book Antiqua" w:hAnsi="Book Antiqua"/>
        </w:rPr>
        <w:t xml:space="preserve">argument </w:t>
      </w:r>
      <w:r w:rsidR="00791533">
        <w:rPr>
          <w:rFonts w:ascii="Book Antiqua" w:hAnsi="Book Antiqua"/>
        </w:rPr>
        <w:t xml:space="preserve">put forward on behalf of the appellant </w:t>
      </w:r>
      <w:r w:rsidRPr="006F6036">
        <w:rPr>
          <w:rFonts w:ascii="Book Antiqua" w:hAnsi="Book Antiqua"/>
        </w:rPr>
        <w:t xml:space="preserve">was that it was premature to interview </w:t>
      </w:r>
      <w:r w:rsidR="00791533">
        <w:rPr>
          <w:rFonts w:ascii="Book Antiqua" w:hAnsi="Book Antiqua"/>
        </w:rPr>
        <w:t xml:space="preserve">her </w:t>
      </w:r>
      <w:r w:rsidRPr="006F6036">
        <w:rPr>
          <w:rFonts w:ascii="Book Antiqua" w:hAnsi="Book Antiqua"/>
        </w:rPr>
        <w:t>as she did not have a new course to attend</w:t>
      </w:r>
      <w:r w:rsidR="00791533">
        <w:rPr>
          <w:rFonts w:ascii="Book Antiqua" w:hAnsi="Book Antiqua"/>
        </w:rPr>
        <w:t>.</w:t>
      </w:r>
      <w:r w:rsidRPr="006F6036">
        <w:rPr>
          <w:rFonts w:ascii="Book Antiqua" w:hAnsi="Book Antiqua"/>
        </w:rPr>
        <w:t xml:space="preserve"> </w:t>
      </w:r>
    </w:p>
    <w:p w:rsidR="00791533" w:rsidRPr="006F6036" w:rsidRDefault="00791533" w:rsidP="00791533">
      <w:pPr>
        <w:rPr>
          <w:rFonts w:ascii="Book Antiqua" w:hAnsi="Book Antiqua"/>
        </w:rPr>
      </w:pPr>
    </w:p>
    <w:p w:rsidR="00461ED4" w:rsidRPr="006F6036" w:rsidRDefault="00461ED4" w:rsidP="00A26E59">
      <w:pPr>
        <w:numPr>
          <w:ilvl w:val="0"/>
          <w:numId w:val="38"/>
        </w:numPr>
        <w:rPr>
          <w:rFonts w:ascii="Book Antiqua" w:hAnsi="Book Antiqua"/>
        </w:rPr>
      </w:pPr>
      <w:r w:rsidRPr="006F6036">
        <w:rPr>
          <w:rFonts w:ascii="Book Antiqua" w:hAnsi="Book Antiqua"/>
        </w:rPr>
        <w:t xml:space="preserve">First-tier Tribunal Judge Robertson asked the </w:t>
      </w:r>
      <w:r w:rsidR="00791533">
        <w:rPr>
          <w:rFonts w:ascii="Book Antiqua" w:hAnsi="Book Antiqua"/>
        </w:rPr>
        <w:t xml:space="preserve">appellant’s representative </w:t>
      </w:r>
      <w:r w:rsidR="00712802" w:rsidRPr="006F6036">
        <w:rPr>
          <w:rFonts w:ascii="Book Antiqua" w:hAnsi="Book Antiqua"/>
        </w:rPr>
        <w:t>if</w:t>
      </w:r>
      <w:r w:rsidRPr="006F6036">
        <w:rPr>
          <w:rFonts w:ascii="Book Antiqua" w:hAnsi="Book Antiqua"/>
        </w:rPr>
        <w:t xml:space="preserve"> the </w:t>
      </w:r>
      <w:r w:rsidR="00791533">
        <w:rPr>
          <w:rFonts w:ascii="Book Antiqua" w:hAnsi="Book Antiqua"/>
        </w:rPr>
        <w:t xml:space="preserve">original </w:t>
      </w:r>
      <w:r w:rsidRPr="006F6036">
        <w:rPr>
          <w:rFonts w:ascii="Book Antiqua" w:hAnsi="Book Antiqua"/>
        </w:rPr>
        <w:t xml:space="preserve">policy had been replaced by the guidance of November 2015. Her representative could not </w:t>
      </w:r>
      <w:r w:rsidR="00712802" w:rsidRPr="006F6036">
        <w:rPr>
          <w:rFonts w:ascii="Book Antiqua" w:hAnsi="Book Antiqua"/>
        </w:rPr>
        <w:t>answer but</w:t>
      </w:r>
      <w:r w:rsidRPr="006F6036">
        <w:rPr>
          <w:rFonts w:ascii="Book Antiqua" w:hAnsi="Book Antiqua"/>
        </w:rPr>
        <w:t xml:space="preserve"> submitted that the new policy still provided for a </w:t>
      </w:r>
      <w:r w:rsidR="00712802" w:rsidRPr="006F6036">
        <w:rPr>
          <w:rFonts w:ascii="Book Antiqua" w:hAnsi="Book Antiqua"/>
        </w:rPr>
        <w:t>60-day</w:t>
      </w:r>
      <w:r w:rsidRPr="006F6036">
        <w:rPr>
          <w:rFonts w:ascii="Book Antiqua" w:hAnsi="Book Antiqua"/>
        </w:rPr>
        <w:t xml:space="preserve"> letter.</w:t>
      </w:r>
    </w:p>
    <w:p w:rsidR="00461ED4" w:rsidRPr="006F6036" w:rsidRDefault="00461ED4" w:rsidP="00461ED4">
      <w:pPr>
        <w:rPr>
          <w:rFonts w:ascii="Book Antiqua" w:hAnsi="Book Antiqua"/>
        </w:rPr>
      </w:pPr>
    </w:p>
    <w:p w:rsidR="007C26FF" w:rsidRDefault="00461ED4" w:rsidP="007C26FF">
      <w:pPr>
        <w:numPr>
          <w:ilvl w:val="0"/>
          <w:numId w:val="38"/>
        </w:numPr>
        <w:rPr>
          <w:rFonts w:ascii="Book Antiqua" w:hAnsi="Book Antiqua"/>
        </w:rPr>
      </w:pPr>
      <w:r w:rsidRPr="006F6036">
        <w:rPr>
          <w:rFonts w:ascii="Book Antiqua" w:hAnsi="Book Antiqua"/>
        </w:rPr>
        <w:t xml:space="preserve">At paragraph 22 the judge concluded that the respondent had good reason for wanting to interview the appellant and she had not demonstrated a good reason for her failure to attend or </w:t>
      </w:r>
      <w:r w:rsidR="006F6036" w:rsidRPr="006F6036">
        <w:rPr>
          <w:rFonts w:ascii="Book Antiqua" w:hAnsi="Book Antiqua"/>
        </w:rPr>
        <w:t xml:space="preserve">make </w:t>
      </w:r>
      <w:r w:rsidR="00712802" w:rsidRPr="006F6036">
        <w:rPr>
          <w:rFonts w:ascii="Book Antiqua" w:hAnsi="Book Antiqua"/>
        </w:rPr>
        <w:t>contact.</w:t>
      </w:r>
      <w:r w:rsidR="00712802">
        <w:rPr>
          <w:rFonts w:ascii="Book Antiqua" w:hAnsi="Book Antiqua"/>
        </w:rPr>
        <w:t xml:space="preserve"> T</w:t>
      </w:r>
      <w:r w:rsidR="006F6036" w:rsidRPr="006F6036">
        <w:rPr>
          <w:rFonts w:ascii="Book Antiqua" w:hAnsi="Book Antiqua"/>
        </w:rPr>
        <w:t>he j</w:t>
      </w:r>
      <w:r w:rsidRPr="006F6036">
        <w:rPr>
          <w:rFonts w:ascii="Book Antiqua" w:hAnsi="Book Antiqua"/>
        </w:rPr>
        <w:t xml:space="preserve">udge concluded that </w:t>
      </w:r>
      <w:r w:rsidR="006F6036" w:rsidRPr="006F6036">
        <w:rPr>
          <w:rFonts w:ascii="Book Antiqua" w:hAnsi="Book Antiqua"/>
        </w:rPr>
        <w:t>the 25</w:t>
      </w:r>
      <w:r w:rsidR="006F6036" w:rsidRPr="006F6036">
        <w:rPr>
          <w:rFonts w:ascii="Book Antiqua" w:hAnsi="Book Antiqua"/>
          <w:vertAlign w:val="superscript"/>
        </w:rPr>
        <w:t>th</w:t>
      </w:r>
      <w:r w:rsidR="006F6036" w:rsidRPr="006F6036">
        <w:rPr>
          <w:rFonts w:ascii="Book Antiqua" w:hAnsi="Book Antiqua"/>
        </w:rPr>
        <w:t xml:space="preserve"> </w:t>
      </w:r>
      <w:r w:rsidRPr="006F6036">
        <w:rPr>
          <w:rFonts w:ascii="Book Antiqua" w:hAnsi="Book Antiqua"/>
        </w:rPr>
        <w:t>November 2015 policy had replaced the earlier one. T</w:t>
      </w:r>
      <w:r w:rsidR="006F6036" w:rsidRPr="006F6036">
        <w:rPr>
          <w:rFonts w:ascii="Book Antiqua" w:hAnsi="Book Antiqua"/>
        </w:rPr>
        <w:t xml:space="preserve">he </w:t>
      </w:r>
      <w:r w:rsidR="00712802" w:rsidRPr="006F6036">
        <w:rPr>
          <w:rFonts w:ascii="Book Antiqua" w:hAnsi="Book Antiqua"/>
        </w:rPr>
        <w:t>60-day</w:t>
      </w:r>
      <w:r w:rsidR="006F6036" w:rsidRPr="006F6036">
        <w:rPr>
          <w:rFonts w:ascii="Book Antiqua" w:hAnsi="Book Antiqua"/>
        </w:rPr>
        <w:t xml:space="preserve"> </w:t>
      </w:r>
      <w:r w:rsidR="00791533">
        <w:rPr>
          <w:rFonts w:ascii="Book Antiqua" w:hAnsi="Book Antiqua"/>
        </w:rPr>
        <w:t xml:space="preserve">notice </w:t>
      </w:r>
      <w:r w:rsidR="00791533" w:rsidRPr="006F6036">
        <w:rPr>
          <w:rFonts w:ascii="Book Antiqua" w:hAnsi="Book Antiqua"/>
        </w:rPr>
        <w:t>was</w:t>
      </w:r>
      <w:r w:rsidR="00BD30B8" w:rsidRPr="006F6036">
        <w:rPr>
          <w:rFonts w:ascii="Book Antiqua" w:hAnsi="Book Antiqua"/>
        </w:rPr>
        <w:t xml:space="preserve"> only </w:t>
      </w:r>
      <w:r w:rsidR="00791533">
        <w:rPr>
          <w:rFonts w:ascii="Book Antiqua" w:hAnsi="Book Antiqua"/>
        </w:rPr>
        <w:t>an issue if that w</w:t>
      </w:r>
      <w:r w:rsidR="00BD30B8" w:rsidRPr="006F6036">
        <w:rPr>
          <w:rFonts w:ascii="Book Antiqua" w:hAnsi="Book Antiqua"/>
        </w:rPr>
        <w:t>here the only reason for refusal</w:t>
      </w:r>
      <w:r w:rsidR="00791533">
        <w:rPr>
          <w:rFonts w:ascii="Book Antiqua" w:hAnsi="Book Antiqua"/>
        </w:rPr>
        <w:t>.</w:t>
      </w:r>
      <w:r w:rsidR="00BD30B8" w:rsidRPr="006F6036">
        <w:rPr>
          <w:rFonts w:ascii="Book Antiqua" w:hAnsi="Book Antiqua"/>
        </w:rPr>
        <w:t xml:space="preserve"> The judge concluded that </w:t>
      </w:r>
      <w:r w:rsidR="00712802" w:rsidRPr="006F6036">
        <w:rPr>
          <w:rFonts w:ascii="Book Antiqua" w:hAnsi="Book Antiqua"/>
        </w:rPr>
        <w:t>the given</w:t>
      </w:r>
      <w:r w:rsidR="002C4675" w:rsidRPr="006F6036">
        <w:rPr>
          <w:rFonts w:ascii="Book Antiqua" w:hAnsi="Book Antiqua"/>
        </w:rPr>
        <w:t xml:space="preserve"> the appellant's failure to contact the </w:t>
      </w:r>
      <w:r w:rsidR="002C4675" w:rsidRPr="006F6036">
        <w:rPr>
          <w:rFonts w:ascii="Book Antiqua" w:hAnsi="Book Antiqua"/>
        </w:rPr>
        <w:lastRenderedPageBreak/>
        <w:t xml:space="preserve">respondent about the </w:t>
      </w:r>
      <w:r w:rsidR="00712802" w:rsidRPr="006F6036">
        <w:rPr>
          <w:rFonts w:ascii="Book Antiqua" w:hAnsi="Book Antiqua"/>
        </w:rPr>
        <w:t>interview the</w:t>
      </w:r>
      <w:r w:rsidR="002C4675" w:rsidRPr="006F6036">
        <w:rPr>
          <w:rFonts w:ascii="Book Antiqua" w:hAnsi="Book Antiqua"/>
        </w:rPr>
        <w:t xml:space="preserve"> refusal was </w:t>
      </w:r>
      <w:r w:rsidR="006F6036" w:rsidRPr="006F6036">
        <w:rPr>
          <w:rFonts w:ascii="Book Antiqua" w:hAnsi="Book Antiqua"/>
        </w:rPr>
        <w:t>justified</w:t>
      </w:r>
      <w:r w:rsidR="002C4675" w:rsidRPr="006F6036">
        <w:rPr>
          <w:rFonts w:ascii="Book Antiqua" w:hAnsi="Book Antiqua"/>
        </w:rPr>
        <w:t xml:space="preserve"> under paragraph 322 (10).</w:t>
      </w:r>
    </w:p>
    <w:p w:rsidR="00712802" w:rsidRDefault="00712802" w:rsidP="00712802">
      <w:pPr>
        <w:rPr>
          <w:rFonts w:ascii="Book Antiqua" w:hAnsi="Book Antiqua"/>
        </w:rPr>
      </w:pPr>
    </w:p>
    <w:p w:rsidR="00712802" w:rsidRPr="00712802" w:rsidRDefault="00712802" w:rsidP="00712802">
      <w:pPr>
        <w:rPr>
          <w:rFonts w:ascii="Book Antiqua" w:hAnsi="Book Antiqua"/>
          <w:u w:val="single"/>
        </w:rPr>
      </w:pPr>
      <w:r w:rsidRPr="00712802">
        <w:rPr>
          <w:rFonts w:ascii="Book Antiqua" w:hAnsi="Book Antiqua"/>
          <w:u w:val="single"/>
        </w:rPr>
        <w:t>The Upper Tribunal</w:t>
      </w:r>
    </w:p>
    <w:p w:rsidR="002C4675" w:rsidRPr="006F6036" w:rsidRDefault="002C4675" w:rsidP="002C4675">
      <w:pPr>
        <w:rPr>
          <w:rFonts w:ascii="Book Antiqua" w:hAnsi="Book Antiqua"/>
        </w:rPr>
      </w:pPr>
    </w:p>
    <w:p w:rsidR="00712802" w:rsidRDefault="00712802" w:rsidP="007C26FF">
      <w:pPr>
        <w:numPr>
          <w:ilvl w:val="0"/>
          <w:numId w:val="38"/>
        </w:numPr>
        <w:rPr>
          <w:rFonts w:ascii="Book Antiqua" w:hAnsi="Book Antiqua"/>
        </w:rPr>
      </w:pPr>
      <w:r>
        <w:rPr>
          <w:rFonts w:ascii="Book Antiqua" w:hAnsi="Book Antiqua"/>
        </w:rPr>
        <w:t xml:space="preserve">Permission to appeal was granted on the basis that it was arguable the judge applied the incorrect policy given the date of the applications. As a </w:t>
      </w:r>
      <w:proofErr w:type="gramStart"/>
      <w:r>
        <w:rPr>
          <w:rFonts w:ascii="Book Antiqua" w:hAnsi="Book Antiqua"/>
        </w:rPr>
        <w:t>consequence</w:t>
      </w:r>
      <w:proofErr w:type="gramEnd"/>
      <w:r>
        <w:rPr>
          <w:rFonts w:ascii="Book Antiqua" w:hAnsi="Book Antiqua"/>
        </w:rPr>
        <w:t xml:space="preserve"> it was arguable this </w:t>
      </w:r>
      <w:r w:rsidR="00791533">
        <w:rPr>
          <w:rFonts w:ascii="Book Antiqua" w:hAnsi="Book Antiqua"/>
        </w:rPr>
        <w:t>b</w:t>
      </w:r>
      <w:r>
        <w:rPr>
          <w:rFonts w:ascii="Book Antiqua" w:hAnsi="Book Antiqua"/>
        </w:rPr>
        <w:t xml:space="preserve">reached the common law duty of furnace is not granting 60 days to find an alternative sponsor. </w:t>
      </w:r>
    </w:p>
    <w:p w:rsidR="00712802" w:rsidRDefault="00712802" w:rsidP="00712802">
      <w:pPr>
        <w:ind w:left="720"/>
        <w:rPr>
          <w:rFonts w:ascii="Book Antiqua" w:hAnsi="Book Antiqua"/>
        </w:rPr>
      </w:pPr>
    </w:p>
    <w:p w:rsidR="001C6E0A" w:rsidRDefault="00CF60E9" w:rsidP="007C26FF">
      <w:pPr>
        <w:numPr>
          <w:ilvl w:val="0"/>
          <w:numId w:val="38"/>
        </w:numPr>
        <w:rPr>
          <w:rFonts w:ascii="Book Antiqua" w:hAnsi="Book Antiqua"/>
        </w:rPr>
      </w:pPr>
      <w:r>
        <w:rPr>
          <w:rFonts w:ascii="Book Antiqua" w:hAnsi="Book Antiqua"/>
        </w:rPr>
        <w:t xml:space="preserve">Ms Iqbal, for the appellant </w:t>
      </w:r>
      <w:r w:rsidR="00712802" w:rsidRPr="00F94B6F">
        <w:rPr>
          <w:rFonts w:ascii="Book Antiqua" w:hAnsi="Book Antiqua"/>
        </w:rPr>
        <w:t xml:space="preserve">referred me to the date of application, namely 12 June 2014. </w:t>
      </w:r>
      <w:r w:rsidR="00A254E6" w:rsidRPr="00F94B6F">
        <w:rPr>
          <w:rFonts w:ascii="Book Antiqua" w:hAnsi="Book Antiqua"/>
        </w:rPr>
        <w:t>She submitted the</w:t>
      </w:r>
      <w:r w:rsidR="00712802" w:rsidRPr="00F94B6F">
        <w:rPr>
          <w:rFonts w:ascii="Book Antiqua" w:hAnsi="Book Antiqua"/>
        </w:rPr>
        <w:t xml:space="preserve"> relevant applicable policy therefore was </w:t>
      </w:r>
      <w:r w:rsidR="00791533">
        <w:rPr>
          <w:rFonts w:ascii="Book Antiqua" w:hAnsi="Book Antiqua"/>
        </w:rPr>
        <w:t xml:space="preserve">the </w:t>
      </w:r>
      <w:r w:rsidR="00712802" w:rsidRPr="00F94B6F">
        <w:rPr>
          <w:rFonts w:ascii="Book Antiqua" w:hAnsi="Book Antiqua"/>
        </w:rPr>
        <w:t xml:space="preserve">one of January 2014. </w:t>
      </w:r>
      <w:r w:rsidR="00FE646B">
        <w:rPr>
          <w:rFonts w:ascii="Book Antiqua" w:hAnsi="Book Antiqua"/>
        </w:rPr>
        <w:t>This was on the basis that the points-based system requires applicants to satisfy the rules as at the date of application. What became known as the Patel guidance were revised on a number of occasions. The grounds contend that the relevant updated guidance was the one dated 11 November 2013 even</w:t>
      </w:r>
      <w:r w:rsidR="001C6E0A">
        <w:rPr>
          <w:rFonts w:ascii="Book Antiqua" w:hAnsi="Book Antiqua"/>
        </w:rPr>
        <w:t xml:space="preserve"> </w:t>
      </w:r>
      <w:r w:rsidR="00FE646B">
        <w:rPr>
          <w:rFonts w:ascii="Book Antiqua" w:hAnsi="Book Antiqua"/>
        </w:rPr>
        <w:t>though the appellant’s representative had relied on the guidance of 25</w:t>
      </w:r>
      <w:r w:rsidR="00FE646B" w:rsidRPr="00FE646B">
        <w:rPr>
          <w:rFonts w:ascii="Book Antiqua" w:hAnsi="Book Antiqua"/>
          <w:vertAlign w:val="superscript"/>
        </w:rPr>
        <w:t>th</w:t>
      </w:r>
      <w:r w:rsidR="00FE646B">
        <w:rPr>
          <w:rFonts w:ascii="Book Antiqua" w:hAnsi="Book Antiqua"/>
        </w:rPr>
        <w:t xml:space="preserve"> </w:t>
      </w:r>
      <w:r w:rsidR="001C6E0A">
        <w:rPr>
          <w:rFonts w:ascii="Book Antiqua" w:hAnsi="Book Antiqua"/>
        </w:rPr>
        <w:t>November</w:t>
      </w:r>
      <w:r w:rsidR="00FE646B">
        <w:rPr>
          <w:rFonts w:ascii="Book Antiqua" w:hAnsi="Book Antiqua"/>
        </w:rPr>
        <w:t xml:space="preserve"> 2015 in the appeal bundle.</w:t>
      </w:r>
    </w:p>
    <w:p w:rsidR="001C6E0A" w:rsidRDefault="001C6E0A" w:rsidP="001C6E0A">
      <w:pPr>
        <w:rPr>
          <w:rFonts w:ascii="Book Antiqua" w:hAnsi="Book Antiqua"/>
        </w:rPr>
      </w:pPr>
    </w:p>
    <w:p w:rsidR="001C6E0A" w:rsidRDefault="001C6E0A" w:rsidP="007C26FF">
      <w:pPr>
        <w:numPr>
          <w:ilvl w:val="0"/>
          <w:numId w:val="38"/>
        </w:numPr>
        <w:rPr>
          <w:rFonts w:ascii="Book Antiqua" w:hAnsi="Book Antiqua"/>
        </w:rPr>
      </w:pPr>
      <w:r>
        <w:rPr>
          <w:rFonts w:ascii="Book Antiqua" w:hAnsi="Book Antiqua"/>
        </w:rPr>
        <w:t xml:space="preserve">The presenting </w:t>
      </w:r>
      <w:r w:rsidR="00791533">
        <w:rPr>
          <w:rFonts w:ascii="Book Antiqua" w:hAnsi="Book Antiqua"/>
        </w:rPr>
        <w:t>officer</w:t>
      </w:r>
      <w:r>
        <w:rPr>
          <w:rFonts w:ascii="Book Antiqua" w:hAnsi="Book Antiqua"/>
        </w:rPr>
        <w:t xml:space="preserve"> argued that the 60-day notice was not the issue because the appellant had twice been asked to attend for interview and failed without good reason to do so. On this basis there was no unfairness.</w:t>
      </w:r>
    </w:p>
    <w:p w:rsidR="001C6E0A" w:rsidRDefault="001C6E0A" w:rsidP="001C6E0A">
      <w:pPr>
        <w:rPr>
          <w:rFonts w:ascii="Book Antiqua" w:hAnsi="Book Antiqua"/>
        </w:rPr>
      </w:pPr>
    </w:p>
    <w:p w:rsidR="001C6E0A" w:rsidRPr="001C6E0A" w:rsidRDefault="001C6E0A" w:rsidP="001C6E0A">
      <w:pPr>
        <w:rPr>
          <w:rFonts w:ascii="Book Antiqua" w:hAnsi="Book Antiqua"/>
          <w:u w:val="single"/>
        </w:rPr>
      </w:pPr>
      <w:r w:rsidRPr="001C6E0A">
        <w:rPr>
          <w:rFonts w:ascii="Book Antiqua" w:hAnsi="Book Antiqua"/>
          <w:u w:val="single"/>
        </w:rPr>
        <w:t>Consideration</w:t>
      </w:r>
    </w:p>
    <w:p w:rsidR="001C6E0A" w:rsidRDefault="001C6E0A" w:rsidP="001C6E0A">
      <w:pPr>
        <w:rPr>
          <w:rFonts w:ascii="Book Antiqua" w:hAnsi="Book Antiqua"/>
        </w:rPr>
      </w:pPr>
    </w:p>
    <w:p w:rsidR="00FE646B" w:rsidRDefault="001C6E0A" w:rsidP="00FE646B">
      <w:pPr>
        <w:numPr>
          <w:ilvl w:val="0"/>
          <w:numId w:val="38"/>
        </w:numPr>
        <w:rPr>
          <w:rFonts w:ascii="Book Antiqua" w:hAnsi="Book Antiqua"/>
        </w:rPr>
      </w:pPr>
      <w:r>
        <w:rPr>
          <w:rFonts w:ascii="Book Antiqua" w:hAnsi="Book Antiqua"/>
        </w:rPr>
        <w:t xml:space="preserve"> </w:t>
      </w:r>
      <w:r w:rsidR="0028393E">
        <w:rPr>
          <w:rFonts w:ascii="Book Antiqua" w:hAnsi="Book Antiqua"/>
        </w:rPr>
        <w:t xml:space="preserve">There have been numerous updates to the guidance on the tier </w:t>
      </w:r>
      <w:r w:rsidR="00791533">
        <w:rPr>
          <w:rFonts w:ascii="Book Antiqua" w:hAnsi="Book Antiqua"/>
        </w:rPr>
        <w:t xml:space="preserve">4. </w:t>
      </w:r>
      <w:r w:rsidR="0028393E">
        <w:rPr>
          <w:rFonts w:ascii="Book Antiqua" w:hAnsi="Book Antiqua"/>
        </w:rPr>
        <w:t xml:space="preserve">As a general principle in </w:t>
      </w:r>
      <w:r w:rsidR="00791533">
        <w:rPr>
          <w:rFonts w:ascii="Book Antiqua" w:hAnsi="Book Antiqua"/>
        </w:rPr>
        <w:t>all that</w:t>
      </w:r>
      <w:r w:rsidR="0028393E">
        <w:rPr>
          <w:rFonts w:ascii="Book Antiqua" w:hAnsi="Book Antiqua"/>
        </w:rPr>
        <w:t xml:space="preserve"> where the college has lost its licence through no fault of the student then the</w:t>
      </w:r>
      <w:r w:rsidR="00791533">
        <w:rPr>
          <w:rFonts w:ascii="Book Antiqua" w:hAnsi="Book Antiqua"/>
        </w:rPr>
        <w:t xml:space="preserve"> student is</w:t>
      </w:r>
      <w:r w:rsidR="0028393E">
        <w:rPr>
          <w:rFonts w:ascii="Book Antiqua" w:hAnsi="Book Antiqua"/>
        </w:rPr>
        <w:t xml:space="preserve"> entitled to a </w:t>
      </w:r>
      <w:r w:rsidR="00791533">
        <w:rPr>
          <w:rFonts w:ascii="Book Antiqua" w:hAnsi="Book Antiqua"/>
        </w:rPr>
        <w:t>60-day</w:t>
      </w:r>
      <w:r w:rsidR="0028393E">
        <w:rPr>
          <w:rFonts w:ascii="Book Antiqua" w:hAnsi="Book Antiqua"/>
        </w:rPr>
        <w:t xml:space="preserve"> notice. Th</w:t>
      </w:r>
      <w:r w:rsidR="00791533">
        <w:rPr>
          <w:rFonts w:ascii="Book Antiqua" w:hAnsi="Book Antiqua"/>
        </w:rPr>
        <w:t xml:space="preserve">e rational is </w:t>
      </w:r>
      <w:r w:rsidR="009F0DB2">
        <w:rPr>
          <w:rFonts w:ascii="Book Antiqua" w:hAnsi="Book Antiqua"/>
        </w:rPr>
        <w:t>fairness.</w:t>
      </w:r>
      <w:r w:rsidR="009F0DB2" w:rsidRPr="009F0DB2">
        <w:rPr>
          <w:rFonts w:ascii="Book Antiqua" w:hAnsi="Book Antiqua"/>
        </w:rPr>
        <w:t xml:space="preserve"> </w:t>
      </w:r>
    </w:p>
    <w:p w:rsidR="009F0DB2" w:rsidRDefault="009F0DB2" w:rsidP="009F0DB2">
      <w:pPr>
        <w:ind w:left="720"/>
        <w:rPr>
          <w:rFonts w:ascii="Book Antiqua" w:hAnsi="Book Antiqua"/>
        </w:rPr>
      </w:pPr>
    </w:p>
    <w:p w:rsidR="006445F8" w:rsidRDefault="009F0DB2" w:rsidP="00FE646B">
      <w:pPr>
        <w:numPr>
          <w:ilvl w:val="0"/>
          <w:numId w:val="38"/>
        </w:numPr>
        <w:rPr>
          <w:rFonts w:ascii="Book Antiqua" w:hAnsi="Book Antiqua"/>
        </w:rPr>
      </w:pPr>
      <w:r>
        <w:rPr>
          <w:rFonts w:ascii="Book Antiqua" w:hAnsi="Book Antiqua"/>
        </w:rPr>
        <w:t xml:space="preserve">It was not an easy matter for the judge to </w:t>
      </w:r>
      <w:r w:rsidR="006445F8">
        <w:rPr>
          <w:rFonts w:ascii="Book Antiqua" w:hAnsi="Book Antiqua"/>
        </w:rPr>
        <w:t>determine which</w:t>
      </w:r>
      <w:r w:rsidR="00791533">
        <w:rPr>
          <w:rFonts w:ascii="Book Antiqua" w:hAnsi="Book Antiqua"/>
        </w:rPr>
        <w:t xml:space="preserve"> </w:t>
      </w:r>
      <w:r w:rsidR="006445F8">
        <w:rPr>
          <w:rFonts w:ascii="Book Antiqua" w:hAnsi="Book Antiqua"/>
        </w:rPr>
        <w:t>the relevant guidance was</w:t>
      </w:r>
      <w:r w:rsidR="00791533">
        <w:rPr>
          <w:rFonts w:ascii="Book Antiqua" w:hAnsi="Book Antiqua"/>
        </w:rPr>
        <w:t xml:space="preserve"> when the appellant’s representative could not say and the appeal bundle referred to the 2015 guidance.</w:t>
      </w:r>
      <w:r>
        <w:rPr>
          <w:rFonts w:ascii="Book Antiqua" w:hAnsi="Book Antiqua"/>
        </w:rPr>
        <w:t xml:space="preserve"> </w:t>
      </w:r>
      <w:r w:rsidR="00791533">
        <w:rPr>
          <w:rFonts w:ascii="Book Antiqua" w:hAnsi="Book Antiqua"/>
        </w:rPr>
        <w:t>Ms.</w:t>
      </w:r>
      <w:r w:rsidR="005F2B0F">
        <w:rPr>
          <w:rFonts w:ascii="Book Antiqua" w:hAnsi="Book Antiqua"/>
        </w:rPr>
        <w:t xml:space="preserve"> </w:t>
      </w:r>
      <w:r w:rsidR="00791533">
        <w:rPr>
          <w:rFonts w:ascii="Book Antiqua" w:hAnsi="Book Antiqua"/>
        </w:rPr>
        <w:t xml:space="preserve">S Iqbal has not made it clear to me why the earlier policy was applicable. More significantly, she is now </w:t>
      </w:r>
      <w:r w:rsidR="006445F8">
        <w:rPr>
          <w:rFonts w:ascii="Book Antiqua" w:hAnsi="Book Antiqua"/>
        </w:rPr>
        <w:t>explaining</w:t>
      </w:r>
      <w:r w:rsidR="00791533">
        <w:rPr>
          <w:rFonts w:ascii="Book Antiqua" w:hAnsi="Book Antiqua"/>
        </w:rPr>
        <w:t xml:space="preserve"> to me what difference it would make. </w:t>
      </w:r>
    </w:p>
    <w:p w:rsidR="006445F8" w:rsidRDefault="006445F8" w:rsidP="006445F8">
      <w:pPr>
        <w:rPr>
          <w:rFonts w:ascii="Book Antiqua" w:hAnsi="Book Antiqua"/>
        </w:rPr>
      </w:pPr>
    </w:p>
    <w:p w:rsidR="006445F8" w:rsidRDefault="00791533" w:rsidP="00FE646B">
      <w:pPr>
        <w:numPr>
          <w:ilvl w:val="0"/>
          <w:numId w:val="38"/>
        </w:numPr>
        <w:rPr>
          <w:rFonts w:ascii="Book Antiqua" w:hAnsi="Book Antiqua"/>
        </w:rPr>
      </w:pPr>
      <w:r>
        <w:rPr>
          <w:rFonts w:ascii="Book Antiqua" w:hAnsi="Book Antiqua"/>
        </w:rPr>
        <w:t>U</w:t>
      </w:r>
      <w:r w:rsidR="00CF00DD">
        <w:rPr>
          <w:rFonts w:ascii="Book Antiqua" w:hAnsi="Book Antiqua"/>
        </w:rPr>
        <w:t xml:space="preserve">nless </w:t>
      </w:r>
      <w:r>
        <w:rPr>
          <w:rFonts w:ascii="Book Antiqua" w:hAnsi="Book Antiqua"/>
        </w:rPr>
        <w:t>the</w:t>
      </w:r>
      <w:r w:rsidR="00CF00DD">
        <w:rPr>
          <w:rFonts w:ascii="Book Antiqua" w:hAnsi="Book Antiqua"/>
        </w:rPr>
        <w:t xml:space="preserve"> guidance </w:t>
      </w:r>
      <w:r>
        <w:rPr>
          <w:rFonts w:ascii="Book Antiqua" w:hAnsi="Book Antiqua"/>
        </w:rPr>
        <w:t xml:space="preserve">specified </w:t>
      </w:r>
      <w:r w:rsidR="006445F8">
        <w:rPr>
          <w:rFonts w:ascii="Book Antiqua" w:hAnsi="Book Antiqua"/>
        </w:rPr>
        <w:t xml:space="preserve">to the contrary, for instance that </w:t>
      </w:r>
      <w:r>
        <w:rPr>
          <w:rFonts w:ascii="Book Antiqua" w:hAnsi="Book Antiqua"/>
        </w:rPr>
        <w:t>it was not retrospective</w:t>
      </w:r>
      <w:r w:rsidR="006445F8">
        <w:rPr>
          <w:rFonts w:ascii="Book Antiqua" w:hAnsi="Book Antiqua"/>
        </w:rPr>
        <w:t>,</w:t>
      </w:r>
      <w:r>
        <w:rPr>
          <w:rFonts w:ascii="Book Antiqua" w:hAnsi="Book Antiqua"/>
        </w:rPr>
        <w:t xml:space="preserve"> </w:t>
      </w:r>
      <w:r w:rsidR="006445F8">
        <w:rPr>
          <w:rFonts w:ascii="Book Antiqua" w:hAnsi="Book Antiqua"/>
        </w:rPr>
        <w:t xml:space="preserve">then I would have expected the decision maker to apply </w:t>
      </w:r>
      <w:r w:rsidR="00CF00DD">
        <w:rPr>
          <w:rFonts w:ascii="Book Antiqua" w:hAnsi="Book Antiqua"/>
        </w:rPr>
        <w:t xml:space="preserve">the operative guidance </w:t>
      </w:r>
      <w:r w:rsidR="006445F8">
        <w:rPr>
          <w:rFonts w:ascii="Book Antiqua" w:hAnsi="Book Antiqua"/>
        </w:rPr>
        <w:t xml:space="preserve">in place </w:t>
      </w:r>
      <w:r w:rsidR="00CF00DD">
        <w:rPr>
          <w:rFonts w:ascii="Book Antiqua" w:hAnsi="Book Antiqua"/>
        </w:rPr>
        <w:t xml:space="preserve">immediately before the decision was taken. </w:t>
      </w:r>
      <w:r w:rsidR="006445F8">
        <w:rPr>
          <w:rFonts w:ascii="Book Antiqua" w:hAnsi="Book Antiqua"/>
        </w:rPr>
        <w:t xml:space="preserve">The extracts provided do not make for clarity as to the relevant guidance. </w:t>
      </w:r>
      <w:r w:rsidR="00CF00DD">
        <w:rPr>
          <w:rFonts w:ascii="Book Antiqua" w:hAnsi="Book Antiqua"/>
        </w:rPr>
        <w:t xml:space="preserve">I agree with </w:t>
      </w:r>
      <w:r w:rsidR="006445F8" w:rsidRPr="006F6036">
        <w:rPr>
          <w:rFonts w:ascii="Book Antiqua" w:hAnsi="Book Antiqua"/>
        </w:rPr>
        <w:t xml:space="preserve">First-tier Tribunal Judge Robertson </w:t>
      </w:r>
      <w:r w:rsidR="00CF00DD">
        <w:rPr>
          <w:rFonts w:ascii="Book Antiqua" w:hAnsi="Book Antiqua"/>
        </w:rPr>
        <w:t xml:space="preserve">that there cannot be two policies operative affecting the same </w:t>
      </w:r>
      <w:r w:rsidR="006445F8">
        <w:rPr>
          <w:rFonts w:ascii="Book Antiqua" w:hAnsi="Book Antiqua"/>
        </w:rPr>
        <w:t>issue. A</w:t>
      </w:r>
      <w:r w:rsidR="00CF00DD">
        <w:rPr>
          <w:rFonts w:ascii="Book Antiqua" w:hAnsi="Book Antiqua"/>
        </w:rPr>
        <w:t xml:space="preserve"> would favour</w:t>
      </w:r>
      <w:r w:rsidR="006445F8">
        <w:rPr>
          <w:rFonts w:ascii="Book Antiqua" w:hAnsi="Book Antiqua"/>
        </w:rPr>
        <w:t>,</w:t>
      </w:r>
      <w:r w:rsidR="00CF00DD">
        <w:rPr>
          <w:rFonts w:ascii="Book Antiqua" w:hAnsi="Book Antiqua"/>
        </w:rPr>
        <w:t xml:space="preserve"> as the judge did</w:t>
      </w:r>
      <w:r w:rsidR="006445F8">
        <w:rPr>
          <w:rFonts w:ascii="Book Antiqua" w:hAnsi="Book Antiqua"/>
        </w:rPr>
        <w:t>,</w:t>
      </w:r>
      <w:r w:rsidR="00CF00DD">
        <w:rPr>
          <w:rFonts w:ascii="Book Antiqua" w:hAnsi="Book Antiqua"/>
        </w:rPr>
        <w:t xml:space="preserve"> the later policy. In any event </w:t>
      </w:r>
      <w:r w:rsidR="006445F8">
        <w:rPr>
          <w:rFonts w:ascii="Book Antiqua" w:hAnsi="Book Antiqua"/>
        </w:rPr>
        <w:t>it has not been demonstrated what the material difference was.</w:t>
      </w:r>
    </w:p>
    <w:p w:rsidR="006445F8" w:rsidRDefault="006445F8" w:rsidP="006445F8">
      <w:pPr>
        <w:rPr>
          <w:rFonts w:ascii="Book Antiqua" w:hAnsi="Book Antiqua"/>
        </w:rPr>
      </w:pPr>
    </w:p>
    <w:p w:rsidR="006445F8" w:rsidRDefault="00CF00DD" w:rsidP="00FE646B">
      <w:pPr>
        <w:numPr>
          <w:ilvl w:val="0"/>
          <w:numId w:val="38"/>
        </w:numPr>
        <w:rPr>
          <w:rFonts w:ascii="Book Antiqua" w:hAnsi="Book Antiqua"/>
        </w:rPr>
      </w:pPr>
      <w:r>
        <w:rPr>
          <w:rFonts w:ascii="Book Antiqua" w:hAnsi="Book Antiqua"/>
        </w:rPr>
        <w:lastRenderedPageBreak/>
        <w:t xml:space="preserve"> The </w:t>
      </w:r>
      <w:r w:rsidR="006445F8">
        <w:rPr>
          <w:rFonts w:ascii="Book Antiqua" w:hAnsi="Book Antiqua"/>
        </w:rPr>
        <w:t>60-day</w:t>
      </w:r>
      <w:r>
        <w:rPr>
          <w:rFonts w:ascii="Book Antiqua" w:hAnsi="Book Antiqua"/>
        </w:rPr>
        <w:t xml:space="preserve"> notice is based upon the principle of fairness. The appellant</w:t>
      </w:r>
      <w:r w:rsidR="006445F8">
        <w:rPr>
          <w:rFonts w:ascii="Book Antiqua" w:hAnsi="Book Antiqua"/>
        </w:rPr>
        <w:t>’s leave as a student was curtained in 2012</w:t>
      </w:r>
      <w:r>
        <w:rPr>
          <w:rFonts w:ascii="Book Antiqua" w:hAnsi="Book Antiqua"/>
        </w:rPr>
        <w:t xml:space="preserve"> for non-attendance. She succeeded on appeal and was granted leave for a further period. She then applied for further </w:t>
      </w:r>
      <w:r w:rsidR="006445F8">
        <w:rPr>
          <w:rFonts w:ascii="Book Antiqua" w:hAnsi="Book Antiqua"/>
        </w:rPr>
        <w:t>leave. The respondent</w:t>
      </w:r>
      <w:r>
        <w:rPr>
          <w:rFonts w:ascii="Book Antiqua" w:hAnsi="Book Antiqua"/>
        </w:rPr>
        <w:t xml:space="preserve"> had concerns about whether she was a genuine student. The respondent wrote to her on </w:t>
      </w:r>
      <w:r w:rsidRPr="006F6036">
        <w:rPr>
          <w:rFonts w:ascii="Book Antiqua" w:hAnsi="Book Antiqua"/>
        </w:rPr>
        <w:t>16 November 2015 and 27 November 2015 inviting her to attend for interview</w:t>
      </w:r>
      <w:r>
        <w:rPr>
          <w:rFonts w:ascii="Book Antiqua" w:hAnsi="Book Antiqua"/>
        </w:rPr>
        <w:t xml:space="preserve"> on 8 December 2015. She did not attend and did not contact the respondent </w:t>
      </w:r>
      <w:r w:rsidR="006445F8">
        <w:rPr>
          <w:rFonts w:ascii="Book Antiqua" w:hAnsi="Book Antiqua"/>
        </w:rPr>
        <w:t>offering any</w:t>
      </w:r>
      <w:r>
        <w:rPr>
          <w:rFonts w:ascii="Book Antiqua" w:hAnsi="Book Antiqua"/>
        </w:rPr>
        <w:t xml:space="preserve"> explanation. </w:t>
      </w:r>
      <w:r w:rsidR="008E3281" w:rsidRPr="006F6036">
        <w:rPr>
          <w:rFonts w:ascii="Book Antiqua" w:hAnsi="Book Antiqua"/>
        </w:rPr>
        <w:t>The appellant's evidence was she went to the college in February 2015 and was advised they had lost their licence and</w:t>
      </w:r>
      <w:r w:rsidR="006445F8">
        <w:rPr>
          <w:rFonts w:ascii="Book Antiqua" w:hAnsi="Book Antiqua"/>
        </w:rPr>
        <w:t xml:space="preserve"> had</w:t>
      </w:r>
      <w:r w:rsidR="008E3281" w:rsidRPr="006F6036">
        <w:rPr>
          <w:rFonts w:ascii="Book Antiqua" w:hAnsi="Book Antiqua"/>
        </w:rPr>
        <w:t xml:space="preserve"> unsuccessfully disputed this with the Home </w:t>
      </w:r>
      <w:r w:rsidR="006445F8" w:rsidRPr="006F6036">
        <w:rPr>
          <w:rFonts w:ascii="Book Antiqua" w:hAnsi="Book Antiqua"/>
        </w:rPr>
        <w:t>Office.</w:t>
      </w:r>
      <w:r w:rsidR="006445F8">
        <w:rPr>
          <w:rFonts w:ascii="Book Antiqua" w:hAnsi="Book Antiqua"/>
        </w:rPr>
        <w:t xml:space="preserve"> She indicated</w:t>
      </w:r>
      <w:r>
        <w:rPr>
          <w:rFonts w:ascii="Book Antiqua" w:hAnsi="Book Antiqua"/>
        </w:rPr>
        <w:t xml:space="preserve"> she did not see any point in going </w:t>
      </w:r>
      <w:r w:rsidR="006445F8">
        <w:rPr>
          <w:rFonts w:ascii="Book Antiqua" w:hAnsi="Book Antiqua"/>
        </w:rPr>
        <w:t>to the interview as she</w:t>
      </w:r>
      <w:r>
        <w:rPr>
          <w:rFonts w:ascii="Book Antiqua" w:hAnsi="Book Antiqua"/>
        </w:rPr>
        <w:t xml:space="preserve"> did not have a study plan to follow. </w:t>
      </w:r>
      <w:r w:rsidR="008E3281">
        <w:rPr>
          <w:rFonts w:ascii="Book Antiqua" w:hAnsi="Book Antiqua"/>
        </w:rPr>
        <w:t xml:space="preserve">Her application was refused </w:t>
      </w:r>
      <w:r w:rsidR="006445F8">
        <w:rPr>
          <w:rFonts w:ascii="Book Antiqua" w:hAnsi="Book Antiqua"/>
        </w:rPr>
        <w:t>und</w:t>
      </w:r>
      <w:r w:rsidR="008E3281" w:rsidRPr="006F6036">
        <w:rPr>
          <w:rFonts w:ascii="Book Antiqua" w:hAnsi="Book Antiqua"/>
        </w:rPr>
        <w:t>er paragraph 322 (10).</w:t>
      </w:r>
      <w:r w:rsidR="008E3281">
        <w:rPr>
          <w:rFonts w:ascii="Book Antiqua" w:hAnsi="Book Antiqua"/>
        </w:rPr>
        <w:t xml:space="preserve"> </w:t>
      </w:r>
    </w:p>
    <w:p w:rsidR="006445F8" w:rsidRDefault="006445F8" w:rsidP="006445F8">
      <w:pPr>
        <w:rPr>
          <w:rFonts w:ascii="Book Antiqua" w:hAnsi="Book Antiqua"/>
        </w:rPr>
      </w:pPr>
    </w:p>
    <w:p w:rsidR="006445F8" w:rsidRDefault="008E3281" w:rsidP="00FE646B">
      <w:pPr>
        <w:numPr>
          <w:ilvl w:val="0"/>
          <w:numId w:val="38"/>
        </w:numPr>
        <w:rPr>
          <w:rFonts w:ascii="Book Antiqua" w:hAnsi="Book Antiqua"/>
        </w:rPr>
      </w:pPr>
      <w:r>
        <w:rPr>
          <w:rFonts w:ascii="Book Antiqua" w:hAnsi="Book Antiqua"/>
        </w:rPr>
        <w:t>This is quite separate from the issue of having a CAS and this was a point argued before</w:t>
      </w:r>
      <w:r w:rsidRPr="008E3281">
        <w:rPr>
          <w:rFonts w:ascii="Book Antiqua" w:hAnsi="Book Antiqua"/>
        </w:rPr>
        <w:t xml:space="preserve"> </w:t>
      </w:r>
      <w:r w:rsidRPr="006F6036">
        <w:rPr>
          <w:rFonts w:ascii="Book Antiqua" w:hAnsi="Book Antiqua"/>
        </w:rPr>
        <w:t>First-tier Tribunal Judge Robertson</w:t>
      </w:r>
      <w:r>
        <w:rPr>
          <w:rFonts w:ascii="Book Antiqua" w:hAnsi="Book Antiqua"/>
        </w:rPr>
        <w:t>. At paragraph 23 the judge concluded that she had made absolutely no attempt to contact the respondent</w:t>
      </w:r>
      <w:r w:rsidR="006445F8">
        <w:rPr>
          <w:rFonts w:ascii="Book Antiqua" w:hAnsi="Book Antiqua"/>
        </w:rPr>
        <w:t>.</w:t>
      </w:r>
      <w:r w:rsidR="005F2B0F">
        <w:rPr>
          <w:rFonts w:ascii="Book Antiqua" w:hAnsi="Book Antiqua"/>
        </w:rPr>
        <w:t xml:space="preserve"> </w:t>
      </w:r>
      <w:r w:rsidR="006445F8">
        <w:rPr>
          <w:rFonts w:ascii="Book Antiqua" w:hAnsi="Book Antiqua"/>
        </w:rPr>
        <w:t>The judge</w:t>
      </w:r>
      <w:r>
        <w:rPr>
          <w:rFonts w:ascii="Book Antiqua" w:hAnsi="Book Antiqua"/>
        </w:rPr>
        <w:t xml:space="preserve"> concluded there was no reason why the respondent should have exercise discretion in her favour. </w:t>
      </w:r>
    </w:p>
    <w:p w:rsidR="006445F8" w:rsidRDefault="006445F8" w:rsidP="006445F8">
      <w:pPr>
        <w:rPr>
          <w:rFonts w:ascii="Book Antiqua" w:hAnsi="Book Antiqua"/>
        </w:rPr>
      </w:pPr>
    </w:p>
    <w:p w:rsidR="008E3281" w:rsidRDefault="006445F8" w:rsidP="00FE646B">
      <w:pPr>
        <w:numPr>
          <w:ilvl w:val="0"/>
          <w:numId w:val="38"/>
        </w:numPr>
        <w:rPr>
          <w:rFonts w:ascii="Book Antiqua" w:hAnsi="Book Antiqua"/>
        </w:rPr>
      </w:pPr>
      <w:r>
        <w:rPr>
          <w:rFonts w:ascii="Book Antiqua" w:hAnsi="Book Antiqua"/>
        </w:rPr>
        <w:t xml:space="preserve">This was a carefully prepared decision in which the judge engaged with the issues arising. The judge did ask representatives as to the relevant policy, but met with limited success. The appeal did not only </w:t>
      </w:r>
      <w:proofErr w:type="gramStart"/>
      <w:r>
        <w:rPr>
          <w:rFonts w:ascii="Book Antiqua" w:hAnsi="Book Antiqua"/>
        </w:rPr>
        <w:t>concerned</w:t>
      </w:r>
      <w:proofErr w:type="gramEnd"/>
      <w:r>
        <w:rPr>
          <w:rFonts w:ascii="Book Antiqua" w:hAnsi="Book Antiqua"/>
        </w:rPr>
        <w:t xml:space="preserve"> the fact the educational provider was not registered but concerned whether there was any explanation for her failure to attend for interview about her studies. </w:t>
      </w:r>
      <w:r w:rsidR="008E3281">
        <w:rPr>
          <w:rFonts w:ascii="Book Antiqua" w:hAnsi="Book Antiqua"/>
        </w:rPr>
        <w:t>I can find no fault with this reasoning and find no material error of law established.</w:t>
      </w:r>
    </w:p>
    <w:p w:rsidR="008E3281" w:rsidRDefault="008E3281" w:rsidP="008E3281">
      <w:pPr>
        <w:ind w:left="720"/>
        <w:rPr>
          <w:rFonts w:ascii="Book Antiqua" w:hAnsi="Book Antiqua"/>
        </w:rPr>
      </w:pPr>
    </w:p>
    <w:p w:rsidR="00B81C41" w:rsidRPr="008E3281" w:rsidRDefault="008E3281" w:rsidP="008E3281">
      <w:pPr>
        <w:rPr>
          <w:rFonts w:ascii="Book Antiqua" w:hAnsi="Book Antiqua"/>
        </w:rPr>
      </w:pPr>
      <w:r>
        <w:rPr>
          <w:rFonts w:ascii="Book Antiqua" w:hAnsi="Book Antiqua"/>
        </w:rPr>
        <w:t xml:space="preserve"> </w:t>
      </w:r>
      <w:r w:rsidR="00B81C41" w:rsidRPr="00B81C41">
        <w:rPr>
          <w:rFonts w:ascii="Book Antiqua" w:hAnsi="Book Antiqua"/>
          <w:u w:val="single"/>
        </w:rPr>
        <w:t>Decision.</w:t>
      </w:r>
    </w:p>
    <w:p w:rsidR="00DB177C" w:rsidRPr="00B81C41" w:rsidRDefault="00DB177C" w:rsidP="00DB177C">
      <w:pPr>
        <w:ind w:left="360"/>
        <w:rPr>
          <w:rFonts w:ascii="Book Antiqua" w:hAnsi="Book Antiqua"/>
          <w:u w:val="single"/>
        </w:rPr>
      </w:pPr>
    </w:p>
    <w:p w:rsidR="00B81C41" w:rsidRDefault="008E3281" w:rsidP="00B81C41">
      <w:pPr>
        <w:rPr>
          <w:rFonts w:ascii="Book Antiqua" w:hAnsi="Book Antiqua"/>
        </w:rPr>
      </w:pPr>
      <w:r>
        <w:rPr>
          <w:rFonts w:ascii="Book Antiqua" w:hAnsi="Book Antiqua"/>
        </w:rPr>
        <w:t xml:space="preserve">The decision of </w:t>
      </w:r>
      <w:r w:rsidR="00CF60E9">
        <w:rPr>
          <w:rFonts w:ascii="Book Antiqua" w:hAnsi="Book Antiqua"/>
        </w:rPr>
        <w:t>F</w:t>
      </w:r>
      <w:r>
        <w:rPr>
          <w:rFonts w:ascii="Book Antiqua" w:hAnsi="Book Antiqua"/>
        </w:rPr>
        <w:t>irst-tier Tribunal Judge</w:t>
      </w:r>
      <w:r w:rsidRPr="008E3281">
        <w:rPr>
          <w:rFonts w:ascii="Book Antiqua" w:hAnsi="Book Antiqua"/>
        </w:rPr>
        <w:t xml:space="preserve"> </w:t>
      </w:r>
      <w:r w:rsidRPr="006F6036">
        <w:rPr>
          <w:rFonts w:ascii="Book Antiqua" w:hAnsi="Book Antiqua"/>
        </w:rPr>
        <w:t>Robertson</w:t>
      </w:r>
      <w:r>
        <w:rPr>
          <w:rFonts w:ascii="Book Antiqua" w:hAnsi="Book Antiqua"/>
        </w:rPr>
        <w:t xml:space="preserve"> dismissing the appellant</w:t>
      </w:r>
      <w:r w:rsidR="00CF60E9">
        <w:rPr>
          <w:rFonts w:ascii="Book Antiqua" w:hAnsi="Book Antiqua"/>
        </w:rPr>
        <w:t>’</w:t>
      </w:r>
      <w:r>
        <w:rPr>
          <w:rFonts w:ascii="Book Antiqua" w:hAnsi="Book Antiqua"/>
        </w:rPr>
        <w:t>s appeal shall stand. No material error of law has been established.</w:t>
      </w:r>
    </w:p>
    <w:p w:rsidR="00EB462F" w:rsidRDefault="00EB462F" w:rsidP="00B81C41">
      <w:pPr>
        <w:ind w:left="360"/>
        <w:rPr>
          <w:rFonts w:ascii="Book Antiqua" w:hAnsi="Book Antiqua"/>
          <w:u w:val="single"/>
        </w:rPr>
      </w:pPr>
    </w:p>
    <w:p w:rsidR="00901B93" w:rsidRDefault="00901B93" w:rsidP="00421DA4">
      <w:pPr>
        <w:rPr>
          <w:rFonts w:ascii="Book Antiqua" w:hAnsi="Book Antiqua"/>
          <w:u w:val="single"/>
        </w:rPr>
      </w:pPr>
    </w:p>
    <w:p w:rsidR="00057FAF" w:rsidRDefault="00057FAF" w:rsidP="001C2BFF">
      <w:pPr>
        <w:rPr>
          <w:rFonts w:ascii="Book Antiqua" w:hAnsi="Book Antiqua"/>
        </w:rPr>
      </w:pPr>
      <w:r>
        <w:rPr>
          <w:rFonts w:ascii="Book Antiqua" w:hAnsi="Book Antiqua"/>
        </w:rPr>
        <w:t>Francis J Farrelly</w:t>
      </w:r>
    </w:p>
    <w:p w:rsidR="006D2AAC" w:rsidRPr="006D2AAC" w:rsidRDefault="00057FAF" w:rsidP="00444DE7">
      <w:pPr>
        <w:rPr>
          <w:rFonts w:ascii="Book Antiqua" w:hAnsi="Book Antiqua"/>
        </w:rPr>
      </w:pPr>
      <w:r>
        <w:rPr>
          <w:rFonts w:ascii="Book Antiqua" w:hAnsi="Book Antiqua"/>
        </w:rPr>
        <w:t>Deputy Upper Tribunal Judge</w:t>
      </w:r>
    </w:p>
    <w:p w:rsidR="006D2AAC" w:rsidRDefault="006D2AAC" w:rsidP="00444DE7"/>
    <w:sectPr w:rsidR="006D2AAC" w:rsidSect="007811C2">
      <w:headerReference w:type="default" r:id="rId9"/>
      <w:footerReference w:type="even" r:id="rId10"/>
      <w:footerReference w:type="default" r:id="rId11"/>
      <w:footerReference w:type="first" r:id="rId12"/>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433" w:rsidRDefault="000F1433">
      <w:r>
        <w:separator/>
      </w:r>
    </w:p>
  </w:endnote>
  <w:endnote w:type="continuationSeparator" w:id="0">
    <w:p w:rsidR="000F1433" w:rsidRDefault="000F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1C2" w:rsidRPr="00255F7A" w:rsidRDefault="007811C2">
    <w:pPr>
      <w:pStyle w:val="Footer"/>
      <w:jc w:val="center"/>
      <w:rPr>
        <w:rFonts w:ascii="Book Antiqua" w:hAnsi="Book Antiqua"/>
        <w:sz w:val="20"/>
        <w:szCs w:val="20"/>
      </w:rPr>
    </w:pPr>
    <w:r w:rsidRPr="00255F7A">
      <w:rPr>
        <w:rFonts w:ascii="Book Antiqua" w:hAnsi="Book Antiqua"/>
        <w:sz w:val="20"/>
        <w:szCs w:val="20"/>
      </w:rPr>
      <w:fldChar w:fldCharType="begin"/>
    </w:r>
    <w:r w:rsidRPr="00255F7A">
      <w:rPr>
        <w:rFonts w:ascii="Book Antiqua" w:hAnsi="Book Antiqua"/>
        <w:sz w:val="20"/>
        <w:szCs w:val="20"/>
      </w:rPr>
      <w:instrText xml:space="preserve"> PAGE   \* MERGEFORMAT </w:instrText>
    </w:r>
    <w:r w:rsidRPr="00255F7A">
      <w:rPr>
        <w:rFonts w:ascii="Book Antiqua" w:hAnsi="Book Antiqua"/>
        <w:sz w:val="20"/>
        <w:szCs w:val="20"/>
      </w:rPr>
      <w:fldChar w:fldCharType="separate"/>
    </w:r>
    <w:r w:rsidR="008918A5">
      <w:rPr>
        <w:rFonts w:ascii="Book Antiqua" w:hAnsi="Book Antiqua"/>
        <w:noProof/>
        <w:sz w:val="20"/>
        <w:szCs w:val="20"/>
      </w:rPr>
      <w:t>5</w:t>
    </w:r>
    <w:r w:rsidRPr="00255F7A">
      <w:rPr>
        <w:rFonts w:ascii="Book Antiqua" w:hAnsi="Book Antiqua"/>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255F7A" w:rsidRDefault="00784C42" w:rsidP="00090CF9">
    <w:pPr>
      <w:jc w:val="center"/>
      <w:rPr>
        <w:rFonts w:ascii="Book Antiqua" w:hAnsi="Book Antiqua" w:cs="Arial"/>
        <w:b/>
      </w:rPr>
    </w:pPr>
    <w:r w:rsidRPr="00255F7A">
      <w:rPr>
        <w:rFonts w:ascii="Book Antiqua" w:hAnsi="Book Antiqua" w:cs="Arial"/>
        <w:b/>
        <w:spacing w:val="-6"/>
      </w:rPr>
      <w:t>©</w:t>
    </w:r>
    <w:r w:rsidR="007811C2" w:rsidRPr="00255F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433" w:rsidRDefault="000F1433">
      <w:r>
        <w:separator/>
      </w:r>
    </w:p>
  </w:footnote>
  <w:footnote w:type="continuationSeparator" w:id="0">
    <w:p w:rsidR="000F1433" w:rsidRDefault="000F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255F7A" w:rsidRDefault="007811C2" w:rsidP="00255F7A">
    <w:pPr>
      <w:pStyle w:val="Heading1"/>
      <w:spacing w:before="0" w:after="0"/>
      <w:jc w:val="right"/>
      <w:rPr>
        <w:rFonts w:ascii="Book Antiqua" w:hAnsi="Book Antiqua"/>
        <w:b w:val="0"/>
        <w:sz w:val="20"/>
        <w:szCs w:val="20"/>
      </w:rPr>
    </w:pPr>
    <w:r w:rsidRPr="00255F7A">
      <w:rPr>
        <w:rFonts w:ascii="Book Antiqua" w:hAnsi="Book Antiqua"/>
        <w:b w:val="0"/>
        <w:sz w:val="20"/>
        <w:szCs w:val="20"/>
      </w:rPr>
      <w:t>IA/01467/2016</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F8A1DF4"/>
    <w:multiLevelType w:val="hybridMultilevel"/>
    <w:tmpl w:val="7C30B79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D48FD"/>
    <w:multiLevelType w:val="hybridMultilevel"/>
    <w:tmpl w:val="C07CE45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35954692"/>
    <w:multiLevelType w:val="hybridMultilevel"/>
    <w:tmpl w:val="08A02D8C"/>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6F154D4"/>
    <w:multiLevelType w:val="hybridMultilevel"/>
    <w:tmpl w:val="3A82D5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3"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F6862FA"/>
    <w:multiLevelType w:val="hybridMultilevel"/>
    <w:tmpl w:val="D7F6A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24"/>
  </w:num>
  <w:num w:numId="3">
    <w:abstractNumId w:val="9"/>
  </w:num>
  <w:num w:numId="4">
    <w:abstractNumId w:val="29"/>
  </w:num>
  <w:num w:numId="5">
    <w:abstractNumId w:val="33"/>
  </w:num>
  <w:num w:numId="6">
    <w:abstractNumId w:val="0"/>
  </w:num>
  <w:num w:numId="7">
    <w:abstractNumId w:val="1"/>
  </w:num>
  <w:num w:numId="8">
    <w:abstractNumId w:val="12"/>
  </w:num>
  <w:num w:numId="9">
    <w:abstractNumId w:val="17"/>
  </w:num>
  <w:num w:numId="10">
    <w:abstractNumId w:val="37"/>
  </w:num>
  <w:num w:numId="11">
    <w:abstractNumId w:val="16"/>
  </w:num>
  <w:num w:numId="12">
    <w:abstractNumId w:val="26"/>
  </w:num>
  <w:num w:numId="13">
    <w:abstractNumId w:val="22"/>
  </w:num>
  <w:num w:numId="14">
    <w:abstractNumId w:val="36"/>
  </w:num>
  <w:num w:numId="15">
    <w:abstractNumId w:val="5"/>
  </w:num>
  <w:num w:numId="16">
    <w:abstractNumId w:val="6"/>
  </w:num>
  <w:num w:numId="17">
    <w:abstractNumId w:val="25"/>
  </w:num>
  <w:num w:numId="18">
    <w:abstractNumId w:val="34"/>
  </w:num>
  <w:num w:numId="19">
    <w:abstractNumId w:val="3"/>
  </w:num>
  <w:num w:numId="20">
    <w:abstractNumId w:val="35"/>
  </w:num>
  <w:num w:numId="21">
    <w:abstractNumId w:val="7"/>
  </w:num>
  <w:num w:numId="22">
    <w:abstractNumId w:val="23"/>
  </w:num>
  <w:num w:numId="23">
    <w:abstractNumId w:val="13"/>
  </w:num>
  <w:num w:numId="24">
    <w:abstractNumId w:val="32"/>
  </w:num>
  <w:num w:numId="25">
    <w:abstractNumId w:val="19"/>
  </w:num>
  <w:num w:numId="26">
    <w:abstractNumId w:val="11"/>
  </w:num>
  <w:num w:numId="27">
    <w:abstractNumId w:val="30"/>
  </w:num>
  <w:num w:numId="28">
    <w:abstractNumId w:val="21"/>
  </w:num>
  <w:num w:numId="29">
    <w:abstractNumId w:val="15"/>
  </w:num>
  <w:num w:numId="30">
    <w:abstractNumId w:val="27"/>
  </w:num>
  <w:num w:numId="31">
    <w:abstractNumId w:val="2"/>
  </w:num>
  <w:num w:numId="32">
    <w:abstractNumId w:val="14"/>
  </w:num>
  <w:num w:numId="33">
    <w:abstractNumId w:val="31"/>
  </w:num>
  <w:num w:numId="34">
    <w:abstractNumId w:val="28"/>
  </w:num>
  <w:num w:numId="35">
    <w:abstractNumId w:val="8"/>
  </w:num>
  <w:num w:numId="36">
    <w:abstractNumId w:val="20"/>
  </w:num>
  <w:num w:numId="37">
    <w:abstractNumId w:val="10"/>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8C95A9C-06C6-4DF6-BE16-0F6C170A038E}"/>
    <w:docVar w:name="dgnword-eventsink" w:val="75483032"/>
  </w:docVars>
  <w:rsids>
    <w:rsidRoot w:val="00C26032"/>
    <w:rsid w:val="000002AD"/>
    <w:rsid w:val="00000621"/>
    <w:rsid w:val="00000E76"/>
    <w:rsid w:val="00001E4F"/>
    <w:rsid w:val="000036C2"/>
    <w:rsid w:val="00003709"/>
    <w:rsid w:val="0000516E"/>
    <w:rsid w:val="00006573"/>
    <w:rsid w:val="0000747A"/>
    <w:rsid w:val="00007D6B"/>
    <w:rsid w:val="00007DE0"/>
    <w:rsid w:val="0001003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5D52"/>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80361"/>
    <w:rsid w:val="000808A3"/>
    <w:rsid w:val="00080E3B"/>
    <w:rsid w:val="0008577A"/>
    <w:rsid w:val="00086269"/>
    <w:rsid w:val="000864D1"/>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433"/>
    <w:rsid w:val="000F1A0E"/>
    <w:rsid w:val="000F1CE9"/>
    <w:rsid w:val="000F23B0"/>
    <w:rsid w:val="000F2FBF"/>
    <w:rsid w:val="000F3C4F"/>
    <w:rsid w:val="000F4371"/>
    <w:rsid w:val="000F7FF1"/>
    <w:rsid w:val="00100BB4"/>
    <w:rsid w:val="001016FA"/>
    <w:rsid w:val="00101FE8"/>
    <w:rsid w:val="0010212E"/>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41DC"/>
    <w:rsid w:val="00196801"/>
    <w:rsid w:val="00196DE1"/>
    <w:rsid w:val="001A1E90"/>
    <w:rsid w:val="001A3082"/>
    <w:rsid w:val="001A4B5A"/>
    <w:rsid w:val="001A4D56"/>
    <w:rsid w:val="001A602F"/>
    <w:rsid w:val="001A6CD3"/>
    <w:rsid w:val="001A75FB"/>
    <w:rsid w:val="001A7871"/>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E0A"/>
    <w:rsid w:val="001C781F"/>
    <w:rsid w:val="001D001A"/>
    <w:rsid w:val="001D0033"/>
    <w:rsid w:val="001D3278"/>
    <w:rsid w:val="001D5079"/>
    <w:rsid w:val="001D6595"/>
    <w:rsid w:val="001D6EB0"/>
    <w:rsid w:val="001D6FBB"/>
    <w:rsid w:val="001E012A"/>
    <w:rsid w:val="001E0824"/>
    <w:rsid w:val="001E2C77"/>
    <w:rsid w:val="001E2F49"/>
    <w:rsid w:val="001E2F50"/>
    <w:rsid w:val="001E322E"/>
    <w:rsid w:val="001E3B2F"/>
    <w:rsid w:val="001E48FB"/>
    <w:rsid w:val="001E565B"/>
    <w:rsid w:val="001E7EC7"/>
    <w:rsid w:val="001F081F"/>
    <w:rsid w:val="001F1397"/>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560"/>
    <w:rsid w:val="00207617"/>
    <w:rsid w:val="00210872"/>
    <w:rsid w:val="00210CAF"/>
    <w:rsid w:val="00211E1F"/>
    <w:rsid w:val="00220897"/>
    <w:rsid w:val="002208E9"/>
    <w:rsid w:val="00220E92"/>
    <w:rsid w:val="0022135B"/>
    <w:rsid w:val="00221C42"/>
    <w:rsid w:val="00222FBA"/>
    <w:rsid w:val="00223081"/>
    <w:rsid w:val="0022773E"/>
    <w:rsid w:val="002311DA"/>
    <w:rsid w:val="0023134B"/>
    <w:rsid w:val="00234B84"/>
    <w:rsid w:val="00242968"/>
    <w:rsid w:val="00246B0F"/>
    <w:rsid w:val="0025142B"/>
    <w:rsid w:val="00255703"/>
    <w:rsid w:val="00255A05"/>
    <w:rsid w:val="00255F7A"/>
    <w:rsid w:val="0025717B"/>
    <w:rsid w:val="00260976"/>
    <w:rsid w:val="00265226"/>
    <w:rsid w:val="00265527"/>
    <w:rsid w:val="002672EB"/>
    <w:rsid w:val="00270E13"/>
    <w:rsid w:val="00271F4A"/>
    <w:rsid w:val="00274B4F"/>
    <w:rsid w:val="002756DE"/>
    <w:rsid w:val="00275952"/>
    <w:rsid w:val="00276079"/>
    <w:rsid w:val="0027798B"/>
    <w:rsid w:val="00280B0F"/>
    <w:rsid w:val="00280C58"/>
    <w:rsid w:val="00282973"/>
    <w:rsid w:val="00282D46"/>
    <w:rsid w:val="00283483"/>
    <w:rsid w:val="00283659"/>
    <w:rsid w:val="0028393E"/>
    <w:rsid w:val="002849E5"/>
    <w:rsid w:val="002933AA"/>
    <w:rsid w:val="00294CCA"/>
    <w:rsid w:val="002954C0"/>
    <w:rsid w:val="00295EA6"/>
    <w:rsid w:val="002A0256"/>
    <w:rsid w:val="002A046E"/>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4675"/>
    <w:rsid w:val="002C6BD4"/>
    <w:rsid w:val="002C75C8"/>
    <w:rsid w:val="002C7754"/>
    <w:rsid w:val="002D1304"/>
    <w:rsid w:val="002D1488"/>
    <w:rsid w:val="002D2260"/>
    <w:rsid w:val="002D24FB"/>
    <w:rsid w:val="002D3154"/>
    <w:rsid w:val="002D4D91"/>
    <w:rsid w:val="002D4F68"/>
    <w:rsid w:val="002D68BF"/>
    <w:rsid w:val="002E055F"/>
    <w:rsid w:val="002E20E1"/>
    <w:rsid w:val="002E3964"/>
    <w:rsid w:val="002E40A3"/>
    <w:rsid w:val="002E686B"/>
    <w:rsid w:val="002E6AA1"/>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2E1"/>
    <w:rsid w:val="00333A66"/>
    <w:rsid w:val="00333BA6"/>
    <w:rsid w:val="00334AFF"/>
    <w:rsid w:val="00334D57"/>
    <w:rsid w:val="0033505F"/>
    <w:rsid w:val="00336CBF"/>
    <w:rsid w:val="00336E11"/>
    <w:rsid w:val="00337AAA"/>
    <w:rsid w:val="00340439"/>
    <w:rsid w:val="00340506"/>
    <w:rsid w:val="003414BE"/>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78A"/>
    <w:rsid w:val="00364184"/>
    <w:rsid w:val="0036476D"/>
    <w:rsid w:val="00364E9A"/>
    <w:rsid w:val="003663CA"/>
    <w:rsid w:val="003679FD"/>
    <w:rsid w:val="00371654"/>
    <w:rsid w:val="00372ABA"/>
    <w:rsid w:val="00374493"/>
    <w:rsid w:val="00380E03"/>
    <w:rsid w:val="00385A29"/>
    <w:rsid w:val="0038791E"/>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5AA6"/>
    <w:rsid w:val="003B6C11"/>
    <w:rsid w:val="003B6D68"/>
    <w:rsid w:val="003B7262"/>
    <w:rsid w:val="003C2036"/>
    <w:rsid w:val="003C25F5"/>
    <w:rsid w:val="003C2FA2"/>
    <w:rsid w:val="003C446D"/>
    <w:rsid w:val="003C455F"/>
    <w:rsid w:val="003C5AA8"/>
    <w:rsid w:val="003C5CE5"/>
    <w:rsid w:val="003C78D6"/>
    <w:rsid w:val="003D028B"/>
    <w:rsid w:val="003D03AE"/>
    <w:rsid w:val="003D0E3E"/>
    <w:rsid w:val="003D1E7B"/>
    <w:rsid w:val="003D1F76"/>
    <w:rsid w:val="003D3969"/>
    <w:rsid w:val="003D5C59"/>
    <w:rsid w:val="003D66DB"/>
    <w:rsid w:val="003D6935"/>
    <w:rsid w:val="003E145C"/>
    <w:rsid w:val="003E1AAC"/>
    <w:rsid w:val="003E23C1"/>
    <w:rsid w:val="003E267B"/>
    <w:rsid w:val="003E3197"/>
    <w:rsid w:val="003E5065"/>
    <w:rsid w:val="003E50AF"/>
    <w:rsid w:val="003E79BF"/>
    <w:rsid w:val="003E7C76"/>
    <w:rsid w:val="003E7CD1"/>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56F49"/>
    <w:rsid w:val="00461462"/>
    <w:rsid w:val="00461ED4"/>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4316"/>
    <w:rsid w:val="004867EE"/>
    <w:rsid w:val="00486F2E"/>
    <w:rsid w:val="00490962"/>
    <w:rsid w:val="00491717"/>
    <w:rsid w:val="0049187F"/>
    <w:rsid w:val="00496C03"/>
    <w:rsid w:val="0049703F"/>
    <w:rsid w:val="0049719F"/>
    <w:rsid w:val="004A17FD"/>
    <w:rsid w:val="004A1848"/>
    <w:rsid w:val="004A18E9"/>
    <w:rsid w:val="004A240D"/>
    <w:rsid w:val="004A4EB9"/>
    <w:rsid w:val="004A6C7D"/>
    <w:rsid w:val="004A6CF4"/>
    <w:rsid w:val="004A6F4A"/>
    <w:rsid w:val="004B03AF"/>
    <w:rsid w:val="004B1D2E"/>
    <w:rsid w:val="004B2138"/>
    <w:rsid w:val="004B367F"/>
    <w:rsid w:val="004B4064"/>
    <w:rsid w:val="004B5DE3"/>
    <w:rsid w:val="004B71A7"/>
    <w:rsid w:val="004B7842"/>
    <w:rsid w:val="004B7D05"/>
    <w:rsid w:val="004C099B"/>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A82"/>
    <w:rsid w:val="00534144"/>
    <w:rsid w:val="00534B54"/>
    <w:rsid w:val="00536EFD"/>
    <w:rsid w:val="00537604"/>
    <w:rsid w:val="00540B3B"/>
    <w:rsid w:val="00540FE7"/>
    <w:rsid w:val="00541E41"/>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F104F"/>
    <w:rsid w:val="005F1551"/>
    <w:rsid w:val="005F1934"/>
    <w:rsid w:val="005F2B0F"/>
    <w:rsid w:val="005F3FED"/>
    <w:rsid w:val="005F448E"/>
    <w:rsid w:val="005F4A80"/>
    <w:rsid w:val="005F554E"/>
    <w:rsid w:val="005F7427"/>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3D30"/>
    <w:rsid w:val="00626B73"/>
    <w:rsid w:val="006270DE"/>
    <w:rsid w:val="00627302"/>
    <w:rsid w:val="006329F4"/>
    <w:rsid w:val="0063430A"/>
    <w:rsid w:val="006353B8"/>
    <w:rsid w:val="00637F3C"/>
    <w:rsid w:val="00642E64"/>
    <w:rsid w:val="006437DB"/>
    <w:rsid w:val="006443AB"/>
    <w:rsid w:val="006445F8"/>
    <w:rsid w:val="00646F51"/>
    <w:rsid w:val="00647B14"/>
    <w:rsid w:val="006503CA"/>
    <w:rsid w:val="00651571"/>
    <w:rsid w:val="006528B0"/>
    <w:rsid w:val="00652C5B"/>
    <w:rsid w:val="0065318D"/>
    <w:rsid w:val="00653969"/>
    <w:rsid w:val="00653E97"/>
    <w:rsid w:val="00654F90"/>
    <w:rsid w:val="006559F6"/>
    <w:rsid w:val="00655DAE"/>
    <w:rsid w:val="00657A93"/>
    <w:rsid w:val="0066051C"/>
    <w:rsid w:val="00660743"/>
    <w:rsid w:val="006609B5"/>
    <w:rsid w:val="00660AD1"/>
    <w:rsid w:val="006615D9"/>
    <w:rsid w:val="00661D38"/>
    <w:rsid w:val="0066201D"/>
    <w:rsid w:val="0066263A"/>
    <w:rsid w:val="00662970"/>
    <w:rsid w:val="00663833"/>
    <w:rsid w:val="00663A3A"/>
    <w:rsid w:val="00664CDC"/>
    <w:rsid w:val="00665969"/>
    <w:rsid w:val="006664A5"/>
    <w:rsid w:val="00666C71"/>
    <w:rsid w:val="00670599"/>
    <w:rsid w:val="00670D95"/>
    <w:rsid w:val="006713CE"/>
    <w:rsid w:val="006717A8"/>
    <w:rsid w:val="00671D71"/>
    <w:rsid w:val="00672AEA"/>
    <w:rsid w:val="00672CFE"/>
    <w:rsid w:val="00673C38"/>
    <w:rsid w:val="00673E9D"/>
    <w:rsid w:val="006747C3"/>
    <w:rsid w:val="00674927"/>
    <w:rsid w:val="00675AD2"/>
    <w:rsid w:val="00676F05"/>
    <w:rsid w:val="00681531"/>
    <w:rsid w:val="00681660"/>
    <w:rsid w:val="00681918"/>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3751"/>
    <w:rsid w:val="006A3DE3"/>
    <w:rsid w:val="006A4E81"/>
    <w:rsid w:val="006A75E4"/>
    <w:rsid w:val="006A7CED"/>
    <w:rsid w:val="006B03F7"/>
    <w:rsid w:val="006B2013"/>
    <w:rsid w:val="006B3314"/>
    <w:rsid w:val="006B3537"/>
    <w:rsid w:val="006B3758"/>
    <w:rsid w:val="006C086B"/>
    <w:rsid w:val="006C2A99"/>
    <w:rsid w:val="006C6C4C"/>
    <w:rsid w:val="006D008A"/>
    <w:rsid w:val="006D1F2D"/>
    <w:rsid w:val="006D218C"/>
    <w:rsid w:val="006D2AAC"/>
    <w:rsid w:val="006D2D54"/>
    <w:rsid w:val="006D58F8"/>
    <w:rsid w:val="006D779F"/>
    <w:rsid w:val="006E0230"/>
    <w:rsid w:val="006E2E46"/>
    <w:rsid w:val="006E2FE1"/>
    <w:rsid w:val="006E5560"/>
    <w:rsid w:val="006E7563"/>
    <w:rsid w:val="006F072B"/>
    <w:rsid w:val="006F0E12"/>
    <w:rsid w:val="006F1F84"/>
    <w:rsid w:val="006F2CF1"/>
    <w:rsid w:val="006F3DE5"/>
    <w:rsid w:val="006F4E50"/>
    <w:rsid w:val="006F6036"/>
    <w:rsid w:val="006F66BA"/>
    <w:rsid w:val="006F6E26"/>
    <w:rsid w:val="006F73F5"/>
    <w:rsid w:val="007038ED"/>
    <w:rsid w:val="00703BC3"/>
    <w:rsid w:val="00704B61"/>
    <w:rsid w:val="00704CA4"/>
    <w:rsid w:val="00705B02"/>
    <w:rsid w:val="00710304"/>
    <w:rsid w:val="007107B7"/>
    <w:rsid w:val="00710B46"/>
    <w:rsid w:val="00711EEB"/>
    <w:rsid w:val="00711EFA"/>
    <w:rsid w:val="00712802"/>
    <w:rsid w:val="00713BF2"/>
    <w:rsid w:val="00714EB0"/>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FEF"/>
    <w:rsid w:val="00761858"/>
    <w:rsid w:val="00761ECF"/>
    <w:rsid w:val="0076485E"/>
    <w:rsid w:val="0076619E"/>
    <w:rsid w:val="00767D59"/>
    <w:rsid w:val="007736FF"/>
    <w:rsid w:val="00773B43"/>
    <w:rsid w:val="00775117"/>
    <w:rsid w:val="00776E97"/>
    <w:rsid w:val="007776AC"/>
    <w:rsid w:val="00780ADA"/>
    <w:rsid w:val="00780F86"/>
    <w:rsid w:val="007811C2"/>
    <w:rsid w:val="00782350"/>
    <w:rsid w:val="00783C2C"/>
    <w:rsid w:val="00784C42"/>
    <w:rsid w:val="00784D03"/>
    <w:rsid w:val="00787DD6"/>
    <w:rsid w:val="00790C73"/>
    <w:rsid w:val="00790E4C"/>
    <w:rsid w:val="007912AD"/>
    <w:rsid w:val="00791533"/>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32E"/>
    <w:rsid w:val="007A395C"/>
    <w:rsid w:val="007A45D3"/>
    <w:rsid w:val="007A5152"/>
    <w:rsid w:val="007A733F"/>
    <w:rsid w:val="007A79BC"/>
    <w:rsid w:val="007A7B17"/>
    <w:rsid w:val="007B0824"/>
    <w:rsid w:val="007B0B3C"/>
    <w:rsid w:val="007B10EC"/>
    <w:rsid w:val="007B11B0"/>
    <w:rsid w:val="007B165A"/>
    <w:rsid w:val="007B4F30"/>
    <w:rsid w:val="007B536D"/>
    <w:rsid w:val="007B5D3C"/>
    <w:rsid w:val="007B5E56"/>
    <w:rsid w:val="007B6A6E"/>
    <w:rsid w:val="007C0E89"/>
    <w:rsid w:val="007C19EC"/>
    <w:rsid w:val="007C209A"/>
    <w:rsid w:val="007C26FF"/>
    <w:rsid w:val="007C2F16"/>
    <w:rsid w:val="007C516E"/>
    <w:rsid w:val="007C56EF"/>
    <w:rsid w:val="007C5A06"/>
    <w:rsid w:val="007C68E3"/>
    <w:rsid w:val="007C6932"/>
    <w:rsid w:val="007C69B5"/>
    <w:rsid w:val="007C6AB6"/>
    <w:rsid w:val="007D0B09"/>
    <w:rsid w:val="007D1367"/>
    <w:rsid w:val="007D2622"/>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37B"/>
    <w:rsid w:val="00817420"/>
    <w:rsid w:val="008202D0"/>
    <w:rsid w:val="00820684"/>
    <w:rsid w:val="00821B72"/>
    <w:rsid w:val="00822004"/>
    <w:rsid w:val="0082227F"/>
    <w:rsid w:val="00822A53"/>
    <w:rsid w:val="00823EF2"/>
    <w:rsid w:val="0082499B"/>
    <w:rsid w:val="00825D52"/>
    <w:rsid w:val="0082612D"/>
    <w:rsid w:val="00827D78"/>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34B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6473"/>
    <w:rsid w:val="00886B11"/>
    <w:rsid w:val="00890BBA"/>
    <w:rsid w:val="00890F20"/>
    <w:rsid w:val="008918A5"/>
    <w:rsid w:val="00892BA3"/>
    <w:rsid w:val="00893007"/>
    <w:rsid w:val="00894278"/>
    <w:rsid w:val="00894434"/>
    <w:rsid w:val="00896957"/>
    <w:rsid w:val="008A0111"/>
    <w:rsid w:val="008A022B"/>
    <w:rsid w:val="008A048A"/>
    <w:rsid w:val="008A218B"/>
    <w:rsid w:val="008A57F0"/>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2795"/>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3281"/>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112C2"/>
    <w:rsid w:val="009129D8"/>
    <w:rsid w:val="00915065"/>
    <w:rsid w:val="0091605C"/>
    <w:rsid w:val="00916C82"/>
    <w:rsid w:val="0091757D"/>
    <w:rsid w:val="00917F7D"/>
    <w:rsid w:val="009200F2"/>
    <w:rsid w:val="00920521"/>
    <w:rsid w:val="00920D91"/>
    <w:rsid w:val="00921047"/>
    <w:rsid w:val="00921062"/>
    <w:rsid w:val="00925AB2"/>
    <w:rsid w:val="0093010A"/>
    <w:rsid w:val="00931402"/>
    <w:rsid w:val="009325A8"/>
    <w:rsid w:val="00933B67"/>
    <w:rsid w:val="00935508"/>
    <w:rsid w:val="009363C2"/>
    <w:rsid w:val="0093676D"/>
    <w:rsid w:val="00937C2F"/>
    <w:rsid w:val="00941236"/>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2958"/>
    <w:rsid w:val="00964EC5"/>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918CC"/>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0DB2"/>
    <w:rsid w:val="009F2C63"/>
    <w:rsid w:val="009F4682"/>
    <w:rsid w:val="009F4878"/>
    <w:rsid w:val="009F4A14"/>
    <w:rsid w:val="009F5220"/>
    <w:rsid w:val="009F5A49"/>
    <w:rsid w:val="009F6D2C"/>
    <w:rsid w:val="009F7A59"/>
    <w:rsid w:val="00A00B52"/>
    <w:rsid w:val="00A013D0"/>
    <w:rsid w:val="00A01BD2"/>
    <w:rsid w:val="00A02F4D"/>
    <w:rsid w:val="00A06AD3"/>
    <w:rsid w:val="00A06F22"/>
    <w:rsid w:val="00A0735B"/>
    <w:rsid w:val="00A11B26"/>
    <w:rsid w:val="00A12E57"/>
    <w:rsid w:val="00A141E3"/>
    <w:rsid w:val="00A15234"/>
    <w:rsid w:val="00A16F40"/>
    <w:rsid w:val="00A170AB"/>
    <w:rsid w:val="00A201AB"/>
    <w:rsid w:val="00A22550"/>
    <w:rsid w:val="00A22A62"/>
    <w:rsid w:val="00A25186"/>
    <w:rsid w:val="00A254E6"/>
    <w:rsid w:val="00A25989"/>
    <w:rsid w:val="00A26E59"/>
    <w:rsid w:val="00A26EFD"/>
    <w:rsid w:val="00A279C7"/>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093"/>
    <w:rsid w:val="00A5719A"/>
    <w:rsid w:val="00A6001C"/>
    <w:rsid w:val="00A60930"/>
    <w:rsid w:val="00A6096E"/>
    <w:rsid w:val="00A62000"/>
    <w:rsid w:val="00A64154"/>
    <w:rsid w:val="00A65B3F"/>
    <w:rsid w:val="00A66782"/>
    <w:rsid w:val="00A673F9"/>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027E"/>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69D9"/>
    <w:rsid w:val="00B2179B"/>
    <w:rsid w:val="00B23A9A"/>
    <w:rsid w:val="00B24F4F"/>
    <w:rsid w:val="00B26094"/>
    <w:rsid w:val="00B26616"/>
    <w:rsid w:val="00B26AA2"/>
    <w:rsid w:val="00B26CF2"/>
    <w:rsid w:val="00B26FC7"/>
    <w:rsid w:val="00B27932"/>
    <w:rsid w:val="00B300EF"/>
    <w:rsid w:val="00B32DAE"/>
    <w:rsid w:val="00B32E4F"/>
    <w:rsid w:val="00B33A3B"/>
    <w:rsid w:val="00B33FCC"/>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1C41"/>
    <w:rsid w:val="00B83391"/>
    <w:rsid w:val="00B84C0F"/>
    <w:rsid w:val="00B84D91"/>
    <w:rsid w:val="00B85002"/>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B758C"/>
    <w:rsid w:val="00BC249B"/>
    <w:rsid w:val="00BC24C6"/>
    <w:rsid w:val="00BC54E9"/>
    <w:rsid w:val="00BC5871"/>
    <w:rsid w:val="00BC632C"/>
    <w:rsid w:val="00BC70B2"/>
    <w:rsid w:val="00BC7A59"/>
    <w:rsid w:val="00BD0B0C"/>
    <w:rsid w:val="00BD1587"/>
    <w:rsid w:val="00BD198A"/>
    <w:rsid w:val="00BD30B8"/>
    <w:rsid w:val="00BD3BE0"/>
    <w:rsid w:val="00BD3E1B"/>
    <w:rsid w:val="00BD4196"/>
    <w:rsid w:val="00BD4249"/>
    <w:rsid w:val="00BD4BB9"/>
    <w:rsid w:val="00BD4F2E"/>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441"/>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3F39"/>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2ED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00DD"/>
    <w:rsid w:val="00CF37EF"/>
    <w:rsid w:val="00CF5754"/>
    <w:rsid w:val="00CF5B3C"/>
    <w:rsid w:val="00CF60E9"/>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617F"/>
    <w:rsid w:val="00D27E06"/>
    <w:rsid w:val="00D3147A"/>
    <w:rsid w:val="00D32A11"/>
    <w:rsid w:val="00D333EF"/>
    <w:rsid w:val="00D365CA"/>
    <w:rsid w:val="00D40FD9"/>
    <w:rsid w:val="00D42001"/>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74E16"/>
    <w:rsid w:val="00D75E76"/>
    <w:rsid w:val="00D83571"/>
    <w:rsid w:val="00D83DA9"/>
    <w:rsid w:val="00D85C13"/>
    <w:rsid w:val="00D87A94"/>
    <w:rsid w:val="00D9111A"/>
    <w:rsid w:val="00D91A32"/>
    <w:rsid w:val="00D91BE3"/>
    <w:rsid w:val="00D927AF"/>
    <w:rsid w:val="00D92C83"/>
    <w:rsid w:val="00D936CE"/>
    <w:rsid w:val="00D93F83"/>
    <w:rsid w:val="00D94474"/>
    <w:rsid w:val="00D94AFC"/>
    <w:rsid w:val="00D94C4B"/>
    <w:rsid w:val="00D9529D"/>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7C"/>
    <w:rsid w:val="00DB17FB"/>
    <w:rsid w:val="00DB1B02"/>
    <w:rsid w:val="00DB2031"/>
    <w:rsid w:val="00DB2CE0"/>
    <w:rsid w:val="00DB35CF"/>
    <w:rsid w:val="00DB506B"/>
    <w:rsid w:val="00DB5FAC"/>
    <w:rsid w:val="00DB65E4"/>
    <w:rsid w:val="00DB6C48"/>
    <w:rsid w:val="00DB70AE"/>
    <w:rsid w:val="00DC26F5"/>
    <w:rsid w:val="00DC66AB"/>
    <w:rsid w:val="00DC721E"/>
    <w:rsid w:val="00DC7792"/>
    <w:rsid w:val="00DD0DFD"/>
    <w:rsid w:val="00DD2621"/>
    <w:rsid w:val="00DD3E8A"/>
    <w:rsid w:val="00DD5071"/>
    <w:rsid w:val="00DD5C39"/>
    <w:rsid w:val="00DD7829"/>
    <w:rsid w:val="00DD79F3"/>
    <w:rsid w:val="00DE36DF"/>
    <w:rsid w:val="00DE3B2E"/>
    <w:rsid w:val="00DE6BE8"/>
    <w:rsid w:val="00DE7DB7"/>
    <w:rsid w:val="00DF11E4"/>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20B99"/>
    <w:rsid w:val="00E2202B"/>
    <w:rsid w:val="00E2309E"/>
    <w:rsid w:val="00E2618D"/>
    <w:rsid w:val="00E26734"/>
    <w:rsid w:val="00E30683"/>
    <w:rsid w:val="00E30BD4"/>
    <w:rsid w:val="00E31A82"/>
    <w:rsid w:val="00E320D8"/>
    <w:rsid w:val="00E34224"/>
    <w:rsid w:val="00E354B8"/>
    <w:rsid w:val="00E36C1E"/>
    <w:rsid w:val="00E36CA2"/>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38B"/>
    <w:rsid w:val="00E85484"/>
    <w:rsid w:val="00E85BEB"/>
    <w:rsid w:val="00E91EE2"/>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462F"/>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37F9"/>
    <w:rsid w:val="00EF4898"/>
    <w:rsid w:val="00EF6011"/>
    <w:rsid w:val="00F00134"/>
    <w:rsid w:val="00F00901"/>
    <w:rsid w:val="00F011F1"/>
    <w:rsid w:val="00F042C9"/>
    <w:rsid w:val="00F04DF4"/>
    <w:rsid w:val="00F05153"/>
    <w:rsid w:val="00F05934"/>
    <w:rsid w:val="00F05B6F"/>
    <w:rsid w:val="00F060AA"/>
    <w:rsid w:val="00F069DF"/>
    <w:rsid w:val="00F10680"/>
    <w:rsid w:val="00F10A88"/>
    <w:rsid w:val="00F12C91"/>
    <w:rsid w:val="00F17D49"/>
    <w:rsid w:val="00F17D9B"/>
    <w:rsid w:val="00F20F81"/>
    <w:rsid w:val="00F227D7"/>
    <w:rsid w:val="00F22EDA"/>
    <w:rsid w:val="00F231F4"/>
    <w:rsid w:val="00F232B0"/>
    <w:rsid w:val="00F24419"/>
    <w:rsid w:val="00F25FE0"/>
    <w:rsid w:val="00F34349"/>
    <w:rsid w:val="00F35171"/>
    <w:rsid w:val="00F35BE5"/>
    <w:rsid w:val="00F37A2C"/>
    <w:rsid w:val="00F41E91"/>
    <w:rsid w:val="00F43080"/>
    <w:rsid w:val="00F43AC5"/>
    <w:rsid w:val="00F43DCB"/>
    <w:rsid w:val="00F44DD7"/>
    <w:rsid w:val="00F47A84"/>
    <w:rsid w:val="00F51CC4"/>
    <w:rsid w:val="00F52C40"/>
    <w:rsid w:val="00F5468A"/>
    <w:rsid w:val="00F5516B"/>
    <w:rsid w:val="00F55230"/>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0F69"/>
    <w:rsid w:val="00F91171"/>
    <w:rsid w:val="00F94B6F"/>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7DE5"/>
    <w:rsid w:val="00FE1113"/>
    <w:rsid w:val="00FE1F2A"/>
    <w:rsid w:val="00FE246E"/>
    <w:rsid w:val="00FE2612"/>
    <w:rsid w:val="00FE465C"/>
    <w:rsid w:val="00FE4866"/>
    <w:rsid w:val="00FE4F40"/>
    <w:rsid w:val="00FE646B"/>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3"/>
    <o:shapelayout v:ext="edit">
      <o:idmap v:ext="edit" data="1"/>
    </o:shapelayout>
  </w:shapeDefaults>
  <w:decimalSymbol w:val="."/>
  <w:listSeparator w:val=","/>
  <w14:docId w14:val="1EC294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character" w:customStyle="1" w:styleId="FooterChar">
    <w:name w:val="Footer Char"/>
    <w:link w:val="Footer"/>
    <w:uiPriority w:val="99"/>
    <w:rsid w:val="007811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3CBE-EBB1-40DB-9E2A-429500FF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8683</Characters>
  <Application>Microsoft Office Word</Application>
  <DocSecurity>0</DocSecurity>
  <Lines>72</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2018-06-04T13:34:00Z</dcterms:created>
  <dcterms:modified xsi:type="dcterms:W3CDTF">2018-06-04T13:34:00Z</dcterms:modified>
</cp:coreProperties>
</file>