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763" w:rsidRPr="006453ED" w:rsidRDefault="00B110E6" w:rsidP="009A4763">
      <w:pPr>
        <w:jc w:val="center"/>
        <w:rPr>
          <w:rFonts w:ascii="Book Antiqua" w:hAnsi="Book Antiqua" w:cs="Arial"/>
          <w:color w:val="000000"/>
          <w:sz w:val="16"/>
          <w:szCs w:val="16"/>
        </w:rPr>
      </w:pPr>
      <w:r w:rsidRPr="006453ED">
        <w:rPr>
          <w:rFonts w:ascii="Book Antiqua" w:hAnsi="Book Antiqua"/>
          <w:noProof/>
          <w:sz w:val="16"/>
          <w:szCs w:val="16"/>
          <w:lang w:val="en-US" w:eastAsia="en-US"/>
        </w:rPr>
        <w:drawing>
          <wp:inline distT="0" distB="0" distL="0" distR="0">
            <wp:extent cx="1497965" cy="113220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7965" cy="1132205"/>
                    </a:xfrm>
                    <a:prstGeom prst="rect">
                      <a:avLst/>
                    </a:prstGeom>
                    <a:noFill/>
                    <a:ln>
                      <a:noFill/>
                    </a:ln>
                  </pic:spPr>
                </pic:pic>
              </a:graphicData>
            </a:graphic>
          </wp:inline>
        </w:drawing>
      </w:r>
    </w:p>
    <w:p w:rsidR="006453ED" w:rsidRPr="006453ED" w:rsidRDefault="006453ED" w:rsidP="006453ED">
      <w:pPr>
        <w:rPr>
          <w:rFonts w:ascii="Book Antiqua" w:hAnsi="Book Antiqua" w:cs="Arial"/>
          <w:color w:val="000000"/>
          <w:sz w:val="16"/>
          <w:szCs w:val="16"/>
        </w:rPr>
      </w:pPr>
    </w:p>
    <w:p w:rsidR="009A4763" w:rsidRPr="00B67284" w:rsidRDefault="009A4763" w:rsidP="009A4763">
      <w:pPr>
        <w:tabs>
          <w:tab w:val="right" w:pos="9720"/>
        </w:tabs>
        <w:ind w:right="-82"/>
        <w:outlineLvl w:val="0"/>
        <w:rPr>
          <w:rFonts w:ascii="Book Antiqua" w:hAnsi="Book Antiqua" w:cs="Arial"/>
          <w:b/>
          <w:color w:val="000000"/>
        </w:rPr>
      </w:pPr>
      <w:r>
        <w:rPr>
          <w:rFonts w:ascii="Book Antiqua" w:hAnsi="Book Antiqua" w:cs="Arial"/>
          <w:b/>
          <w:color w:val="000000"/>
        </w:rPr>
        <w:t xml:space="preserve">Upper </w:t>
      </w:r>
      <w:r w:rsidRPr="00B67284">
        <w:rPr>
          <w:rFonts w:ascii="Book Antiqua" w:hAnsi="Book Antiqua" w:cs="Arial"/>
          <w:b/>
          <w:color w:val="000000"/>
        </w:rPr>
        <w:t xml:space="preserve">Tribunal </w:t>
      </w:r>
    </w:p>
    <w:p w:rsidR="009A4763" w:rsidRPr="00B67284" w:rsidRDefault="009A4763" w:rsidP="009A4763">
      <w:pPr>
        <w:tabs>
          <w:tab w:val="right" w:pos="9720"/>
        </w:tabs>
        <w:ind w:right="-82"/>
        <w:rPr>
          <w:rFonts w:ascii="Book Antiqua" w:hAnsi="Book Antiqua" w:cs="Arial"/>
          <w:color w:val="000000"/>
        </w:rPr>
      </w:pPr>
      <w:r w:rsidRPr="00B67284">
        <w:rPr>
          <w:rFonts w:ascii="Book Antiqua" w:hAnsi="Book Antiqua" w:cs="Arial"/>
          <w:b/>
          <w:color w:val="000000"/>
        </w:rPr>
        <w:t>(Immigration and Asylum Chamber)</w:t>
      </w:r>
      <w:r w:rsidRPr="00B67284">
        <w:rPr>
          <w:rFonts w:ascii="Book Antiqua" w:hAnsi="Book Antiqua" w:cs="Arial"/>
          <w:b/>
          <w:color w:val="000000"/>
        </w:rPr>
        <w:tab/>
      </w:r>
      <w:r w:rsidRPr="00B67284">
        <w:rPr>
          <w:rFonts w:ascii="Book Antiqua" w:hAnsi="Book Antiqua" w:cs="Arial"/>
          <w:color w:val="000000"/>
        </w:rPr>
        <w:t xml:space="preserve">Appeal Number: </w:t>
      </w:r>
      <w:bookmarkStart w:id="0" w:name="_GoBack"/>
      <w:r w:rsidR="004D6BD4">
        <w:rPr>
          <w:rFonts w:ascii="Book Antiqua" w:hAnsi="Book Antiqua" w:cs="Arial"/>
          <w:caps/>
          <w:color w:val="000000"/>
        </w:rPr>
        <w:t>IA</w:t>
      </w:r>
      <w:r w:rsidR="002132D8">
        <w:rPr>
          <w:rFonts w:ascii="Book Antiqua" w:hAnsi="Book Antiqua" w:cs="Arial"/>
          <w:caps/>
          <w:color w:val="000000"/>
        </w:rPr>
        <w:t>/</w:t>
      </w:r>
      <w:r w:rsidR="004D6BD4">
        <w:rPr>
          <w:rFonts w:ascii="Book Antiqua" w:hAnsi="Book Antiqua" w:cs="Arial"/>
          <w:caps/>
          <w:color w:val="000000"/>
        </w:rPr>
        <w:t>01511</w:t>
      </w:r>
      <w:r>
        <w:rPr>
          <w:rFonts w:ascii="Book Antiqua" w:hAnsi="Book Antiqua" w:cs="Arial"/>
          <w:caps/>
          <w:color w:val="000000"/>
        </w:rPr>
        <w:t>/201</w:t>
      </w:r>
      <w:r w:rsidR="004D6BD4">
        <w:rPr>
          <w:rFonts w:ascii="Book Antiqua" w:hAnsi="Book Antiqua" w:cs="Arial"/>
          <w:caps/>
          <w:color w:val="000000"/>
        </w:rPr>
        <w:t>6</w:t>
      </w:r>
      <w:bookmarkEnd w:id="0"/>
    </w:p>
    <w:p w:rsidR="009A4763" w:rsidRPr="00B67284" w:rsidRDefault="009A4763" w:rsidP="009A4763">
      <w:pPr>
        <w:jc w:val="center"/>
        <w:rPr>
          <w:rFonts w:ascii="Book Antiqua" w:hAnsi="Book Antiqua" w:cs="Arial"/>
          <w:color w:val="000000"/>
        </w:rPr>
      </w:pPr>
    </w:p>
    <w:p w:rsidR="009A4763" w:rsidRPr="00B67284" w:rsidRDefault="009A4763" w:rsidP="009A4763">
      <w:pPr>
        <w:jc w:val="center"/>
        <w:rPr>
          <w:rFonts w:ascii="Book Antiqua" w:hAnsi="Book Antiqua" w:cs="Arial"/>
          <w:color w:val="000000"/>
        </w:rPr>
      </w:pPr>
    </w:p>
    <w:p w:rsidR="009A4763" w:rsidRPr="00B67284" w:rsidRDefault="009A4763" w:rsidP="009A4763">
      <w:pPr>
        <w:jc w:val="center"/>
        <w:outlineLvl w:val="0"/>
        <w:rPr>
          <w:rFonts w:ascii="Book Antiqua" w:hAnsi="Book Antiqua" w:cs="Arial"/>
          <w:b/>
          <w:color w:val="000000"/>
          <w:u w:val="single"/>
        </w:rPr>
      </w:pPr>
      <w:r w:rsidRPr="00B67284">
        <w:rPr>
          <w:rFonts w:ascii="Book Antiqua" w:hAnsi="Book Antiqua" w:cs="Arial"/>
          <w:b/>
          <w:color w:val="000000"/>
          <w:u w:val="single"/>
        </w:rPr>
        <w:t>THE IMMIGRATION ACTS</w:t>
      </w:r>
    </w:p>
    <w:p w:rsidR="009A4763" w:rsidRPr="00B67284" w:rsidRDefault="009A4763" w:rsidP="009A4763">
      <w:pPr>
        <w:jc w:val="center"/>
        <w:rPr>
          <w:rFonts w:ascii="Book Antiqua" w:hAnsi="Book Antiqua" w:cs="Arial"/>
          <w:b/>
          <w:u w:val="single"/>
        </w:rPr>
      </w:pPr>
    </w:p>
    <w:p w:rsidR="009A4763" w:rsidRPr="00B67284" w:rsidRDefault="009A4763" w:rsidP="009A4763">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9A4763" w:rsidRPr="00431C7D" w:rsidTr="006453ED">
        <w:tc>
          <w:tcPr>
            <w:tcW w:w="2500" w:type="pct"/>
          </w:tcPr>
          <w:p w:rsidR="009A4763" w:rsidRPr="00431C7D" w:rsidRDefault="009A4763" w:rsidP="00D418D2">
            <w:pPr>
              <w:jc w:val="both"/>
              <w:rPr>
                <w:rFonts w:ascii="Book Antiqua" w:hAnsi="Book Antiqua" w:cs="Arial"/>
                <w:b/>
              </w:rPr>
            </w:pPr>
            <w:r w:rsidRPr="00431C7D">
              <w:rPr>
                <w:rFonts w:ascii="Book Antiqua" w:hAnsi="Book Antiqua" w:cs="Arial"/>
                <w:b/>
              </w:rPr>
              <w:t xml:space="preserve">Heard </w:t>
            </w:r>
            <w:r w:rsidR="007B2844">
              <w:rPr>
                <w:rFonts w:ascii="Book Antiqua" w:hAnsi="Book Antiqua" w:cs="Arial"/>
                <w:b/>
              </w:rPr>
              <w:t xml:space="preserve">at </w:t>
            </w:r>
            <w:r w:rsidR="004D6BD4">
              <w:rPr>
                <w:rFonts w:ascii="Book Antiqua" w:hAnsi="Book Antiqua" w:cs="Arial"/>
                <w:b/>
              </w:rPr>
              <w:t>Field House</w:t>
            </w:r>
          </w:p>
        </w:tc>
        <w:tc>
          <w:tcPr>
            <w:tcW w:w="2500" w:type="pct"/>
          </w:tcPr>
          <w:p w:rsidR="009A4763" w:rsidRPr="00431C7D" w:rsidRDefault="00207D69" w:rsidP="006453ED">
            <w:pPr>
              <w:jc w:val="right"/>
              <w:rPr>
                <w:rFonts w:ascii="Book Antiqua" w:hAnsi="Book Antiqua" w:cs="Arial"/>
                <w:b/>
                <w:color w:val="000000"/>
              </w:rPr>
            </w:pPr>
            <w:r w:rsidRPr="00EC3D7B">
              <w:rPr>
                <w:rFonts w:ascii="Book Antiqua" w:hAnsi="Book Antiqua" w:cs="Arial"/>
                <w:b/>
                <w:color w:val="000000"/>
              </w:rPr>
              <w:t>Decision &amp; Reasons Promulgated</w:t>
            </w:r>
          </w:p>
        </w:tc>
      </w:tr>
      <w:tr w:rsidR="009A4763" w:rsidRPr="00431C7D" w:rsidTr="006453ED">
        <w:tc>
          <w:tcPr>
            <w:tcW w:w="2500" w:type="pct"/>
          </w:tcPr>
          <w:p w:rsidR="009A4763" w:rsidRPr="00431C7D" w:rsidRDefault="004D6BD4" w:rsidP="009A4763">
            <w:pPr>
              <w:jc w:val="both"/>
              <w:rPr>
                <w:rFonts w:ascii="Book Antiqua" w:hAnsi="Book Antiqua" w:cs="Arial"/>
                <w:b/>
              </w:rPr>
            </w:pPr>
            <w:r>
              <w:rPr>
                <w:rFonts w:ascii="Book Antiqua" w:hAnsi="Book Antiqua" w:cs="Arial"/>
                <w:b/>
              </w:rPr>
              <w:t>On 19 June</w:t>
            </w:r>
            <w:r w:rsidR="006B67CB">
              <w:rPr>
                <w:rFonts w:ascii="Book Antiqua" w:hAnsi="Book Antiqua" w:cs="Arial"/>
                <w:b/>
              </w:rPr>
              <w:t xml:space="preserve"> 2018</w:t>
            </w:r>
          </w:p>
        </w:tc>
        <w:tc>
          <w:tcPr>
            <w:tcW w:w="2500" w:type="pct"/>
          </w:tcPr>
          <w:p w:rsidR="009A4763" w:rsidRPr="00431C7D" w:rsidRDefault="00207D69" w:rsidP="006453ED">
            <w:pPr>
              <w:jc w:val="right"/>
              <w:rPr>
                <w:rFonts w:ascii="Book Antiqua" w:hAnsi="Book Antiqua" w:cs="Arial"/>
                <w:b/>
              </w:rPr>
            </w:pPr>
            <w:r>
              <w:rPr>
                <w:rFonts w:ascii="Book Antiqua" w:hAnsi="Book Antiqua" w:cs="Arial"/>
                <w:b/>
              </w:rPr>
              <w:t>On 21 June 2018</w:t>
            </w:r>
          </w:p>
        </w:tc>
      </w:tr>
      <w:tr w:rsidR="009A4763" w:rsidRPr="00431C7D" w:rsidTr="006453ED">
        <w:tc>
          <w:tcPr>
            <w:tcW w:w="2500" w:type="pct"/>
          </w:tcPr>
          <w:p w:rsidR="009A4763" w:rsidRPr="00431C7D" w:rsidRDefault="009A4763" w:rsidP="009A4763">
            <w:pPr>
              <w:jc w:val="both"/>
              <w:rPr>
                <w:rFonts w:ascii="Book Antiqua" w:hAnsi="Book Antiqua" w:cs="Arial"/>
                <w:b/>
              </w:rPr>
            </w:pPr>
          </w:p>
        </w:tc>
        <w:tc>
          <w:tcPr>
            <w:tcW w:w="2500" w:type="pct"/>
          </w:tcPr>
          <w:p w:rsidR="009A4763" w:rsidRPr="00431C7D" w:rsidRDefault="009A4763" w:rsidP="006453ED">
            <w:pPr>
              <w:jc w:val="right"/>
              <w:rPr>
                <w:rFonts w:ascii="Book Antiqua" w:hAnsi="Book Antiqua" w:cs="Arial"/>
                <w:b/>
              </w:rPr>
            </w:pPr>
          </w:p>
        </w:tc>
      </w:tr>
    </w:tbl>
    <w:p w:rsidR="009A4763" w:rsidRPr="00B67284" w:rsidRDefault="009A4763" w:rsidP="009A4763">
      <w:pPr>
        <w:jc w:val="center"/>
        <w:rPr>
          <w:rFonts w:ascii="Book Antiqua" w:hAnsi="Book Antiqua" w:cs="Arial"/>
        </w:rPr>
      </w:pPr>
    </w:p>
    <w:p w:rsidR="009A4763" w:rsidRPr="00B67284" w:rsidRDefault="009A4763" w:rsidP="009A4763">
      <w:pPr>
        <w:jc w:val="center"/>
        <w:outlineLvl w:val="0"/>
        <w:rPr>
          <w:rFonts w:ascii="Book Antiqua" w:hAnsi="Book Antiqua" w:cs="Arial"/>
          <w:b/>
        </w:rPr>
      </w:pPr>
      <w:r w:rsidRPr="00B67284">
        <w:rPr>
          <w:rFonts w:ascii="Book Antiqua" w:hAnsi="Book Antiqua" w:cs="Arial"/>
          <w:b/>
        </w:rPr>
        <w:t>Before</w:t>
      </w:r>
    </w:p>
    <w:p w:rsidR="009A4763" w:rsidRPr="00B67284" w:rsidRDefault="009A4763" w:rsidP="009A4763">
      <w:pPr>
        <w:jc w:val="center"/>
        <w:rPr>
          <w:rFonts w:ascii="Book Antiqua" w:hAnsi="Book Antiqua" w:cs="Arial"/>
          <w:b/>
        </w:rPr>
      </w:pPr>
    </w:p>
    <w:p w:rsidR="009A4763" w:rsidRPr="00B67284" w:rsidRDefault="009A4763" w:rsidP="009A4763">
      <w:pPr>
        <w:jc w:val="center"/>
        <w:outlineLvl w:val="0"/>
        <w:rPr>
          <w:rFonts w:ascii="Book Antiqua" w:hAnsi="Book Antiqua" w:cs="Arial"/>
          <w:b/>
          <w:color w:val="000000"/>
        </w:rPr>
      </w:pPr>
      <w:r w:rsidRPr="00B67284">
        <w:rPr>
          <w:rFonts w:ascii="Book Antiqua" w:hAnsi="Book Antiqua" w:cs="Arial"/>
          <w:b/>
          <w:color w:val="000000"/>
        </w:rPr>
        <w:t xml:space="preserve"> </w:t>
      </w:r>
      <w:r>
        <w:rPr>
          <w:rFonts w:ascii="Book Antiqua" w:hAnsi="Book Antiqua" w:cs="Arial"/>
          <w:b/>
          <w:color w:val="000000"/>
        </w:rPr>
        <w:t xml:space="preserve"> </w:t>
      </w:r>
      <w:r w:rsidR="007B2844">
        <w:rPr>
          <w:rFonts w:ascii="Book Antiqua" w:hAnsi="Book Antiqua" w:cs="Arial"/>
          <w:b/>
          <w:color w:val="000000"/>
        </w:rPr>
        <w:t xml:space="preserve">UPPER TRIBUNAL </w:t>
      </w:r>
      <w:r w:rsidRPr="00B67284">
        <w:rPr>
          <w:rFonts w:ascii="Book Antiqua" w:hAnsi="Book Antiqua" w:cs="Arial"/>
          <w:b/>
          <w:color w:val="000000"/>
        </w:rPr>
        <w:t xml:space="preserve">JUDGE </w:t>
      </w:r>
      <w:r>
        <w:rPr>
          <w:rFonts w:ascii="Book Antiqua" w:hAnsi="Book Antiqua" w:cs="Arial"/>
          <w:b/>
          <w:color w:val="000000"/>
        </w:rPr>
        <w:t>PLIMMER</w:t>
      </w:r>
    </w:p>
    <w:p w:rsidR="009A4763" w:rsidRPr="00B67284" w:rsidRDefault="009A4763" w:rsidP="009A4763">
      <w:pPr>
        <w:jc w:val="center"/>
        <w:rPr>
          <w:rFonts w:ascii="Book Antiqua" w:hAnsi="Book Antiqua" w:cs="Arial"/>
          <w:b/>
        </w:rPr>
      </w:pPr>
    </w:p>
    <w:p w:rsidR="006453ED" w:rsidRDefault="006453ED" w:rsidP="009A4763">
      <w:pPr>
        <w:jc w:val="center"/>
        <w:outlineLvl w:val="0"/>
        <w:rPr>
          <w:rFonts w:ascii="Book Antiqua" w:hAnsi="Book Antiqua" w:cs="Arial"/>
          <w:b/>
        </w:rPr>
      </w:pPr>
    </w:p>
    <w:p w:rsidR="009A4763" w:rsidRPr="00B67284" w:rsidRDefault="009A4763" w:rsidP="009A4763">
      <w:pPr>
        <w:jc w:val="center"/>
        <w:outlineLvl w:val="0"/>
        <w:rPr>
          <w:rFonts w:ascii="Book Antiqua" w:hAnsi="Book Antiqua" w:cs="Arial"/>
          <w:b/>
        </w:rPr>
      </w:pPr>
      <w:r w:rsidRPr="00B67284">
        <w:rPr>
          <w:rFonts w:ascii="Book Antiqua" w:hAnsi="Book Antiqua" w:cs="Arial"/>
          <w:b/>
        </w:rPr>
        <w:t>Between</w:t>
      </w:r>
    </w:p>
    <w:p w:rsidR="009A4763" w:rsidRPr="00B67284" w:rsidRDefault="009A4763" w:rsidP="009A4763">
      <w:pPr>
        <w:jc w:val="center"/>
        <w:rPr>
          <w:rFonts w:ascii="Book Antiqua" w:hAnsi="Book Antiqua" w:cs="Arial"/>
          <w:b/>
        </w:rPr>
      </w:pPr>
    </w:p>
    <w:p w:rsidR="007B2844" w:rsidRPr="007B2844" w:rsidRDefault="004D6BD4" w:rsidP="004D6BD4">
      <w:pPr>
        <w:jc w:val="center"/>
        <w:rPr>
          <w:rFonts w:ascii="Book Antiqua" w:hAnsi="Book Antiqua" w:cs="Arial"/>
          <w:b/>
          <w:u w:val="single"/>
        </w:rPr>
      </w:pPr>
      <w:r>
        <w:rPr>
          <w:rFonts w:ascii="Book Antiqua" w:hAnsi="Book Antiqua" w:cs="Arial"/>
          <w:b/>
        </w:rPr>
        <w:t>MD FOYSAL AHAMMED</w:t>
      </w:r>
    </w:p>
    <w:p w:rsidR="009A4763" w:rsidRPr="00B67284" w:rsidRDefault="009A4763" w:rsidP="009A4763">
      <w:pPr>
        <w:jc w:val="right"/>
        <w:outlineLvl w:val="0"/>
        <w:rPr>
          <w:rFonts w:ascii="Book Antiqua" w:hAnsi="Book Antiqua" w:cs="Arial"/>
          <w:u w:val="single"/>
        </w:rPr>
      </w:pPr>
      <w:r w:rsidRPr="00B67284">
        <w:rPr>
          <w:rFonts w:ascii="Book Antiqua" w:hAnsi="Book Antiqua" w:cs="Arial"/>
          <w:u w:val="single"/>
        </w:rPr>
        <w:t>Appellant</w:t>
      </w:r>
    </w:p>
    <w:p w:rsidR="009A4763" w:rsidRDefault="009A4763" w:rsidP="009A4763">
      <w:pPr>
        <w:jc w:val="center"/>
        <w:rPr>
          <w:rFonts w:ascii="Book Antiqua" w:hAnsi="Book Antiqua" w:cs="Arial"/>
          <w:b/>
        </w:rPr>
      </w:pPr>
      <w:r>
        <w:rPr>
          <w:rFonts w:ascii="Book Antiqua" w:hAnsi="Book Antiqua" w:cs="Arial"/>
          <w:b/>
        </w:rPr>
        <w:t>a</w:t>
      </w:r>
      <w:r w:rsidRPr="00B67284">
        <w:rPr>
          <w:rFonts w:ascii="Book Antiqua" w:hAnsi="Book Antiqua" w:cs="Arial"/>
          <w:b/>
        </w:rPr>
        <w:t>nd</w:t>
      </w:r>
    </w:p>
    <w:p w:rsidR="009A4763" w:rsidRDefault="009A4763" w:rsidP="009A4763">
      <w:pPr>
        <w:jc w:val="center"/>
        <w:rPr>
          <w:rFonts w:ascii="Book Antiqua" w:hAnsi="Book Antiqua" w:cs="Arial"/>
          <w:b/>
        </w:rPr>
      </w:pPr>
    </w:p>
    <w:p w:rsidR="009A4763" w:rsidRPr="00B67284" w:rsidRDefault="009A4763" w:rsidP="009A4763">
      <w:pPr>
        <w:jc w:val="center"/>
        <w:rPr>
          <w:rFonts w:ascii="Book Antiqua" w:hAnsi="Book Antiqua" w:cs="Arial"/>
          <w:b/>
        </w:rPr>
      </w:pPr>
      <w:r>
        <w:rPr>
          <w:rFonts w:ascii="Book Antiqua" w:hAnsi="Book Antiqua" w:cs="Arial"/>
          <w:b/>
        </w:rPr>
        <w:t>THE SECRETARY OF STATE FOR THE HOME DEPARTMENT</w:t>
      </w:r>
    </w:p>
    <w:p w:rsidR="009A4763" w:rsidRPr="00B67284" w:rsidRDefault="009A4763" w:rsidP="009A4763">
      <w:pPr>
        <w:jc w:val="right"/>
        <w:outlineLvl w:val="0"/>
        <w:rPr>
          <w:rFonts w:ascii="Book Antiqua" w:hAnsi="Book Antiqua" w:cs="Arial"/>
          <w:u w:val="single"/>
        </w:rPr>
      </w:pPr>
      <w:r w:rsidRPr="00B67284">
        <w:rPr>
          <w:rFonts w:ascii="Book Antiqua" w:hAnsi="Book Antiqua" w:cs="Arial"/>
          <w:u w:val="single"/>
        </w:rPr>
        <w:t>Respondent</w:t>
      </w:r>
    </w:p>
    <w:p w:rsidR="009A4763" w:rsidRDefault="009A4763" w:rsidP="00E531E5">
      <w:pPr>
        <w:rPr>
          <w:rFonts w:ascii="Book Antiqua" w:hAnsi="Book Antiqua" w:cs="Arial"/>
          <w:u w:val="single"/>
        </w:rPr>
      </w:pPr>
    </w:p>
    <w:p w:rsidR="006453ED" w:rsidRPr="00B67284" w:rsidRDefault="006453ED" w:rsidP="00E531E5">
      <w:pPr>
        <w:rPr>
          <w:rFonts w:ascii="Book Antiqua" w:hAnsi="Book Antiqua" w:cs="Arial"/>
          <w:u w:val="single"/>
        </w:rPr>
      </w:pPr>
    </w:p>
    <w:p w:rsidR="009A4763" w:rsidRPr="00B67284" w:rsidRDefault="009A4763" w:rsidP="00E531E5">
      <w:pPr>
        <w:outlineLvl w:val="0"/>
        <w:rPr>
          <w:rFonts w:ascii="Book Antiqua" w:hAnsi="Book Antiqua" w:cs="Arial"/>
        </w:rPr>
      </w:pPr>
      <w:r w:rsidRPr="00B67284">
        <w:rPr>
          <w:rFonts w:ascii="Book Antiqua" w:hAnsi="Book Antiqua" w:cs="Arial"/>
          <w:b/>
          <w:u w:val="single"/>
        </w:rPr>
        <w:t>Representation</w:t>
      </w:r>
      <w:r w:rsidRPr="00B67284">
        <w:rPr>
          <w:rFonts w:ascii="Book Antiqua" w:hAnsi="Book Antiqua" w:cs="Arial"/>
          <w:b/>
        </w:rPr>
        <w:t>:</w:t>
      </w:r>
    </w:p>
    <w:p w:rsidR="009A4763" w:rsidRPr="00B67284" w:rsidRDefault="00750412" w:rsidP="00E531E5">
      <w:pPr>
        <w:tabs>
          <w:tab w:val="left" w:pos="2520"/>
        </w:tabs>
        <w:outlineLvl w:val="0"/>
        <w:rPr>
          <w:rFonts w:ascii="Book Antiqua" w:hAnsi="Book Antiqua" w:cs="Arial"/>
        </w:rPr>
      </w:pPr>
      <w:r>
        <w:rPr>
          <w:rFonts w:ascii="Book Antiqua" w:hAnsi="Book Antiqua" w:cs="Arial"/>
        </w:rPr>
        <w:t>For the a</w:t>
      </w:r>
      <w:r w:rsidR="009A4763" w:rsidRPr="00B67284">
        <w:rPr>
          <w:rFonts w:ascii="Book Antiqua" w:hAnsi="Book Antiqua" w:cs="Arial"/>
        </w:rPr>
        <w:t>ppellant:</w:t>
      </w:r>
      <w:r w:rsidR="009A4763" w:rsidRPr="00B67284">
        <w:rPr>
          <w:rFonts w:ascii="Book Antiqua" w:hAnsi="Book Antiqua" w:cs="Arial"/>
        </w:rPr>
        <w:tab/>
      </w:r>
      <w:r w:rsidR="002132D8">
        <w:rPr>
          <w:rFonts w:ascii="Book Antiqua" w:hAnsi="Book Antiqua" w:cs="Arial"/>
        </w:rPr>
        <w:t xml:space="preserve"> M</w:t>
      </w:r>
      <w:r w:rsidR="00540E24">
        <w:rPr>
          <w:rFonts w:ascii="Book Antiqua" w:hAnsi="Book Antiqua" w:cs="Arial"/>
        </w:rPr>
        <w:t>r</w:t>
      </w:r>
      <w:r w:rsidR="00731A4B">
        <w:rPr>
          <w:rFonts w:ascii="Book Antiqua" w:hAnsi="Book Antiqua" w:cs="Arial"/>
        </w:rPr>
        <w:t xml:space="preserve"> Syed Ali</w:t>
      </w:r>
      <w:r w:rsidR="00031835">
        <w:rPr>
          <w:rFonts w:ascii="Book Antiqua" w:hAnsi="Book Antiqua" w:cs="Arial"/>
        </w:rPr>
        <w:t>,</w:t>
      </w:r>
      <w:r w:rsidR="00540E24">
        <w:rPr>
          <w:rFonts w:ascii="Book Antiqua" w:hAnsi="Book Antiqua" w:cs="Arial"/>
        </w:rPr>
        <w:t xml:space="preserve"> Counsel</w:t>
      </w:r>
      <w:r w:rsidR="00031835">
        <w:rPr>
          <w:rFonts w:ascii="Book Antiqua" w:hAnsi="Book Antiqua" w:cs="Arial"/>
        </w:rPr>
        <w:t xml:space="preserve"> </w:t>
      </w:r>
    </w:p>
    <w:p w:rsidR="009A4763" w:rsidRPr="00B67284" w:rsidRDefault="009A4763" w:rsidP="00E531E5">
      <w:pPr>
        <w:tabs>
          <w:tab w:val="left" w:pos="2520"/>
        </w:tabs>
        <w:rPr>
          <w:rFonts w:ascii="Book Antiqua" w:hAnsi="Book Antiqua" w:cs="Arial"/>
        </w:rPr>
      </w:pPr>
      <w:r w:rsidRPr="00B67284">
        <w:rPr>
          <w:rFonts w:ascii="Book Antiqua" w:hAnsi="Book Antiqua" w:cs="Arial"/>
        </w:rPr>
        <w:t xml:space="preserve">For the </w:t>
      </w:r>
      <w:r w:rsidR="00EA6B7B">
        <w:rPr>
          <w:rFonts w:ascii="Book Antiqua" w:hAnsi="Book Antiqua" w:cs="Arial"/>
        </w:rPr>
        <w:t>respondent</w:t>
      </w:r>
      <w:r w:rsidRPr="00B67284">
        <w:rPr>
          <w:rFonts w:ascii="Book Antiqua" w:hAnsi="Book Antiqua" w:cs="Arial"/>
        </w:rPr>
        <w:t>:</w:t>
      </w:r>
      <w:r w:rsidRPr="00B67284">
        <w:rPr>
          <w:rFonts w:ascii="Book Antiqua" w:hAnsi="Book Antiqua" w:cs="Arial"/>
        </w:rPr>
        <w:tab/>
      </w:r>
      <w:r w:rsidR="007B2844">
        <w:rPr>
          <w:rFonts w:ascii="Book Antiqua" w:hAnsi="Book Antiqua" w:cs="Arial"/>
        </w:rPr>
        <w:t xml:space="preserve"> M</w:t>
      </w:r>
      <w:r w:rsidR="00540E24">
        <w:rPr>
          <w:rFonts w:ascii="Book Antiqua" w:hAnsi="Book Antiqua" w:cs="Arial"/>
        </w:rPr>
        <w:t xml:space="preserve">r </w:t>
      </w:r>
      <w:proofErr w:type="spellStart"/>
      <w:r w:rsidR="00540E24">
        <w:rPr>
          <w:rFonts w:ascii="Book Antiqua" w:hAnsi="Book Antiqua" w:cs="Arial"/>
        </w:rPr>
        <w:t>Tu</w:t>
      </w:r>
      <w:r w:rsidR="00580281">
        <w:rPr>
          <w:rFonts w:ascii="Book Antiqua" w:hAnsi="Book Antiqua" w:cs="Arial"/>
        </w:rPr>
        <w:t>fa</w:t>
      </w:r>
      <w:r w:rsidR="00540E24">
        <w:rPr>
          <w:rFonts w:ascii="Book Antiqua" w:hAnsi="Book Antiqua" w:cs="Arial"/>
        </w:rPr>
        <w:t>n</w:t>
      </w:r>
      <w:proofErr w:type="spellEnd"/>
      <w:r w:rsidR="00031835">
        <w:rPr>
          <w:rFonts w:ascii="Book Antiqua" w:hAnsi="Book Antiqua" w:cs="Arial"/>
        </w:rPr>
        <w:t xml:space="preserve">, </w:t>
      </w:r>
      <w:r w:rsidR="005916B8">
        <w:rPr>
          <w:rFonts w:ascii="Book Antiqua" w:hAnsi="Book Antiqua" w:cs="Arial"/>
        </w:rPr>
        <w:t xml:space="preserve">Senior </w:t>
      </w:r>
      <w:r w:rsidR="002132D8">
        <w:rPr>
          <w:rFonts w:ascii="Book Antiqua" w:hAnsi="Book Antiqua" w:cs="Arial"/>
        </w:rPr>
        <w:t>Home Office Presenting Officer</w:t>
      </w:r>
    </w:p>
    <w:p w:rsidR="009A4763" w:rsidRDefault="009A4763" w:rsidP="005916B8">
      <w:pPr>
        <w:tabs>
          <w:tab w:val="left" w:pos="2520"/>
        </w:tabs>
        <w:rPr>
          <w:rFonts w:ascii="Book Antiqua" w:hAnsi="Book Antiqua" w:cs="Arial"/>
        </w:rPr>
      </w:pPr>
    </w:p>
    <w:p w:rsidR="006453ED" w:rsidRPr="00B67284" w:rsidRDefault="006453ED" w:rsidP="005916B8">
      <w:pPr>
        <w:tabs>
          <w:tab w:val="left" w:pos="2520"/>
        </w:tabs>
        <w:rPr>
          <w:rFonts w:ascii="Book Antiqua" w:hAnsi="Book Antiqua" w:cs="Arial"/>
        </w:rPr>
      </w:pPr>
    </w:p>
    <w:p w:rsidR="009A4763" w:rsidRPr="00B67284" w:rsidRDefault="009A4763" w:rsidP="00E531E5">
      <w:pPr>
        <w:tabs>
          <w:tab w:val="left" w:pos="2520"/>
        </w:tabs>
        <w:jc w:val="center"/>
        <w:outlineLvl w:val="0"/>
        <w:rPr>
          <w:rFonts w:ascii="Book Antiqua" w:hAnsi="Book Antiqua" w:cs="Arial"/>
        </w:rPr>
      </w:pPr>
      <w:r w:rsidRPr="00B67284">
        <w:rPr>
          <w:rFonts w:ascii="Book Antiqua" w:hAnsi="Book Antiqua" w:cs="Arial"/>
          <w:b/>
          <w:u w:val="single"/>
        </w:rPr>
        <w:t>DE</w:t>
      </w:r>
      <w:r w:rsidR="004D6BD4">
        <w:rPr>
          <w:rFonts w:ascii="Book Antiqua" w:hAnsi="Book Antiqua" w:cs="Arial"/>
          <w:b/>
          <w:u w:val="single"/>
        </w:rPr>
        <w:t>CISION AND REASONS</w:t>
      </w:r>
    </w:p>
    <w:p w:rsidR="002250DB" w:rsidRPr="00196361" w:rsidRDefault="002250DB" w:rsidP="006453ED">
      <w:pPr>
        <w:pStyle w:val="ListParagraph"/>
        <w:numPr>
          <w:ilvl w:val="0"/>
          <w:numId w:val="1"/>
        </w:numPr>
        <w:spacing w:before="160"/>
        <w:ind w:left="1134" w:hanging="567"/>
        <w:contextualSpacing w:val="0"/>
        <w:jc w:val="both"/>
        <w:rPr>
          <w:rFonts w:ascii="Book Antiqua" w:hAnsi="Book Antiqua" w:cs="Arial"/>
        </w:rPr>
      </w:pPr>
      <w:r>
        <w:rPr>
          <w:rFonts w:ascii="Book Antiqua" w:hAnsi="Book Antiqua" w:cs="Arial"/>
        </w:rPr>
        <w:t>The appellant</w:t>
      </w:r>
      <w:r w:rsidR="004D6BD4">
        <w:rPr>
          <w:rFonts w:ascii="Book Antiqua" w:hAnsi="Book Antiqua" w:cs="Arial"/>
        </w:rPr>
        <w:t>, a citizen of Pakistan</w:t>
      </w:r>
      <w:r w:rsidR="00731A4B">
        <w:rPr>
          <w:rFonts w:ascii="Book Antiqua" w:hAnsi="Book Antiqua" w:cs="Arial"/>
        </w:rPr>
        <w:t>,</w:t>
      </w:r>
      <w:r w:rsidR="004D6BD4">
        <w:rPr>
          <w:rFonts w:ascii="Book Antiqua" w:hAnsi="Book Antiqua" w:cs="Arial"/>
        </w:rPr>
        <w:t xml:space="preserve"> appealed to the First-tier Tribunal (‘FTT’) against a decision dated 13 July 2015 refusing him leave as a Tier 4 (General) Student. </w:t>
      </w:r>
      <w:r w:rsidR="00196361">
        <w:rPr>
          <w:rFonts w:ascii="Book Antiqua" w:hAnsi="Book Antiqua" w:cs="Arial"/>
        </w:rPr>
        <w:t xml:space="preserve"> </w:t>
      </w:r>
      <w:r w:rsidR="004D6BD4" w:rsidRPr="00196361">
        <w:rPr>
          <w:rFonts w:ascii="Book Antiqua" w:hAnsi="Book Antiqua" w:cs="Arial"/>
        </w:rPr>
        <w:t xml:space="preserve">It is not in dispute that the FTT appeal was an ‘old-style appeal’ because the decision was made in response to an application of some vintage, dated 18 September 2012.  This means that the FTT was not limited to determining whether the decision breached the appellant’s human rights.  One of the reasons for the delay in the decision under appeal is that a previous decision, dated 30 </w:t>
      </w:r>
      <w:r w:rsidR="004D6BD4" w:rsidRPr="00196361">
        <w:rPr>
          <w:rFonts w:ascii="Book Antiqua" w:hAnsi="Book Antiqua" w:cs="Arial"/>
        </w:rPr>
        <w:lastRenderedPageBreak/>
        <w:t>September 2015, in which the SSHD erroneously referred to evidence unrelated to the appellant</w:t>
      </w:r>
      <w:r w:rsidR="00731A4B">
        <w:rPr>
          <w:rFonts w:ascii="Book Antiqua" w:hAnsi="Book Antiqua" w:cs="Arial"/>
        </w:rPr>
        <w:t>,</w:t>
      </w:r>
      <w:r w:rsidR="004D6BD4" w:rsidRPr="00196361">
        <w:rPr>
          <w:rFonts w:ascii="Book Antiqua" w:hAnsi="Book Antiqua" w:cs="Arial"/>
        </w:rPr>
        <w:t xml:space="preserve"> was withdrawn.</w:t>
      </w:r>
    </w:p>
    <w:p w:rsidR="009A4763" w:rsidRPr="000016CD" w:rsidRDefault="002250DB" w:rsidP="006453ED">
      <w:pPr>
        <w:pStyle w:val="ListParagraph"/>
        <w:spacing w:before="160"/>
        <w:ind w:left="0"/>
        <w:contextualSpacing w:val="0"/>
        <w:jc w:val="both"/>
        <w:rPr>
          <w:rFonts w:ascii="Book Antiqua" w:hAnsi="Book Antiqua" w:cs="Arial"/>
          <w:b/>
        </w:rPr>
      </w:pPr>
      <w:r>
        <w:rPr>
          <w:rFonts w:ascii="Book Antiqua" w:hAnsi="Book Antiqua" w:cs="Arial"/>
          <w:b/>
        </w:rPr>
        <w:t>F</w:t>
      </w:r>
      <w:r w:rsidR="004D6BD4">
        <w:rPr>
          <w:rFonts w:ascii="Book Antiqua" w:hAnsi="Book Antiqua" w:cs="Arial"/>
          <w:b/>
        </w:rPr>
        <w:t>TT</w:t>
      </w:r>
      <w:r>
        <w:rPr>
          <w:rFonts w:ascii="Book Antiqua" w:hAnsi="Book Antiqua" w:cs="Arial"/>
          <w:b/>
        </w:rPr>
        <w:t xml:space="preserve"> decision</w:t>
      </w:r>
    </w:p>
    <w:p w:rsidR="00E930F9" w:rsidRDefault="00E930F9" w:rsidP="006453ED">
      <w:pPr>
        <w:pStyle w:val="ListParagraph"/>
        <w:numPr>
          <w:ilvl w:val="0"/>
          <w:numId w:val="1"/>
        </w:numPr>
        <w:spacing w:before="160"/>
        <w:ind w:left="1134" w:hanging="567"/>
        <w:contextualSpacing w:val="0"/>
        <w:jc w:val="both"/>
        <w:rPr>
          <w:rFonts w:ascii="Book Antiqua" w:hAnsi="Book Antiqua" w:cs="Arial"/>
        </w:rPr>
      </w:pPr>
      <w:r>
        <w:rPr>
          <w:rFonts w:ascii="Book Antiqua" w:hAnsi="Book Antiqua" w:cs="Arial"/>
        </w:rPr>
        <w:t>A key issue in dispute before the FTT was whether or not the appellant exercised deception when he placed reliance upon a TOEIC certificate he obtained following a test taken at South Quay College on 21 August 2012, in his application for further leave to remain as a student dated 18 September 2018.</w:t>
      </w:r>
    </w:p>
    <w:p w:rsidR="00E930F9" w:rsidRDefault="00E930F9" w:rsidP="006453ED">
      <w:pPr>
        <w:pStyle w:val="ListParagraph"/>
        <w:numPr>
          <w:ilvl w:val="0"/>
          <w:numId w:val="1"/>
        </w:numPr>
        <w:spacing w:before="160"/>
        <w:ind w:left="1134" w:hanging="567"/>
        <w:contextualSpacing w:val="0"/>
        <w:jc w:val="both"/>
        <w:rPr>
          <w:rFonts w:ascii="Book Antiqua" w:hAnsi="Book Antiqua" w:cs="Arial"/>
        </w:rPr>
      </w:pPr>
      <w:r>
        <w:rPr>
          <w:rFonts w:ascii="Book Antiqua" w:hAnsi="Book Antiqua" w:cs="Arial"/>
        </w:rPr>
        <w:t>After hearing from the appellant, the FTT concluded at [21] that the SSHD had established that the appellant procur</w:t>
      </w:r>
      <w:r w:rsidR="00731A4B">
        <w:rPr>
          <w:rFonts w:ascii="Book Antiqua" w:hAnsi="Book Antiqua" w:cs="Arial"/>
        </w:rPr>
        <w:t>ed a TOEIC certificate by decei</w:t>
      </w:r>
      <w:r>
        <w:rPr>
          <w:rFonts w:ascii="Book Antiqua" w:hAnsi="Book Antiqua" w:cs="Arial"/>
        </w:rPr>
        <w:t xml:space="preserve">t and 322(1A) of the Immigration Rules was met.  The FTT found that the appellant did not meet the requirements of the </w:t>
      </w:r>
      <w:r w:rsidR="00731A4B">
        <w:rPr>
          <w:rFonts w:ascii="Book Antiqua" w:hAnsi="Book Antiqua" w:cs="Arial"/>
        </w:rPr>
        <w:t xml:space="preserve">Immigration </w:t>
      </w:r>
      <w:r>
        <w:rPr>
          <w:rFonts w:ascii="Book Antiqua" w:hAnsi="Book Antiqua" w:cs="Arial"/>
        </w:rPr>
        <w:t>Rules and his removal would not constitute a breach of Article 8 of the ECHR.</w:t>
      </w:r>
    </w:p>
    <w:p w:rsidR="00CE0045" w:rsidRPr="00CE0045" w:rsidRDefault="00CE0045" w:rsidP="006453ED">
      <w:pPr>
        <w:pStyle w:val="ListParagraph"/>
        <w:spacing w:before="160"/>
        <w:ind w:left="0"/>
        <w:contextualSpacing w:val="0"/>
        <w:jc w:val="both"/>
        <w:rPr>
          <w:rFonts w:ascii="Book Antiqua" w:hAnsi="Book Antiqua" w:cs="Arial"/>
          <w:b/>
        </w:rPr>
      </w:pPr>
      <w:r w:rsidRPr="00CE0045">
        <w:rPr>
          <w:rFonts w:ascii="Book Antiqua" w:hAnsi="Book Antiqua" w:cs="Arial"/>
          <w:b/>
        </w:rPr>
        <w:t>Grounds of appeal</w:t>
      </w:r>
    </w:p>
    <w:p w:rsidR="00127CAC" w:rsidRDefault="00CE0045" w:rsidP="006453ED">
      <w:pPr>
        <w:pStyle w:val="ListParagraph"/>
        <w:numPr>
          <w:ilvl w:val="0"/>
          <w:numId w:val="1"/>
        </w:numPr>
        <w:spacing w:before="160"/>
        <w:ind w:left="1134" w:hanging="567"/>
        <w:contextualSpacing w:val="0"/>
        <w:jc w:val="both"/>
        <w:rPr>
          <w:rFonts w:ascii="Book Antiqua" w:hAnsi="Book Antiqua" w:cs="Arial"/>
        </w:rPr>
      </w:pPr>
      <w:r>
        <w:rPr>
          <w:rFonts w:ascii="Book Antiqua" w:hAnsi="Book Antiqua" w:cs="Arial"/>
        </w:rPr>
        <w:t xml:space="preserve">The grounds of appeal </w:t>
      </w:r>
      <w:r w:rsidR="00127CAC">
        <w:rPr>
          <w:rFonts w:ascii="Book Antiqua" w:hAnsi="Book Antiqua" w:cs="Arial"/>
        </w:rPr>
        <w:t xml:space="preserve">have been </w:t>
      </w:r>
      <w:r>
        <w:rPr>
          <w:rFonts w:ascii="Book Antiqua" w:hAnsi="Book Antiqua" w:cs="Arial"/>
        </w:rPr>
        <w:t xml:space="preserve">prepared by solicitors </w:t>
      </w:r>
      <w:r w:rsidR="00127CAC">
        <w:rPr>
          <w:rFonts w:ascii="Book Antiqua" w:hAnsi="Book Antiqua" w:cs="Arial"/>
        </w:rPr>
        <w:t>but they are vague, repetitive and difficult to follow.  I have reformulated the grounds as best as I can in order to summarise them as follows:</w:t>
      </w:r>
    </w:p>
    <w:p w:rsidR="00404580" w:rsidRDefault="00404580" w:rsidP="006453ED">
      <w:pPr>
        <w:pStyle w:val="ListParagraph"/>
        <w:spacing w:before="120" w:after="120"/>
        <w:ind w:left="1280"/>
        <w:jc w:val="both"/>
        <w:rPr>
          <w:rFonts w:ascii="Book Antiqua" w:hAnsi="Book Antiqua" w:cs="Arial"/>
        </w:rPr>
      </w:pPr>
    </w:p>
    <w:p w:rsidR="00404580" w:rsidRDefault="00404580" w:rsidP="006453ED">
      <w:pPr>
        <w:pStyle w:val="ListParagraph"/>
        <w:numPr>
          <w:ilvl w:val="1"/>
          <w:numId w:val="1"/>
        </w:numPr>
        <w:spacing w:before="120" w:after="120"/>
        <w:ind w:left="1701" w:hanging="567"/>
        <w:jc w:val="both"/>
        <w:rPr>
          <w:rFonts w:ascii="Book Antiqua" w:hAnsi="Book Antiqua" w:cs="Arial"/>
        </w:rPr>
      </w:pPr>
      <w:r>
        <w:rPr>
          <w:rFonts w:ascii="Book Antiqua" w:hAnsi="Book Antiqua" w:cs="Arial"/>
        </w:rPr>
        <w:t>The FTT erred in finding that the SSHD discharged the evidential burden of establishing deception;</w:t>
      </w:r>
    </w:p>
    <w:p w:rsidR="00404580" w:rsidRDefault="00404580" w:rsidP="006453ED">
      <w:pPr>
        <w:pStyle w:val="ListParagraph"/>
        <w:spacing w:before="120" w:after="120"/>
        <w:ind w:left="2160"/>
        <w:jc w:val="both"/>
        <w:rPr>
          <w:rFonts w:ascii="Book Antiqua" w:hAnsi="Book Antiqua" w:cs="Arial"/>
        </w:rPr>
      </w:pPr>
    </w:p>
    <w:p w:rsidR="00404580" w:rsidRDefault="00404580" w:rsidP="006453ED">
      <w:pPr>
        <w:pStyle w:val="ListParagraph"/>
        <w:numPr>
          <w:ilvl w:val="1"/>
          <w:numId w:val="1"/>
        </w:numPr>
        <w:spacing w:before="120" w:after="120"/>
        <w:ind w:left="1701" w:hanging="567"/>
        <w:jc w:val="both"/>
        <w:rPr>
          <w:rFonts w:ascii="Book Antiqua" w:hAnsi="Book Antiqua" w:cs="Arial"/>
        </w:rPr>
      </w:pPr>
      <w:r>
        <w:rPr>
          <w:rFonts w:ascii="Book Antiqua" w:hAnsi="Book Antiqua" w:cs="Arial"/>
        </w:rPr>
        <w:t>The FTT made inconsistent findings regarding the appellant’s general credibility;</w:t>
      </w:r>
    </w:p>
    <w:p w:rsidR="00404580" w:rsidRDefault="00404580" w:rsidP="006453ED">
      <w:pPr>
        <w:pStyle w:val="ListParagraph"/>
        <w:spacing w:before="120" w:after="120"/>
        <w:ind w:left="0"/>
        <w:jc w:val="both"/>
        <w:rPr>
          <w:rFonts w:ascii="Book Antiqua" w:hAnsi="Book Antiqua" w:cs="Arial"/>
        </w:rPr>
      </w:pPr>
    </w:p>
    <w:p w:rsidR="00404580" w:rsidRDefault="00404580" w:rsidP="006453ED">
      <w:pPr>
        <w:pStyle w:val="ListParagraph"/>
        <w:numPr>
          <w:ilvl w:val="1"/>
          <w:numId w:val="1"/>
        </w:numPr>
        <w:spacing w:before="120" w:after="120"/>
        <w:ind w:left="1701" w:hanging="567"/>
        <w:jc w:val="both"/>
        <w:rPr>
          <w:rFonts w:ascii="Book Antiqua" w:hAnsi="Book Antiqua" w:cs="Arial"/>
        </w:rPr>
      </w:pPr>
      <w:r>
        <w:rPr>
          <w:rFonts w:ascii="Book Antiqua" w:hAnsi="Book Antiqua" w:cs="Arial"/>
        </w:rPr>
        <w:t>In so far as the FTT found the appellant’s evidence incredible, it was wrong to do so and took irrelevant matters into account.</w:t>
      </w:r>
    </w:p>
    <w:p w:rsidR="001C6E0F" w:rsidRPr="00404580" w:rsidRDefault="001C6E0F" w:rsidP="006453ED">
      <w:pPr>
        <w:pStyle w:val="ListParagraph"/>
        <w:spacing w:before="120" w:after="120"/>
        <w:ind w:left="0"/>
        <w:jc w:val="both"/>
        <w:rPr>
          <w:rFonts w:ascii="Book Antiqua" w:hAnsi="Book Antiqua" w:cs="Arial"/>
        </w:rPr>
      </w:pPr>
    </w:p>
    <w:p w:rsidR="00404580" w:rsidRDefault="009A4763" w:rsidP="006453ED">
      <w:pPr>
        <w:pStyle w:val="ListParagraph"/>
        <w:numPr>
          <w:ilvl w:val="0"/>
          <w:numId w:val="1"/>
        </w:numPr>
        <w:spacing w:before="160"/>
        <w:ind w:left="1134" w:hanging="567"/>
        <w:contextualSpacing w:val="0"/>
        <w:jc w:val="both"/>
        <w:rPr>
          <w:rFonts w:ascii="Book Antiqua" w:hAnsi="Book Antiqua" w:cs="Arial"/>
        </w:rPr>
      </w:pPr>
      <w:r>
        <w:rPr>
          <w:rFonts w:ascii="Book Antiqua" w:hAnsi="Book Antiqua" w:cs="Arial"/>
        </w:rPr>
        <w:t xml:space="preserve">In a decision dated </w:t>
      </w:r>
      <w:r w:rsidR="00404580">
        <w:rPr>
          <w:rFonts w:ascii="Book Antiqua" w:hAnsi="Book Antiqua" w:cs="Arial"/>
        </w:rPr>
        <w:t xml:space="preserve">24 April 2018 FTT </w:t>
      </w:r>
      <w:r w:rsidR="00D00559">
        <w:rPr>
          <w:rFonts w:ascii="Book Antiqua" w:hAnsi="Book Antiqua" w:cs="Arial"/>
        </w:rPr>
        <w:t xml:space="preserve">Judge </w:t>
      </w:r>
      <w:r w:rsidR="00404580">
        <w:rPr>
          <w:rFonts w:ascii="Book Antiqua" w:hAnsi="Book Antiqua" w:cs="Arial"/>
        </w:rPr>
        <w:t xml:space="preserve">Davies </w:t>
      </w:r>
      <w:r w:rsidR="00731A4B">
        <w:rPr>
          <w:rFonts w:ascii="Book Antiqua" w:hAnsi="Book Antiqua" w:cs="Arial"/>
        </w:rPr>
        <w:t xml:space="preserve">granted permission to appeal.  He </w:t>
      </w:r>
      <w:r w:rsidR="00404580">
        <w:rPr>
          <w:rFonts w:ascii="Book Antiqua" w:hAnsi="Book Antiqua" w:cs="Arial"/>
        </w:rPr>
        <w:t>considered there was “</w:t>
      </w:r>
      <w:r w:rsidR="00404580" w:rsidRPr="00404580">
        <w:rPr>
          <w:rFonts w:ascii="Book Antiqua" w:hAnsi="Book Antiqua" w:cs="Arial"/>
          <w:i/>
        </w:rPr>
        <w:t>clear confusion</w:t>
      </w:r>
      <w:r w:rsidR="00404580">
        <w:rPr>
          <w:rFonts w:ascii="Book Antiqua" w:hAnsi="Book Antiqua" w:cs="Arial"/>
        </w:rPr>
        <w:t>” in the FTT’s findings because at first it considered the appellant to be a credible witness before going on “</w:t>
      </w:r>
      <w:r w:rsidR="00404580" w:rsidRPr="00731A4B">
        <w:rPr>
          <w:rFonts w:ascii="Book Antiqua" w:hAnsi="Book Antiqua" w:cs="Arial"/>
          <w:i/>
        </w:rPr>
        <w:t>in relation to many aspects of the evidence, to find the appellant incredible</w:t>
      </w:r>
      <w:r w:rsidR="00404580">
        <w:rPr>
          <w:rFonts w:ascii="Book Antiqua" w:hAnsi="Book Antiqua" w:cs="Arial"/>
        </w:rPr>
        <w:t>”.</w:t>
      </w:r>
    </w:p>
    <w:p w:rsidR="00692765" w:rsidRPr="00ED1AFE" w:rsidRDefault="00692765" w:rsidP="006453ED">
      <w:pPr>
        <w:pStyle w:val="ListParagraph"/>
        <w:spacing w:before="160"/>
        <w:ind w:left="0"/>
        <w:contextualSpacing w:val="0"/>
        <w:jc w:val="both"/>
        <w:rPr>
          <w:rFonts w:ascii="Book Antiqua" w:hAnsi="Book Antiqua"/>
          <w:b/>
        </w:rPr>
      </w:pPr>
      <w:r w:rsidRPr="00ED1AFE">
        <w:rPr>
          <w:rFonts w:ascii="Book Antiqua" w:hAnsi="Book Antiqua"/>
          <w:b/>
        </w:rPr>
        <w:t>Hearing</w:t>
      </w:r>
    </w:p>
    <w:p w:rsidR="00404580" w:rsidRDefault="00404580" w:rsidP="006453ED">
      <w:pPr>
        <w:pStyle w:val="ListParagraph"/>
        <w:numPr>
          <w:ilvl w:val="0"/>
          <w:numId w:val="1"/>
        </w:numPr>
        <w:spacing w:before="160"/>
        <w:ind w:left="1134" w:hanging="567"/>
        <w:contextualSpacing w:val="0"/>
        <w:jc w:val="both"/>
        <w:rPr>
          <w:rFonts w:ascii="Book Antiqua" w:hAnsi="Book Antiqua"/>
        </w:rPr>
      </w:pPr>
      <w:r>
        <w:rPr>
          <w:rFonts w:ascii="Book Antiqua" w:hAnsi="Book Antiqua"/>
        </w:rPr>
        <w:t>At the hearing</w:t>
      </w:r>
      <w:r w:rsidR="00731A4B">
        <w:rPr>
          <w:rFonts w:ascii="Book Antiqua" w:hAnsi="Book Antiqua"/>
        </w:rPr>
        <w:t xml:space="preserve"> before me</w:t>
      </w:r>
      <w:r>
        <w:rPr>
          <w:rFonts w:ascii="Book Antiqua" w:hAnsi="Book Antiqua"/>
        </w:rPr>
        <w:t xml:space="preserve"> M</w:t>
      </w:r>
      <w:r w:rsidR="00731A4B">
        <w:rPr>
          <w:rFonts w:ascii="Book Antiqua" w:hAnsi="Book Antiqua"/>
        </w:rPr>
        <w:t xml:space="preserve">r Syed-Ali relied upon a helpful skeleton argument and re-focussed the grounds.  He submitted that the FTT made a positive credibility finding and required the appellant to provide evidence regarding the circumstances of the relevant English test in compatible with the relevant standard of proof.  In these circumstances, he argued that the FTT’s findings on deception were not open to it. </w:t>
      </w:r>
    </w:p>
    <w:p w:rsidR="00731A4B" w:rsidRPr="00692765" w:rsidRDefault="00731A4B" w:rsidP="006453ED">
      <w:pPr>
        <w:pStyle w:val="ListParagraph"/>
        <w:numPr>
          <w:ilvl w:val="0"/>
          <w:numId w:val="1"/>
        </w:numPr>
        <w:spacing w:before="160"/>
        <w:ind w:left="1134" w:hanging="567"/>
        <w:contextualSpacing w:val="0"/>
        <w:jc w:val="both"/>
        <w:rPr>
          <w:rFonts w:ascii="Book Antiqua" w:hAnsi="Book Antiqua"/>
        </w:rPr>
      </w:pPr>
      <w:r>
        <w:rPr>
          <w:rFonts w:ascii="Book Antiqua" w:hAnsi="Book Antiqua"/>
        </w:rPr>
        <w:t xml:space="preserve">I did not need to hear from Mr </w:t>
      </w:r>
      <w:proofErr w:type="spellStart"/>
      <w:r>
        <w:rPr>
          <w:rFonts w:ascii="Book Antiqua" w:hAnsi="Book Antiqua"/>
        </w:rPr>
        <w:t>Tufan</w:t>
      </w:r>
      <w:proofErr w:type="spellEnd"/>
      <w:r>
        <w:rPr>
          <w:rFonts w:ascii="Book Antiqua" w:hAnsi="Book Antiqua"/>
        </w:rPr>
        <w:t xml:space="preserve"> and indicated that the appeal would be dismissed with reasons to follow.</w:t>
      </w:r>
    </w:p>
    <w:p w:rsidR="006453ED" w:rsidRDefault="006453ED" w:rsidP="006453ED">
      <w:pPr>
        <w:pStyle w:val="ListParagraph"/>
        <w:spacing w:before="160"/>
        <w:ind w:left="0"/>
        <w:contextualSpacing w:val="0"/>
        <w:jc w:val="both"/>
        <w:rPr>
          <w:rFonts w:ascii="Book Antiqua" w:hAnsi="Book Antiqua" w:cs="Arial"/>
          <w:b/>
        </w:rPr>
      </w:pPr>
    </w:p>
    <w:p w:rsidR="006453ED" w:rsidRDefault="006453ED" w:rsidP="006453ED">
      <w:pPr>
        <w:pStyle w:val="ListParagraph"/>
        <w:spacing w:before="160"/>
        <w:ind w:left="0"/>
        <w:contextualSpacing w:val="0"/>
        <w:jc w:val="both"/>
        <w:rPr>
          <w:rFonts w:ascii="Book Antiqua" w:hAnsi="Book Antiqua" w:cs="Arial"/>
          <w:b/>
        </w:rPr>
      </w:pPr>
    </w:p>
    <w:p w:rsidR="00440B72" w:rsidRPr="00692765" w:rsidRDefault="002F2A92" w:rsidP="006453ED">
      <w:pPr>
        <w:pStyle w:val="ListParagraph"/>
        <w:spacing w:before="160"/>
        <w:ind w:left="0"/>
        <w:contextualSpacing w:val="0"/>
        <w:jc w:val="both"/>
        <w:rPr>
          <w:rFonts w:ascii="Book Antiqua" w:hAnsi="Book Antiqua"/>
        </w:rPr>
      </w:pPr>
      <w:r w:rsidRPr="00692765">
        <w:rPr>
          <w:rFonts w:ascii="Book Antiqua" w:hAnsi="Book Antiqua" w:cs="Arial"/>
          <w:b/>
        </w:rPr>
        <w:lastRenderedPageBreak/>
        <w:t>Error of law d</w:t>
      </w:r>
      <w:r w:rsidR="00440B72" w:rsidRPr="00692765">
        <w:rPr>
          <w:rFonts w:ascii="Book Antiqua" w:hAnsi="Book Antiqua" w:cs="Arial"/>
          <w:b/>
        </w:rPr>
        <w:t>iscussion</w:t>
      </w:r>
    </w:p>
    <w:p w:rsidR="00731A4B" w:rsidRDefault="00731A4B" w:rsidP="006453ED">
      <w:pPr>
        <w:pStyle w:val="ListParagraph"/>
        <w:numPr>
          <w:ilvl w:val="0"/>
          <w:numId w:val="1"/>
        </w:numPr>
        <w:spacing w:before="160"/>
        <w:ind w:left="1134" w:hanging="567"/>
        <w:contextualSpacing w:val="0"/>
        <w:jc w:val="both"/>
        <w:rPr>
          <w:rFonts w:ascii="Book Antiqua" w:hAnsi="Book Antiqua"/>
        </w:rPr>
      </w:pPr>
      <w:r>
        <w:rPr>
          <w:rFonts w:ascii="Book Antiqua" w:hAnsi="Book Antiqua"/>
        </w:rPr>
        <w:t xml:space="preserve">For completeness I address each of the written grounds of appeal as clarified by </w:t>
      </w:r>
      <w:r w:rsidR="00425389">
        <w:rPr>
          <w:rFonts w:ascii="Book Antiqua" w:hAnsi="Book Antiqua"/>
        </w:rPr>
        <w:t>Mr Syed-Ali during the course of his oral submissions.</w:t>
      </w:r>
    </w:p>
    <w:p w:rsidR="00404580" w:rsidRPr="00F755A5" w:rsidRDefault="00404580" w:rsidP="006453ED">
      <w:pPr>
        <w:pStyle w:val="ListParagraph"/>
        <w:spacing w:before="160"/>
        <w:ind w:left="0"/>
        <w:contextualSpacing w:val="0"/>
        <w:jc w:val="both"/>
        <w:rPr>
          <w:rFonts w:ascii="Book Antiqua" w:hAnsi="Book Antiqua"/>
          <w:i/>
        </w:rPr>
      </w:pPr>
      <w:r w:rsidRPr="00F755A5">
        <w:rPr>
          <w:rFonts w:ascii="Book Antiqua" w:hAnsi="Book Antiqua"/>
          <w:i/>
        </w:rPr>
        <w:t>Ground 1</w:t>
      </w:r>
    </w:p>
    <w:p w:rsidR="00F755A5" w:rsidRDefault="00425389" w:rsidP="006453ED">
      <w:pPr>
        <w:pStyle w:val="ListParagraph"/>
        <w:numPr>
          <w:ilvl w:val="0"/>
          <w:numId w:val="1"/>
        </w:numPr>
        <w:spacing w:before="160"/>
        <w:ind w:left="1134" w:hanging="567"/>
        <w:contextualSpacing w:val="0"/>
        <w:jc w:val="both"/>
        <w:rPr>
          <w:rFonts w:ascii="Book Antiqua" w:hAnsi="Book Antiqua"/>
        </w:rPr>
      </w:pPr>
      <w:r>
        <w:rPr>
          <w:rFonts w:ascii="Book Antiqua" w:hAnsi="Book Antiqua"/>
        </w:rPr>
        <w:t>I am satisfied that the FTT committed n</w:t>
      </w:r>
      <w:r w:rsidR="00404580">
        <w:rPr>
          <w:rFonts w:ascii="Book Antiqua" w:hAnsi="Book Antiqua"/>
        </w:rPr>
        <w:t xml:space="preserve">o </w:t>
      </w:r>
      <w:r w:rsidR="00F755A5">
        <w:rPr>
          <w:rFonts w:ascii="Book Antiqua" w:hAnsi="Book Antiqua"/>
        </w:rPr>
        <w:t xml:space="preserve">error </w:t>
      </w:r>
      <w:r>
        <w:rPr>
          <w:rFonts w:ascii="Book Antiqua" w:hAnsi="Book Antiqua"/>
        </w:rPr>
        <w:t xml:space="preserve">of law </w:t>
      </w:r>
      <w:r w:rsidR="00F755A5">
        <w:rPr>
          <w:rFonts w:ascii="Book Antiqua" w:hAnsi="Book Antiqua"/>
        </w:rPr>
        <w:t>in</w:t>
      </w:r>
      <w:r>
        <w:rPr>
          <w:rFonts w:ascii="Book Antiqua" w:hAnsi="Book Antiqua"/>
        </w:rPr>
        <w:t xml:space="preserve"> its</w:t>
      </w:r>
      <w:r w:rsidR="00F755A5">
        <w:rPr>
          <w:rFonts w:ascii="Book Antiqua" w:hAnsi="Book Antiqua"/>
        </w:rPr>
        <w:t xml:space="preserve"> approach to </w:t>
      </w:r>
      <w:r w:rsidR="00404580">
        <w:rPr>
          <w:rFonts w:ascii="Book Antiqua" w:hAnsi="Book Antiqua"/>
        </w:rPr>
        <w:t xml:space="preserve">the allegation of deception.  </w:t>
      </w:r>
      <w:r w:rsidR="00F755A5">
        <w:rPr>
          <w:rFonts w:ascii="Book Antiqua" w:hAnsi="Book Antiqua"/>
        </w:rPr>
        <w:t>For the reasons provided by the FTT at [14], it was entitled to find that the SSHD discharged the evidential burden, such that the appellant was required to provide an innocent explanation.  The FTT properly directed itself to the relevant factors to take into account when assessing the explanation provided at [15] and made clear findings of fact open to it in relation to each factor at [16] to [20].</w:t>
      </w:r>
    </w:p>
    <w:p w:rsidR="00F755A5" w:rsidRPr="00F755A5" w:rsidRDefault="00F755A5" w:rsidP="006453ED">
      <w:pPr>
        <w:pStyle w:val="ListParagraph"/>
        <w:spacing w:before="160"/>
        <w:ind w:left="0"/>
        <w:contextualSpacing w:val="0"/>
        <w:rPr>
          <w:rFonts w:ascii="Book Antiqua" w:hAnsi="Book Antiqua"/>
          <w:i/>
        </w:rPr>
      </w:pPr>
      <w:r w:rsidRPr="00F755A5">
        <w:rPr>
          <w:rFonts w:ascii="Book Antiqua" w:hAnsi="Book Antiqua"/>
          <w:i/>
        </w:rPr>
        <w:t>Ground 2</w:t>
      </w:r>
    </w:p>
    <w:p w:rsidR="00F755A5" w:rsidRDefault="00F755A5" w:rsidP="006453ED">
      <w:pPr>
        <w:pStyle w:val="ListParagraph"/>
        <w:numPr>
          <w:ilvl w:val="0"/>
          <w:numId w:val="1"/>
        </w:numPr>
        <w:spacing w:before="160"/>
        <w:ind w:left="1134" w:hanging="567"/>
        <w:contextualSpacing w:val="0"/>
        <w:jc w:val="both"/>
        <w:rPr>
          <w:rFonts w:ascii="Book Antiqua" w:hAnsi="Book Antiqua"/>
        </w:rPr>
      </w:pPr>
      <w:r>
        <w:rPr>
          <w:rFonts w:ascii="Book Antiqua" w:hAnsi="Book Antiqua"/>
        </w:rPr>
        <w:t>At [12], under the sub-heading ‘my findings of credibility and fact’ the FTT said this:</w:t>
      </w:r>
    </w:p>
    <w:p w:rsidR="00F755A5" w:rsidRDefault="00F755A5" w:rsidP="006453ED">
      <w:pPr>
        <w:pStyle w:val="ListParagraph"/>
        <w:ind w:left="1701"/>
        <w:jc w:val="both"/>
        <w:rPr>
          <w:rFonts w:ascii="Book Antiqua" w:hAnsi="Book Antiqua"/>
        </w:rPr>
      </w:pPr>
    </w:p>
    <w:p w:rsidR="00F755A5" w:rsidRDefault="00F755A5" w:rsidP="006453ED">
      <w:pPr>
        <w:pStyle w:val="ListParagraph"/>
        <w:ind w:left="1701"/>
        <w:jc w:val="both"/>
        <w:rPr>
          <w:rFonts w:ascii="Book Antiqua" w:hAnsi="Book Antiqua"/>
        </w:rPr>
      </w:pPr>
      <w:r>
        <w:rPr>
          <w:rFonts w:ascii="Book Antiqua" w:hAnsi="Book Antiqua"/>
        </w:rPr>
        <w:t>“I make the following findings. I have found the appellant to be a credible witness.  He gave his evidence in a compelling and consistent manner and as a result I am satisfied he is a witness of truth.”</w:t>
      </w:r>
    </w:p>
    <w:p w:rsidR="00F755A5" w:rsidRDefault="00F755A5" w:rsidP="006453ED">
      <w:pPr>
        <w:pStyle w:val="ListParagraph"/>
        <w:ind w:left="1701"/>
        <w:jc w:val="both"/>
        <w:rPr>
          <w:rFonts w:ascii="Book Antiqua" w:hAnsi="Book Antiqua"/>
        </w:rPr>
      </w:pPr>
    </w:p>
    <w:p w:rsidR="00F755A5" w:rsidRDefault="00091B9A" w:rsidP="006453ED">
      <w:pPr>
        <w:pStyle w:val="ListParagraph"/>
        <w:numPr>
          <w:ilvl w:val="0"/>
          <w:numId w:val="1"/>
        </w:numPr>
        <w:spacing w:before="160"/>
        <w:ind w:left="1134" w:hanging="567"/>
        <w:contextualSpacing w:val="0"/>
        <w:jc w:val="both"/>
        <w:rPr>
          <w:rFonts w:ascii="Book Antiqua" w:hAnsi="Book Antiqua"/>
        </w:rPr>
      </w:pPr>
      <w:r>
        <w:rPr>
          <w:rFonts w:ascii="Book Antiqua" w:hAnsi="Book Antiqua"/>
        </w:rPr>
        <w:t>Th</w:t>
      </w:r>
      <w:r w:rsidR="00F755A5">
        <w:rPr>
          <w:rFonts w:ascii="Book Antiqua" w:hAnsi="Book Antiqua"/>
        </w:rPr>
        <w:t xml:space="preserve">e FTT provided no examples to support this finding and it is entirely inconsistent with the remainder of the decision.  </w:t>
      </w:r>
      <w:r w:rsidR="00425389">
        <w:rPr>
          <w:rFonts w:ascii="Book Antiqua" w:hAnsi="Book Antiqua"/>
        </w:rPr>
        <w:t xml:space="preserve">Mr Syed-Ali’s submission that the FTT made </w:t>
      </w:r>
      <w:r w:rsidR="00725E1E">
        <w:rPr>
          <w:rFonts w:ascii="Book Antiqua" w:hAnsi="Book Antiqua"/>
        </w:rPr>
        <w:t>a clear, positive credibility finding</w:t>
      </w:r>
      <w:r w:rsidR="00425389">
        <w:rPr>
          <w:rFonts w:ascii="Book Antiqua" w:hAnsi="Book Antiqua"/>
        </w:rPr>
        <w:t xml:space="preserve"> is not supported by a full reading of the decision.  </w:t>
      </w:r>
      <w:r w:rsidR="00F755A5">
        <w:rPr>
          <w:rFonts w:ascii="Book Antiqua" w:hAnsi="Book Antiqua"/>
        </w:rPr>
        <w:t>I am satisfied that [12] was included in error in the decision but that this error is not material when the remainder of the decision is carefully considered</w:t>
      </w:r>
      <w:r w:rsidR="00425389">
        <w:rPr>
          <w:rFonts w:ascii="Book Antiqua" w:hAnsi="Book Antiqua"/>
        </w:rPr>
        <w:t>, and the decision is considered as a whole</w:t>
      </w:r>
      <w:r w:rsidR="00F755A5">
        <w:rPr>
          <w:rFonts w:ascii="Book Antiqua" w:hAnsi="Book Antiqua"/>
        </w:rPr>
        <w:t>.</w:t>
      </w:r>
    </w:p>
    <w:p w:rsidR="00B3239C" w:rsidRDefault="00F755A5" w:rsidP="006453ED">
      <w:pPr>
        <w:pStyle w:val="ListParagraph"/>
        <w:numPr>
          <w:ilvl w:val="0"/>
          <w:numId w:val="1"/>
        </w:numPr>
        <w:spacing w:before="160"/>
        <w:ind w:left="1134" w:hanging="567"/>
        <w:contextualSpacing w:val="0"/>
        <w:jc w:val="both"/>
        <w:rPr>
          <w:rFonts w:ascii="Book Antiqua" w:hAnsi="Book Antiqua"/>
        </w:rPr>
      </w:pPr>
      <w:r>
        <w:rPr>
          <w:rFonts w:ascii="Book Antiqua" w:hAnsi="Book Antiqua"/>
        </w:rPr>
        <w:t>First, [12] is out of sync with the substantive factual findings.  These are to be found at [16] to [20]</w:t>
      </w:r>
      <w:r w:rsidR="00B3239C">
        <w:rPr>
          <w:rFonts w:ascii="Book Antiqua" w:hAnsi="Book Antiqua"/>
        </w:rPr>
        <w:t xml:space="preserve"> and after the FTT addresses other matters such as the burden of proof where deception is alleged and its application to the instant case at [13] to [15].</w:t>
      </w:r>
    </w:p>
    <w:p w:rsidR="00B3239C" w:rsidRDefault="00B3239C" w:rsidP="006453ED">
      <w:pPr>
        <w:pStyle w:val="ListParagraph"/>
        <w:numPr>
          <w:ilvl w:val="0"/>
          <w:numId w:val="1"/>
        </w:numPr>
        <w:spacing w:before="160"/>
        <w:ind w:left="1134" w:hanging="567"/>
        <w:contextualSpacing w:val="0"/>
        <w:jc w:val="both"/>
        <w:rPr>
          <w:rFonts w:ascii="Book Antiqua" w:hAnsi="Book Antiqua"/>
        </w:rPr>
      </w:pPr>
      <w:r>
        <w:rPr>
          <w:rFonts w:ascii="Book Antiqua" w:hAnsi="Book Antiqua"/>
        </w:rPr>
        <w:t>Second, not a single example is provided in support of the appellant having provided evidence in a “</w:t>
      </w:r>
      <w:r w:rsidRPr="00B3239C">
        <w:rPr>
          <w:rFonts w:ascii="Book Antiqua" w:hAnsi="Book Antiqua"/>
          <w:i/>
        </w:rPr>
        <w:t>consistent and credible manner</w:t>
      </w:r>
      <w:r>
        <w:rPr>
          <w:rFonts w:ascii="Book Antiqua" w:hAnsi="Book Antiqua"/>
        </w:rPr>
        <w:t xml:space="preserve">”.  The summary of the evidence at [8] to [11] entirely supports the later </w:t>
      </w:r>
      <w:r w:rsidR="00425389">
        <w:rPr>
          <w:rFonts w:ascii="Book Antiqua" w:hAnsi="Book Antiqua"/>
        </w:rPr>
        <w:t xml:space="preserve">adverse credibility </w:t>
      </w:r>
      <w:r>
        <w:rPr>
          <w:rFonts w:ascii="Book Antiqua" w:hAnsi="Book Antiqua"/>
        </w:rPr>
        <w:t>findings at [16] to [20].</w:t>
      </w:r>
    </w:p>
    <w:p w:rsidR="00B3239C" w:rsidRDefault="00B3239C" w:rsidP="006453ED">
      <w:pPr>
        <w:pStyle w:val="ListParagraph"/>
        <w:numPr>
          <w:ilvl w:val="0"/>
          <w:numId w:val="1"/>
        </w:numPr>
        <w:spacing w:before="160"/>
        <w:ind w:left="1134" w:hanging="567"/>
        <w:contextualSpacing w:val="0"/>
        <w:jc w:val="both"/>
        <w:rPr>
          <w:rFonts w:ascii="Book Antiqua" w:hAnsi="Book Antiqua"/>
        </w:rPr>
      </w:pPr>
      <w:r>
        <w:rPr>
          <w:rFonts w:ascii="Book Antiqua" w:hAnsi="Book Antiqua"/>
        </w:rPr>
        <w:t>Third, notwithstanding the inclusion of [12</w:t>
      </w:r>
      <w:r w:rsidR="00425389">
        <w:rPr>
          <w:rFonts w:ascii="Book Antiqua" w:hAnsi="Book Antiqua"/>
        </w:rPr>
        <w:t>] it is clear that the FTT for all practical purposes did not consider the appellant to have provided credible evidence</w:t>
      </w:r>
      <w:r>
        <w:rPr>
          <w:rFonts w:ascii="Book Antiqua" w:hAnsi="Book Antiqua"/>
        </w:rPr>
        <w:t>:</w:t>
      </w:r>
    </w:p>
    <w:p w:rsidR="00B3239C" w:rsidRDefault="00B3239C" w:rsidP="00B3239C">
      <w:pPr>
        <w:pStyle w:val="ListParagraph"/>
        <w:rPr>
          <w:rFonts w:ascii="Book Antiqua" w:hAnsi="Book Antiqua"/>
        </w:rPr>
      </w:pPr>
    </w:p>
    <w:p w:rsidR="00B3239C" w:rsidRDefault="00425389" w:rsidP="006453ED">
      <w:pPr>
        <w:pStyle w:val="ListParagraph"/>
        <w:numPr>
          <w:ilvl w:val="0"/>
          <w:numId w:val="10"/>
        </w:numPr>
        <w:ind w:left="1701" w:hanging="567"/>
        <w:jc w:val="both"/>
        <w:rPr>
          <w:rFonts w:ascii="Book Antiqua" w:hAnsi="Book Antiqua"/>
        </w:rPr>
      </w:pPr>
      <w:r>
        <w:rPr>
          <w:rFonts w:ascii="Book Antiqua" w:hAnsi="Book Antiqua"/>
        </w:rPr>
        <w:t xml:space="preserve">The FTT found </w:t>
      </w:r>
      <w:r w:rsidR="00B3239C">
        <w:rPr>
          <w:rFonts w:ascii="Book Antiqua" w:hAnsi="Book Antiqua"/>
        </w:rPr>
        <w:t>the appellant’s “</w:t>
      </w:r>
      <w:r w:rsidR="00B3239C" w:rsidRPr="00425389">
        <w:rPr>
          <w:rFonts w:ascii="Book Antiqua" w:hAnsi="Book Antiqua"/>
          <w:i/>
        </w:rPr>
        <w:t>evidence to be lacking in detail and implausible</w:t>
      </w:r>
      <w:r w:rsidR="00B3239C">
        <w:rPr>
          <w:rFonts w:ascii="Book Antiqua" w:hAnsi="Book Antiqua"/>
        </w:rPr>
        <w:t>” and his failure to make a complaint via his representatives to be illogical and “</w:t>
      </w:r>
      <w:r w:rsidR="00B3239C" w:rsidRPr="00425389">
        <w:rPr>
          <w:rFonts w:ascii="Book Antiqua" w:hAnsi="Book Antiqua"/>
          <w:i/>
        </w:rPr>
        <w:t>undermine the credibility of his account</w:t>
      </w:r>
      <w:r>
        <w:rPr>
          <w:rFonts w:ascii="Book Antiqua" w:hAnsi="Book Antiqua"/>
        </w:rPr>
        <w:t>” at [16].</w:t>
      </w:r>
    </w:p>
    <w:p w:rsidR="00425389" w:rsidRDefault="00425389" w:rsidP="00425389">
      <w:pPr>
        <w:pStyle w:val="ListParagraph"/>
        <w:ind w:left="1800"/>
        <w:jc w:val="both"/>
        <w:rPr>
          <w:rFonts w:ascii="Book Antiqua" w:hAnsi="Book Antiqua"/>
        </w:rPr>
      </w:pPr>
    </w:p>
    <w:p w:rsidR="00B3239C" w:rsidRDefault="00425389" w:rsidP="006453ED">
      <w:pPr>
        <w:pStyle w:val="ListParagraph"/>
        <w:numPr>
          <w:ilvl w:val="0"/>
          <w:numId w:val="10"/>
        </w:numPr>
        <w:ind w:left="1701" w:hanging="567"/>
        <w:jc w:val="both"/>
        <w:rPr>
          <w:rFonts w:ascii="Book Antiqua" w:hAnsi="Book Antiqua"/>
        </w:rPr>
      </w:pPr>
      <w:r>
        <w:rPr>
          <w:rFonts w:ascii="Book Antiqua" w:hAnsi="Book Antiqua"/>
        </w:rPr>
        <w:t xml:space="preserve">The FTT also found </w:t>
      </w:r>
      <w:r w:rsidR="00B3239C">
        <w:rPr>
          <w:rFonts w:ascii="Book Antiqua" w:hAnsi="Book Antiqua"/>
        </w:rPr>
        <w:t>the appellant’s inaction in seeking to reconstruct what happened at the relevant time with the support of banks and t</w:t>
      </w:r>
      <w:r>
        <w:rPr>
          <w:rFonts w:ascii="Book Antiqua" w:hAnsi="Book Antiqua"/>
        </w:rPr>
        <w:t xml:space="preserve">he college not </w:t>
      </w:r>
      <w:r>
        <w:rPr>
          <w:rFonts w:ascii="Book Antiqua" w:hAnsi="Book Antiqua"/>
        </w:rPr>
        <w:lastRenderedPageBreak/>
        <w:t xml:space="preserve">credible at [17].  For the avoidance of </w:t>
      </w:r>
      <w:proofErr w:type="gramStart"/>
      <w:r>
        <w:rPr>
          <w:rFonts w:ascii="Book Antiqua" w:hAnsi="Book Antiqua"/>
        </w:rPr>
        <w:t>doubt</w:t>
      </w:r>
      <w:proofErr w:type="gramEnd"/>
      <w:r>
        <w:rPr>
          <w:rFonts w:ascii="Book Antiqua" w:hAnsi="Book Antiqua"/>
        </w:rPr>
        <w:t xml:space="preserve"> I reject the submission that this misapplied the relevant standard of proof.  The FTT was entitled to draw adverse inferences from the appellant’s complete failure to provide or to explain the failure to provide any corroborating evidence from his bank or college in support of his explanation.</w:t>
      </w:r>
    </w:p>
    <w:p w:rsidR="00425389" w:rsidRDefault="00425389" w:rsidP="00425389">
      <w:pPr>
        <w:pStyle w:val="ListParagraph"/>
        <w:ind w:left="0"/>
        <w:jc w:val="both"/>
        <w:rPr>
          <w:rFonts w:ascii="Book Antiqua" w:hAnsi="Book Antiqua"/>
        </w:rPr>
      </w:pPr>
    </w:p>
    <w:p w:rsidR="00F755A5" w:rsidRDefault="00425389" w:rsidP="006453ED">
      <w:pPr>
        <w:pStyle w:val="ListParagraph"/>
        <w:numPr>
          <w:ilvl w:val="0"/>
          <w:numId w:val="10"/>
        </w:numPr>
        <w:ind w:left="1701" w:hanging="567"/>
        <w:jc w:val="both"/>
        <w:rPr>
          <w:rFonts w:ascii="Book Antiqua" w:hAnsi="Book Antiqua"/>
        </w:rPr>
      </w:pPr>
      <w:r>
        <w:rPr>
          <w:rFonts w:ascii="Book Antiqua" w:hAnsi="Book Antiqua"/>
        </w:rPr>
        <w:t>T</w:t>
      </w:r>
      <w:r w:rsidR="00B3239C">
        <w:rPr>
          <w:rFonts w:ascii="Book Antiqua" w:hAnsi="Book Antiqua"/>
        </w:rPr>
        <w:t>he</w:t>
      </w:r>
      <w:r>
        <w:rPr>
          <w:rFonts w:ascii="Book Antiqua" w:hAnsi="Book Antiqua"/>
        </w:rPr>
        <w:t xml:space="preserve"> FTT clearly concluded that the</w:t>
      </w:r>
      <w:r w:rsidR="00B3239C">
        <w:rPr>
          <w:rFonts w:ascii="Book Antiqua" w:hAnsi="Book Antiqua"/>
        </w:rPr>
        <w:t xml:space="preserve"> appellant provided confusing evidence lacking in</w:t>
      </w:r>
      <w:r>
        <w:rPr>
          <w:rFonts w:ascii="Book Antiqua" w:hAnsi="Book Antiqua"/>
        </w:rPr>
        <w:t xml:space="preserve"> credibility at [18].</w:t>
      </w:r>
    </w:p>
    <w:p w:rsidR="00425389" w:rsidRDefault="00425389" w:rsidP="00425389">
      <w:pPr>
        <w:pStyle w:val="ListParagraph"/>
        <w:ind w:left="0"/>
        <w:jc w:val="both"/>
        <w:rPr>
          <w:rFonts w:ascii="Book Antiqua" w:hAnsi="Book Antiqua"/>
        </w:rPr>
      </w:pPr>
    </w:p>
    <w:p w:rsidR="00B3239C" w:rsidRDefault="00425389" w:rsidP="006453ED">
      <w:pPr>
        <w:pStyle w:val="ListParagraph"/>
        <w:numPr>
          <w:ilvl w:val="0"/>
          <w:numId w:val="10"/>
        </w:numPr>
        <w:ind w:left="1701" w:hanging="567"/>
        <w:jc w:val="both"/>
        <w:rPr>
          <w:rFonts w:ascii="Book Antiqua" w:hAnsi="Book Antiqua"/>
        </w:rPr>
      </w:pPr>
      <w:r>
        <w:rPr>
          <w:rFonts w:ascii="Book Antiqua" w:hAnsi="Book Antiqua"/>
        </w:rPr>
        <w:t>C</w:t>
      </w:r>
      <w:r w:rsidR="00B3239C">
        <w:rPr>
          <w:rFonts w:ascii="Book Antiqua" w:hAnsi="Book Antiqua"/>
        </w:rPr>
        <w:t xml:space="preserve">rucially, having considered </w:t>
      </w:r>
      <w:r>
        <w:rPr>
          <w:rFonts w:ascii="Book Antiqua" w:hAnsi="Book Antiqua"/>
        </w:rPr>
        <w:t xml:space="preserve">all the relevant evidence, </w:t>
      </w:r>
      <w:r w:rsidR="00B3239C">
        <w:rPr>
          <w:rFonts w:ascii="Book Antiqua" w:hAnsi="Book Antiqua"/>
        </w:rPr>
        <w:t xml:space="preserve">the </w:t>
      </w:r>
      <w:r>
        <w:rPr>
          <w:rFonts w:ascii="Book Antiqua" w:hAnsi="Book Antiqua"/>
        </w:rPr>
        <w:t xml:space="preserve">FTT concluded that the </w:t>
      </w:r>
      <w:r w:rsidR="00B3239C">
        <w:rPr>
          <w:rFonts w:ascii="Book Antiqua" w:hAnsi="Book Antiqua"/>
        </w:rPr>
        <w:t>appellant did not provide an innocent explanation at</w:t>
      </w:r>
      <w:r w:rsidR="00A1552C">
        <w:rPr>
          <w:rFonts w:ascii="Book Antiqua" w:hAnsi="Book Antiqua"/>
        </w:rPr>
        <w:t xml:space="preserve"> [20].</w:t>
      </w:r>
    </w:p>
    <w:p w:rsidR="00F755A5" w:rsidRDefault="00F755A5" w:rsidP="00A1552C">
      <w:pPr>
        <w:pStyle w:val="ListParagraph"/>
        <w:ind w:left="0"/>
        <w:jc w:val="both"/>
        <w:rPr>
          <w:rFonts w:ascii="Book Antiqua" w:hAnsi="Book Antiqua"/>
        </w:rPr>
      </w:pPr>
    </w:p>
    <w:p w:rsidR="00A1552C" w:rsidRPr="00425389" w:rsidRDefault="00A1552C" w:rsidP="006453ED">
      <w:pPr>
        <w:pStyle w:val="ListParagraph"/>
        <w:spacing w:before="160"/>
        <w:ind w:left="0"/>
        <w:contextualSpacing w:val="0"/>
        <w:jc w:val="both"/>
        <w:rPr>
          <w:rFonts w:ascii="Book Antiqua" w:hAnsi="Book Antiqua"/>
          <w:i/>
        </w:rPr>
      </w:pPr>
      <w:r w:rsidRPr="00425389">
        <w:rPr>
          <w:rFonts w:ascii="Book Antiqua" w:hAnsi="Book Antiqua"/>
          <w:i/>
        </w:rPr>
        <w:t>Ground 3</w:t>
      </w:r>
    </w:p>
    <w:p w:rsidR="00725E1E" w:rsidRDefault="00425389" w:rsidP="006453ED">
      <w:pPr>
        <w:pStyle w:val="ListParagraph"/>
        <w:numPr>
          <w:ilvl w:val="0"/>
          <w:numId w:val="1"/>
        </w:numPr>
        <w:spacing w:before="160"/>
        <w:ind w:left="1134" w:hanging="567"/>
        <w:contextualSpacing w:val="0"/>
        <w:jc w:val="both"/>
        <w:rPr>
          <w:rFonts w:ascii="Book Antiqua" w:hAnsi="Book Antiqua"/>
        </w:rPr>
      </w:pPr>
      <w:r>
        <w:rPr>
          <w:rFonts w:ascii="Book Antiqua" w:hAnsi="Book Antiqua"/>
        </w:rPr>
        <w:t xml:space="preserve">This does no more than </w:t>
      </w:r>
      <w:r w:rsidR="00A1552C">
        <w:rPr>
          <w:rFonts w:ascii="Book Antiqua" w:hAnsi="Book Antiqua"/>
        </w:rPr>
        <w:t xml:space="preserve">disagree with </w:t>
      </w:r>
      <w:r>
        <w:rPr>
          <w:rFonts w:ascii="Book Antiqua" w:hAnsi="Book Antiqua"/>
        </w:rPr>
        <w:t xml:space="preserve">the </w:t>
      </w:r>
      <w:r w:rsidR="00A1552C">
        <w:rPr>
          <w:rFonts w:ascii="Book Antiqua" w:hAnsi="Book Antiqua"/>
        </w:rPr>
        <w:t>adverse credibility findings</w:t>
      </w:r>
      <w:r>
        <w:rPr>
          <w:rFonts w:ascii="Book Antiqua" w:hAnsi="Book Antiqua"/>
        </w:rPr>
        <w:t xml:space="preserve"> and was not pursued by Mr Syed-Ali at the hearing before me</w:t>
      </w:r>
      <w:r w:rsidR="00A1552C">
        <w:rPr>
          <w:rFonts w:ascii="Book Antiqua" w:hAnsi="Book Antiqua"/>
        </w:rPr>
        <w:t>.</w:t>
      </w:r>
      <w:r w:rsidR="00725E1E">
        <w:rPr>
          <w:rFonts w:ascii="Book Antiqua" w:hAnsi="Book Antiqua"/>
        </w:rPr>
        <w:t xml:space="preserve">  </w:t>
      </w:r>
    </w:p>
    <w:p w:rsidR="00A1552C" w:rsidRDefault="00725E1E" w:rsidP="006453ED">
      <w:pPr>
        <w:pStyle w:val="ListParagraph"/>
        <w:numPr>
          <w:ilvl w:val="0"/>
          <w:numId w:val="1"/>
        </w:numPr>
        <w:spacing w:before="160"/>
        <w:ind w:left="1134" w:hanging="567"/>
        <w:contextualSpacing w:val="0"/>
        <w:jc w:val="both"/>
        <w:rPr>
          <w:rFonts w:ascii="Book Antiqua" w:hAnsi="Book Antiqua"/>
        </w:rPr>
      </w:pPr>
      <w:r>
        <w:rPr>
          <w:rFonts w:ascii="Book Antiqua" w:hAnsi="Book Antiqua"/>
        </w:rPr>
        <w:t xml:space="preserve">Mr Syed-Ali submitted that the FTT failed to address a relevant factor: the absence of any obvious reason on the part of the appellant to use a proxy.  The difficulty with this submission is that the appellant did not provide any clear evidence regarding this in the witness statement available to the FTT.  In any event as observed at [57] of </w:t>
      </w:r>
      <w:r w:rsidRPr="00725E1E">
        <w:rPr>
          <w:rFonts w:ascii="Book Antiqua" w:hAnsi="Book Antiqua"/>
          <w:u w:val="single"/>
        </w:rPr>
        <w:t>MA (ETS – TOEIC testing)</w:t>
      </w:r>
      <w:r>
        <w:rPr>
          <w:rFonts w:ascii="Book Antiqua" w:hAnsi="Book Antiqua"/>
        </w:rPr>
        <w:t xml:space="preserve"> [2016] UKUT 00450, there is a range of reasons why persons proficient in English may engage in TOEIC fraud.</w:t>
      </w:r>
    </w:p>
    <w:p w:rsidR="00CC3F7B" w:rsidRPr="00F134A7" w:rsidRDefault="00A1552C" w:rsidP="006453ED">
      <w:pPr>
        <w:pStyle w:val="ListParagraph"/>
        <w:numPr>
          <w:ilvl w:val="0"/>
          <w:numId w:val="1"/>
        </w:numPr>
        <w:spacing w:before="160"/>
        <w:ind w:left="1134" w:hanging="567"/>
        <w:contextualSpacing w:val="0"/>
        <w:jc w:val="both"/>
        <w:rPr>
          <w:rFonts w:ascii="Book Antiqua" w:hAnsi="Book Antiqua"/>
        </w:rPr>
      </w:pPr>
      <w:r>
        <w:rPr>
          <w:rFonts w:ascii="Book Antiqua" w:hAnsi="Book Antiqua"/>
        </w:rPr>
        <w:t>Finally</w:t>
      </w:r>
      <w:r w:rsidR="00725E1E">
        <w:rPr>
          <w:rFonts w:ascii="Book Antiqua" w:hAnsi="Book Antiqua"/>
        </w:rPr>
        <w:t>, a</w:t>
      </w:r>
      <w:r w:rsidR="00425389">
        <w:rPr>
          <w:rFonts w:ascii="Book Antiqua" w:hAnsi="Book Antiqua"/>
        </w:rPr>
        <w:t>lthough Mr Syed-Ali did not make any reference to this,</w:t>
      </w:r>
      <w:r>
        <w:rPr>
          <w:rFonts w:ascii="Book Antiqua" w:hAnsi="Book Antiqua"/>
        </w:rPr>
        <w:t xml:space="preserve"> I note that the FTT said </w:t>
      </w:r>
      <w:r w:rsidR="00425389">
        <w:rPr>
          <w:rFonts w:ascii="Book Antiqua" w:hAnsi="Book Antiqua"/>
        </w:rPr>
        <w:t>at [21] “</w:t>
      </w:r>
      <w:r w:rsidRPr="00425389">
        <w:rPr>
          <w:rFonts w:ascii="Book Antiqua" w:hAnsi="Book Antiqua"/>
          <w:i/>
        </w:rPr>
        <w:t>this is a human right appeal</w:t>
      </w:r>
      <w:r>
        <w:rPr>
          <w:rFonts w:ascii="Book Antiqua" w:hAnsi="Book Antiqua"/>
        </w:rPr>
        <w:t xml:space="preserve">” when </w:t>
      </w:r>
      <w:r w:rsidR="00425389">
        <w:rPr>
          <w:rFonts w:ascii="Book Antiqua" w:hAnsi="Book Antiqua"/>
        </w:rPr>
        <w:t>it was an ‘old-</w:t>
      </w:r>
      <w:r w:rsidR="00725E1E">
        <w:rPr>
          <w:rFonts w:ascii="Book Antiqua" w:hAnsi="Book Antiqua"/>
        </w:rPr>
        <w:t>style</w:t>
      </w:r>
      <w:r w:rsidR="00425389">
        <w:rPr>
          <w:rFonts w:ascii="Book Antiqua" w:hAnsi="Book Antiqua"/>
        </w:rPr>
        <w:t>’ appeal</w:t>
      </w:r>
      <w:r>
        <w:rPr>
          <w:rFonts w:ascii="Book Antiqua" w:hAnsi="Book Antiqua"/>
        </w:rPr>
        <w:t>.  This is not a material error because the FTT clearly considered all relevant grounds of appeal: at [21]</w:t>
      </w:r>
      <w:r w:rsidR="00425389">
        <w:rPr>
          <w:rFonts w:ascii="Book Antiqua" w:hAnsi="Book Antiqua"/>
        </w:rPr>
        <w:t xml:space="preserve"> </w:t>
      </w:r>
      <w:r>
        <w:rPr>
          <w:rFonts w:ascii="Book Antiqua" w:hAnsi="Book Antiqua"/>
        </w:rPr>
        <w:t>the</w:t>
      </w:r>
      <w:r w:rsidR="00725E1E">
        <w:rPr>
          <w:rFonts w:ascii="Book Antiqua" w:hAnsi="Book Antiqua"/>
        </w:rPr>
        <w:t xml:space="preserve"> FTT clearly addressed the</w:t>
      </w:r>
      <w:r>
        <w:rPr>
          <w:rFonts w:ascii="Book Antiqua" w:hAnsi="Book Antiqua"/>
        </w:rPr>
        <w:t xml:space="preserve"> Immigration Rules and found for reasons open to it that the appellant did not meet its requirements, before considering Article 8</w:t>
      </w:r>
      <w:r w:rsidR="00091B9A">
        <w:rPr>
          <w:rFonts w:ascii="Book Antiqua" w:hAnsi="Book Antiqua"/>
        </w:rPr>
        <w:t>.</w:t>
      </w:r>
      <w:r w:rsidR="00F134A7">
        <w:rPr>
          <w:rFonts w:ascii="Book Antiqua" w:hAnsi="Book Antiqua"/>
        </w:rPr>
        <w:t xml:space="preserve">  </w:t>
      </w:r>
    </w:p>
    <w:p w:rsidR="009A4763" w:rsidRPr="00692765" w:rsidRDefault="009A4763" w:rsidP="006453ED">
      <w:pPr>
        <w:spacing w:before="160"/>
        <w:jc w:val="both"/>
        <w:rPr>
          <w:rFonts w:ascii="Book Antiqua" w:hAnsi="Book Antiqua" w:cs="Arial"/>
          <w:b/>
        </w:rPr>
      </w:pPr>
      <w:r w:rsidRPr="00692765">
        <w:rPr>
          <w:rFonts w:ascii="Book Antiqua" w:hAnsi="Book Antiqua" w:cs="Arial"/>
          <w:b/>
        </w:rPr>
        <w:t>Decision</w:t>
      </w:r>
    </w:p>
    <w:p w:rsidR="009A4763" w:rsidRPr="0054439E" w:rsidRDefault="00E531E5" w:rsidP="006453ED">
      <w:pPr>
        <w:pStyle w:val="ListParagraph"/>
        <w:numPr>
          <w:ilvl w:val="0"/>
          <w:numId w:val="1"/>
        </w:numPr>
        <w:spacing w:before="160"/>
        <w:ind w:left="1134" w:hanging="567"/>
        <w:contextualSpacing w:val="0"/>
        <w:jc w:val="both"/>
        <w:rPr>
          <w:rFonts w:ascii="Book Antiqua" w:hAnsi="Book Antiqua" w:cs="Arial"/>
        </w:rPr>
      </w:pPr>
      <w:r>
        <w:rPr>
          <w:rFonts w:ascii="Book Antiqua" w:hAnsi="Book Antiqua" w:cs="Arial"/>
        </w:rPr>
        <w:t xml:space="preserve">The decision of the First-tier Tribunal </w:t>
      </w:r>
      <w:r w:rsidR="00404580">
        <w:rPr>
          <w:rFonts w:ascii="Book Antiqua" w:hAnsi="Book Antiqua" w:cs="Arial"/>
        </w:rPr>
        <w:t xml:space="preserve">did not </w:t>
      </w:r>
      <w:r w:rsidR="001C3346">
        <w:rPr>
          <w:rFonts w:ascii="Book Antiqua" w:hAnsi="Book Antiqua" w:cs="Arial"/>
        </w:rPr>
        <w:t>involve the making of</w:t>
      </w:r>
      <w:r>
        <w:rPr>
          <w:rFonts w:ascii="Book Antiqua" w:hAnsi="Book Antiqua" w:cs="Arial"/>
        </w:rPr>
        <w:t xml:space="preserve"> a material error of law</w:t>
      </w:r>
      <w:r w:rsidR="00404580">
        <w:rPr>
          <w:rFonts w:ascii="Book Antiqua" w:hAnsi="Book Antiqua" w:cs="Arial"/>
        </w:rPr>
        <w:t xml:space="preserve"> and I decline to set it </w:t>
      </w:r>
      <w:r w:rsidR="001C3346">
        <w:rPr>
          <w:rFonts w:ascii="Book Antiqua" w:hAnsi="Book Antiqua" w:cs="Arial"/>
        </w:rPr>
        <w:t>aside</w:t>
      </w:r>
      <w:r w:rsidR="009A4763" w:rsidRPr="0054439E">
        <w:rPr>
          <w:rFonts w:ascii="Book Antiqua" w:hAnsi="Book Antiqua" w:cs="Arial"/>
        </w:rPr>
        <w:t>.</w:t>
      </w:r>
    </w:p>
    <w:p w:rsidR="0093221D" w:rsidRPr="0093221D" w:rsidRDefault="0093221D" w:rsidP="0093221D">
      <w:pPr>
        <w:spacing w:before="240"/>
        <w:ind w:left="1440"/>
        <w:jc w:val="both"/>
        <w:rPr>
          <w:rFonts w:ascii="Book Antiqua" w:hAnsi="Book Antiqua" w:cs="Arial"/>
        </w:rPr>
      </w:pPr>
    </w:p>
    <w:p w:rsidR="009A4763" w:rsidRDefault="009A4763" w:rsidP="009A4763">
      <w:pPr>
        <w:tabs>
          <w:tab w:val="left" w:pos="2520"/>
        </w:tabs>
        <w:jc w:val="both"/>
        <w:rPr>
          <w:rFonts w:ascii="Book Antiqua" w:hAnsi="Book Antiqua" w:cs="Arial"/>
        </w:rPr>
      </w:pPr>
      <w:r>
        <w:rPr>
          <w:rFonts w:ascii="Book Antiqua" w:hAnsi="Book Antiqua" w:cs="Arial"/>
        </w:rPr>
        <w:t xml:space="preserve">Signed:  </w:t>
      </w:r>
    </w:p>
    <w:p w:rsidR="009A4763" w:rsidRDefault="009A4763" w:rsidP="009A4763">
      <w:pPr>
        <w:tabs>
          <w:tab w:val="left" w:pos="2520"/>
        </w:tabs>
        <w:jc w:val="both"/>
        <w:rPr>
          <w:rFonts w:ascii="Book Antiqua" w:hAnsi="Book Antiqua" w:cs="Arial"/>
        </w:rPr>
      </w:pPr>
    </w:p>
    <w:p w:rsidR="009A4763" w:rsidRDefault="003C776B" w:rsidP="009A4763">
      <w:pPr>
        <w:tabs>
          <w:tab w:val="left" w:pos="2520"/>
        </w:tabs>
        <w:jc w:val="both"/>
        <w:rPr>
          <w:rFonts w:ascii="Book Antiqua" w:hAnsi="Book Antiqua" w:cs="Arial"/>
        </w:rPr>
      </w:pPr>
      <w:r>
        <w:rPr>
          <w:rFonts w:ascii="Book Antiqua" w:hAnsi="Book Antiqua" w:cs="Arial"/>
        </w:rPr>
        <w:t xml:space="preserve">Ms </w:t>
      </w:r>
      <w:r w:rsidR="009A4763">
        <w:rPr>
          <w:rFonts w:ascii="Book Antiqua" w:hAnsi="Book Antiqua" w:cs="Arial"/>
        </w:rPr>
        <w:t>M. Plimmer</w:t>
      </w:r>
      <w:r w:rsidR="009A4763">
        <w:rPr>
          <w:rFonts w:ascii="Book Antiqua" w:hAnsi="Book Antiqua" w:cs="Arial"/>
        </w:rPr>
        <w:tab/>
      </w:r>
      <w:r w:rsidR="009A4763">
        <w:rPr>
          <w:rFonts w:ascii="Book Antiqua" w:hAnsi="Book Antiqua" w:cs="Arial"/>
        </w:rPr>
        <w:tab/>
      </w:r>
      <w:r w:rsidR="009A4763">
        <w:rPr>
          <w:rFonts w:ascii="Book Antiqua" w:hAnsi="Book Antiqua" w:cs="Arial"/>
        </w:rPr>
        <w:tab/>
      </w:r>
      <w:r w:rsidR="009A4763">
        <w:rPr>
          <w:rFonts w:ascii="Book Antiqua" w:hAnsi="Book Antiqua" w:cs="Arial"/>
        </w:rPr>
        <w:tab/>
      </w:r>
      <w:r w:rsidR="009A4763">
        <w:rPr>
          <w:rFonts w:ascii="Book Antiqua" w:hAnsi="Book Antiqua" w:cs="Arial"/>
        </w:rPr>
        <w:tab/>
      </w:r>
      <w:r w:rsidR="009A4763">
        <w:rPr>
          <w:rFonts w:ascii="Book Antiqua" w:hAnsi="Book Antiqua" w:cs="Arial"/>
        </w:rPr>
        <w:tab/>
      </w:r>
      <w:r w:rsidR="009A4763">
        <w:rPr>
          <w:rFonts w:ascii="Book Antiqua" w:hAnsi="Book Antiqua" w:cs="Arial"/>
        </w:rPr>
        <w:tab/>
      </w:r>
    </w:p>
    <w:p w:rsidR="009A4763" w:rsidRPr="00EC5D43" w:rsidRDefault="009A4763" w:rsidP="009A4763">
      <w:pPr>
        <w:tabs>
          <w:tab w:val="left" w:pos="2520"/>
        </w:tabs>
        <w:jc w:val="both"/>
        <w:rPr>
          <w:rFonts w:ascii="Book Antiqua" w:hAnsi="Book Antiqua" w:cs="Arial"/>
        </w:rPr>
      </w:pPr>
      <w:r>
        <w:rPr>
          <w:rFonts w:ascii="Book Antiqua" w:hAnsi="Book Antiqua" w:cs="Arial"/>
        </w:rPr>
        <w:t>Judge of the Upper Tribunal</w:t>
      </w:r>
    </w:p>
    <w:p w:rsidR="009A4763" w:rsidRDefault="009A4763" w:rsidP="009A4763">
      <w:pPr>
        <w:tabs>
          <w:tab w:val="left" w:pos="2520"/>
        </w:tabs>
        <w:jc w:val="both"/>
        <w:rPr>
          <w:rFonts w:ascii="Book Antiqua" w:hAnsi="Book Antiqua" w:cs="Arial"/>
        </w:rPr>
      </w:pPr>
    </w:p>
    <w:p w:rsidR="009A4763" w:rsidRDefault="009A4763" w:rsidP="009A4763">
      <w:pPr>
        <w:tabs>
          <w:tab w:val="left" w:pos="2520"/>
        </w:tabs>
        <w:jc w:val="both"/>
        <w:rPr>
          <w:rFonts w:ascii="Book Antiqua" w:hAnsi="Book Antiqua" w:cs="Arial"/>
        </w:rPr>
      </w:pPr>
      <w:r>
        <w:rPr>
          <w:rFonts w:ascii="Book Antiqua" w:hAnsi="Book Antiqua" w:cs="Arial"/>
        </w:rPr>
        <w:t>Date:</w:t>
      </w:r>
    </w:p>
    <w:p w:rsidR="009A4763" w:rsidRPr="00725E1E" w:rsidRDefault="00404580" w:rsidP="00725E1E">
      <w:pPr>
        <w:tabs>
          <w:tab w:val="left" w:pos="2520"/>
        </w:tabs>
        <w:jc w:val="both"/>
        <w:rPr>
          <w:rFonts w:ascii="Book Antiqua" w:hAnsi="Book Antiqua" w:cs="Arial"/>
        </w:rPr>
      </w:pPr>
      <w:r>
        <w:rPr>
          <w:rFonts w:ascii="Book Antiqua" w:hAnsi="Book Antiqua" w:cs="Arial"/>
        </w:rPr>
        <w:t>19 June</w:t>
      </w:r>
      <w:r w:rsidR="0081138C">
        <w:rPr>
          <w:rFonts w:ascii="Book Antiqua" w:hAnsi="Book Antiqua" w:cs="Arial"/>
        </w:rPr>
        <w:t xml:space="preserve"> 2018</w:t>
      </w:r>
    </w:p>
    <w:sectPr w:rsidR="009A4763" w:rsidRPr="00725E1E" w:rsidSect="00423655">
      <w:headerReference w:type="default" r:id="rId8"/>
      <w:footerReference w:type="even"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A07" w:rsidRDefault="00282A07">
      <w:r>
        <w:separator/>
      </w:r>
    </w:p>
  </w:endnote>
  <w:endnote w:type="continuationSeparator" w:id="0">
    <w:p w:rsidR="00282A07" w:rsidRDefault="00282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B7F" w:rsidRDefault="00B37B7F" w:rsidP="009A47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37B7F" w:rsidRDefault="00B37B7F" w:rsidP="009A47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655" w:rsidRDefault="00423655">
    <w:pPr>
      <w:pStyle w:val="Footer"/>
      <w:jc w:val="center"/>
    </w:pPr>
    <w:r>
      <w:fldChar w:fldCharType="begin"/>
    </w:r>
    <w:r>
      <w:instrText xml:space="preserve"> PAGE   \* MERGEFORMAT </w:instrText>
    </w:r>
    <w:r>
      <w:fldChar w:fldCharType="separate"/>
    </w:r>
    <w:r w:rsidR="008A0A6D">
      <w:rPr>
        <w:noProof/>
      </w:rPr>
      <w:t>4</w:t>
    </w:r>
    <w:r>
      <w:rPr>
        <w:noProof/>
      </w:rPr>
      <w:fldChar w:fldCharType="end"/>
    </w:r>
  </w:p>
  <w:p w:rsidR="00B37B7F" w:rsidRDefault="00B37B7F" w:rsidP="009A476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655" w:rsidRDefault="00423655" w:rsidP="00423655">
    <w:pPr>
      <w:pStyle w:val="Footer"/>
      <w:jc w:val="center"/>
    </w:pPr>
    <w:r w:rsidRPr="00423655">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A07" w:rsidRDefault="00282A07">
      <w:r>
        <w:separator/>
      </w:r>
    </w:p>
  </w:footnote>
  <w:footnote w:type="continuationSeparator" w:id="0">
    <w:p w:rsidR="00282A07" w:rsidRDefault="00282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655" w:rsidRPr="00423655" w:rsidRDefault="00423655" w:rsidP="00423655">
    <w:pPr>
      <w:pStyle w:val="Header"/>
      <w:jc w:val="right"/>
      <w:rPr>
        <w:sz w:val="20"/>
        <w:szCs w:val="20"/>
      </w:rPr>
    </w:pPr>
    <w:r w:rsidRPr="00423655">
      <w:rPr>
        <w:sz w:val="20"/>
        <w:szCs w:val="20"/>
      </w:rPr>
      <w:t>IA/01511/2016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9701D5"/>
    <w:multiLevelType w:val="hybridMultilevel"/>
    <w:tmpl w:val="37029292"/>
    <w:lvl w:ilvl="0" w:tplc="3550CD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C7F22"/>
    <w:multiLevelType w:val="hybridMultilevel"/>
    <w:tmpl w:val="2BB2CAE6"/>
    <w:lvl w:ilvl="0" w:tplc="BE1EFD7C">
      <w:start w:val="19"/>
      <w:numFmt w:val="bullet"/>
      <w:lvlText w:val="-"/>
      <w:lvlJc w:val="left"/>
      <w:pPr>
        <w:ind w:left="1800" w:hanging="360"/>
      </w:pPr>
      <w:rPr>
        <w:rFonts w:ascii="Book Antiqua" w:eastAsia="Times New Roman" w:hAnsi="Book Antiqua"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06641D7"/>
    <w:multiLevelType w:val="hybridMultilevel"/>
    <w:tmpl w:val="53B6C484"/>
    <w:lvl w:ilvl="0" w:tplc="33022FBC">
      <w:start w:val="1"/>
      <w:numFmt w:val="decimal"/>
      <w:lvlText w:val="%1."/>
      <w:lvlJc w:val="left"/>
      <w:pPr>
        <w:ind w:left="1280" w:hanging="560"/>
      </w:pPr>
      <w:rPr>
        <w:rFonts w:hint="default"/>
      </w:rPr>
    </w:lvl>
    <w:lvl w:ilvl="1" w:tplc="6E1E06A6">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3F24C7"/>
    <w:multiLevelType w:val="hybridMultilevel"/>
    <w:tmpl w:val="53B6C484"/>
    <w:lvl w:ilvl="0" w:tplc="33022FBC">
      <w:start w:val="1"/>
      <w:numFmt w:val="decimal"/>
      <w:lvlText w:val="%1."/>
      <w:lvlJc w:val="left"/>
      <w:pPr>
        <w:ind w:left="1280" w:hanging="560"/>
      </w:pPr>
      <w:rPr>
        <w:rFonts w:hint="default"/>
      </w:rPr>
    </w:lvl>
    <w:lvl w:ilvl="1" w:tplc="6E1E06A6">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311C36"/>
    <w:multiLevelType w:val="hybridMultilevel"/>
    <w:tmpl w:val="EDD00E0A"/>
    <w:lvl w:ilvl="0" w:tplc="5B1480DC">
      <w:start w:val="1"/>
      <w:numFmt w:val="decimal"/>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6" w15:restartNumberingAfterBreak="0">
    <w:nsid w:val="31B22B44"/>
    <w:multiLevelType w:val="hybridMultilevel"/>
    <w:tmpl w:val="9E302F6A"/>
    <w:lvl w:ilvl="0" w:tplc="CE1A4FD8">
      <w:start w:val="30"/>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52455B01"/>
    <w:multiLevelType w:val="hybridMultilevel"/>
    <w:tmpl w:val="53B6C484"/>
    <w:lvl w:ilvl="0" w:tplc="33022FBC">
      <w:start w:val="1"/>
      <w:numFmt w:val="decimal"/>
      <w:lvlText w:val="%1."/>
      <w:lvlJc w:val="left"/>
      <w:pPr>
        <w:ind w:left="1280" w:hanging="560"/>
      </w:pPr>
      <w:rPr>
        <w:rFonts w:hint="default"/>
      </w:rPr>
    </w:lvl>
    <w:lvl w:ilvl="1" w:tplc="6E1E06A6">
      <w:start w:val="1"/>
      <w:numFmt w:val="lowerRoman"/>
      <w:lvlText w:val="(%2)"/>
      <w:lvlJc w:val="left"/>
      <w:pPr>
        <w:tabs>
          <w:tab w:val="num" w:pos="2160"/>
        </w:tabs>
        <w:ind w:left="2160" w:hanging="72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5E282F"/>
    <w:multiLevelType w:val="hybridMultilevel"/>
    <w:tmpl w:val="53B6C484"/>
    <w:lvl w:ilvl="0" w:tplc="33022FBC">
      <w:start w:val="1"/>
      <w:numFmt w:val="decimal"/>
      <w:lvlText w:val="%1."/>
      <w:lvlJc w:val="left"/>
      <w:pPr>
        <w:ind w:left="1280" w:hanging="560"/>
      </w:pPr>
      <w:rPr>
        <w:rFonts w:hint="default"/>
      </w:rPr>
    </w:lvl>
    <w:lvl w:ilvl="1" w:tplc="6E1E06A6">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0E6CA1"/>
    <w:multiLevelType w:val="hybridMultilevel"/>
    <w:tmpl w:val="A140A60A"/>
    <w:lvl w:ilvl="0" w:tplc="439E7F22">
      <w:start w:val="1"/>
      <w:numFmt w:val="decimal"/>
      <w:lvlText w:val="%1."/>
      <w:lvlJc w:val="left"/>
      <w:pPr>
        <w:tabs>
          <w:tab w:val="num" w:pos="720"/>
        </w:tabs>
        <w:ind w:left="720" w:hanging="360"/>
      </w:pPr>
      <w:rPr>
        <w:b w:val="0"/>
        <w:i/>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num w:numId="1">
    <w:abstractNumId w:val="7"/>
  </w:num>
  <w:num w:numId="2">
    <w:abstractNumId w:val="5"/>
  </w:num>
  <w:num w:numId="3">
    <w:abstractNumId w:val="0"/>
  </w:num>
  <w:num w:numId="4">
    <w:abstractNumId w:val="6"/>
  </w:num>
  <w:num w:numId="5">
    <w:abstractNumId w:val="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8"/>
  </w:num>
  <w:num w:numId="1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DD"/>
    <w:rsid w:val="00000CF1"/>
    <w:rsid w:val="000016CD"/>
    <w:rsid w:val="00013378"/>
    <w:rsid w:val="000226DC"/>
    <w:rsid w:val="00031835"/>
    <w:rsid w:val="00041424"/>
    <w:rsid w:val="00041606"/>
    <w:rsid w:val="000466E5"/>
    <w:rsid w:val="00060241"/>
    <w:rsid w:val="00084581"/>
    <w:rsid w:val="00091B9A"/>
    <w:rsid w:val="000A0FF5"/>
    <w:rsid w:val="000A429E"/>
    <w:rsid w:val="000B1C58"/>
    <w:rsid w:val="000C11B4"/>
    <w:rsid w:val="000D6FFC"/>
    <w:rsid w:val="000E4D77"/>
    <w:rsid w:val="00121392"/>
    <w:rsid w:val="00127CAC"/>
    <w:rsid w:val="00130734"/>
    <w:rsid w:val="00164EA3"/>
    <w:rsid w:val="00167CE0"/>
    <w:rsid w:val="001801EE"/>
    <w:rsid w:val="00195C4B"/>
    <w:rsid w:val="00196361"/>
    <w:rsid w:val="001A7432"/>
    <w:rsid w:val="001C3346"/>
    <w:rsid w:val="001C6E0F"/>
    <w:rsid w:val="001D2776"/>
    <w:rsid w:val="001E4DE7"/>
    <w:rsid w:val="001F226E"/>
    <w:rsid w:val="00207D69"/>
    <w:rsid w:val="002132D8"/>
    <w:rsid w:val="002250DB"/>
    <w:rsid w:val="00225BE1"/>
    <w:rsid w:val="00234DCE"/>
    <w:rsid w:val="00260D86"/>
    <w:rsid w:val="00264B9B"/>
    <w:rsid w:val="00281901"/>
    <w:rsid w:val="00282A07"/>
    <w:rsid w:val="002A5619"/>
    <w:rsid w:val="002B2B18"/>
    <w:rsid w:val="002F2A92"/>
    <w:rsid w:val="00346BB9"/>
    <w:rsid w:val="003570FF"/>
    <w:rsid w:val="00364A1E"/>
    <w:rsid w:val="00384C2F"/>
    <w:rsid w:val="003B55C9"/>
    <w:rsid w:val="003C776B"/>
    <w:rsid w:val="00404580"/>
    <w:rsid w:val="00423655"/>
    <w:rsid w:val="00425389"/>
    <w:rsid w:val="00425B38"/>
    <w:rsid w:val="00432988"/>
    <w:rsid w:val="00440B72"/>
    <w:rsid w:val="00452A28"/>
    <w:rsid w:val="00452B91"/>
    <w:rsid w:val="0046405F"/>
    <w:rsid w:val="00493523"/>
    <w:rsid w:val="004A61E4"/>
    <w:rsid w:val="004B5423"/>
    <w:rsid w:val="004D6BD4"/>
    <w:rsid w:val="004E7901"/>
    <w:rsid w:val="004F2987"/>
    <w:rsid w:val="004F3BA9"/>
    <w:rsid w:val="0051703B"/>
    <w:rsid w:val="00526C6D"/>
    <w:rsid w:val="00533B6E"/>
    <w:rsid w:val="00540E24"/>
    <w:rsid w:val="00544F94"/>
    <w:rsid w:val="0054649E"/>
    <w:rsid w:val="005516A0"/>
    <w:rsid w:val="00580281"/>
    <w:rsid w:val="00586AB9"/>
    <w:rsid w:val="0059166E"/>
    <w:rsid w:val="005916B8"/>
    <w:rsid w:val="00591E1A"/>
    <w:rsid w:val="005A60DD"/>
    <w:rsid w:val="005B0B38"/>
    <w:rsid w:val="005B4065"/>
    <w:rsid w:val="005D1A8E"/>
    <w:rsid w:val="005D2E75"/>
    <w:rsid w:val="005D5B0F"/>
    <w:rsid w:val="005E767C"/>
    <w:rsid w:val="006027F1"/>
    <w:rsid w:val="0062784F"/>
    <w:rsid w:val="006338A8"/>
    <w:rsid w:val="00634F74"/>
    <w:rsid w:val="006405DE"/>
    <w:rsid w:val="00645264"/>
    <w:rsid w:val="006453ED"/>
    <w:rsid w:val="00657592"/>
    <w:rsid w:val="006639D4"/>
    <w:rsid w:val="00663EDC"/>
    <w:rsid w:val="006747F6"/>
    <w:rsid w:val="006758EB"/>
    <w:rsid w:val="006769F1"/>
    <w:rsid w:val="00692765"/>
    <w:rsid w:val="006B2DA6"/>
    <w:rsid w:val="006B67CB"/>
    <w:rsid w:val="006C5A29"/>
    <w:rsid w:val="006F2FB5"/>
    <w:rsid w:val="00725E1E"/>
    <w:rsid w:val="0073185B"/>
    <w:rsid w:val="00731A4B"/>
    <w:rsid w:val="007328C7"/>
    <w:rsid w:val="007503F3"/>
    <w:rsid w:val="00750412"/>
    <w:rsid w:val="00783FE0"/>
    <w:rsid w:val="007B1320"/>
    <w:rsid w:val="007B2844"/>
    <w:rsid w:val="007D5DDE"/>
    <w:rsid w:val="007E3EC0"/>
    <w:rsid w:val="007F592D"/>
    <w:rsid w:val="008059D2"/>
    <w:rsid w:val="0081138C"/>
    <w:rsid w:val="00816189"/>
    <w:rsid w:val="00821B2D"/>
    <w:rsid w:val="00825748"/>
    <w:rsid w:val="00832236"/>
    <w:rsid w:val="00833062"/>
    <w:rsid w:val="0084427F"/>
    <w:rsid w:val="008448CB"/>
    <w:rsid w:val="0089708F"/>
    <w:rsid w:val="008A0A6D"/>
    <w:rsid w:val="008B01D2"/>
    <w:rsid w:val="008C56D4"/>
    <w:rsid w:val="008F4D15"/>
    <w:rsid w:val="009029FA"/>
    <w:rsid w:val="009036C1"/>
    <w:rsid w:val="00907AD9"/>
    <w:rsid w:val="0093221D"/>
    <w:rsid w:val="00933FEA"/>
    <w:rsid w:val="0095336C"/>
    <w:rsid w:val="00960EDE"/>
    <w:rsid w:val="0098220E"/>
    <w:rsid w:val="00985BDD"/>
    <w:rsid w:val="009A2233"/>
    <w:rsid w:val="009A4763"/>
    <w:rsid w:val="009B7F70"/>
    <w:rsid w:val="009F7B69"/>
    <w:rsid w:val="00A100CF"/>
    <w:rsid w:val="00A1552C"/>
    <w:rsid w:val="00A15ADA"/>
    <w:rsid w:val="00A470F5"/>
    <w:rsid w:val="00A53809"/>
    <w:rsid w:val="00A62897"/>
    <w:rsid w:val="00A73442"/>
    <w:rsid w:val="00A76C8D"/>
    <w:rsid w:val="00A92E28"/>
    <w:rsid w:val="00AF36CC"/>
    <w:rsid w:val="00B07AD2"/>
    <w:rsid w:val="00B110E6"/>
    <w:rsid w:val="00B117E5"/>
    <w:rsid w:val="00B26876"/>
    <w:rsid w:val="00B3239C"/>
    <w:rsid w:val="00B37B7F"/>
    <w:rsid w:val="00B45217"/>
    <w:rsid w:val="00B6650D"/>
    <w:rsid w:val="00B66A59"/>
    <w:rsid w:val="00B679BA"/>
    <w:rsid w:val="00B751B4"/>
    <w:rsid w:val="00B837BF"/>
    <w:rsid w:val="00B96B4D"/>
    <w:rsid w:val="00BB1637"/>
    <w:rsid w:val="00BC43E8"/>
    <w:rsid w:val="00BE6C07"/>
    <w:rsid w:val="00BF3108"/>
    <w:rsid w:val="00BF4793"/>
    <w:rsid w:val="00C2240D"/>
    <w:rsid w:val="00C26118"/>
    <w:rsid w:val="00C7272B"/>
    <w:rsid w:val="00C74BFE"/>
    <w:rsid w:val="00C773BB"/>
    <w:rsid w:val="00CA40DF"/>
    <w:rsid w:val="00CB044F"/>
    <w:rsid w:val="00CB4415"/>
    <w:rsid w:val="00CC3F7B"/>
    <w:rsid w:val="00CE0045"/>
    <w:rsid w:val="00CE0E7C"/>
    <w:rsid w:val="00D00559"/>
    <w:rsid w:val="00D07E5B"/>
    <w:rsid w:val="00D12EC7"/>
    <w:rsid w:val="00D12F72"/>
    <w:rsid w:val="00D27620"/>
    <w:rsid w:val="00D418D2"/>
    <w:rsid w:val="00D83E8D"/>
    <w:rsid w:val="00D96A84"/>
    <w:rsid w:val="00DA20BB"/>
    <w:rsid w:val="00DE314E"/>
    <w:rsid w:val="00DE593E"/>
    <w:rsid w:val="00E32707"/>
    <w:rsid w:val="00E44543"/>
    <w:rsid w:val="00E531E5"/>
    <w:rsid w:val="00E809CA"/>
    <w:rsid w:val="00E834A2"/>
    <w:rsid w:val="00E84C06"/>
    <w:rsid w:val="00E930F9"/>
    <w:rsid w:val="00EA2135"/>
    <w:rsid w:val="00EA3D8D"/>
    <w:rsid w:val="00EA6B7B"/>
    <w:rsid w:val="00EB07FE"/>
    <w:rsid w:val="00EB1493"/>
    <w:rsid w:val="00EB3098"/>
    <w:rsid w:val="00EB68BE"/>
    <w:rsid w:val="00ED02FF"/>
    <w:rsid w:val="00ED1AFE"/>
    <w:rsid w:val="00EE1470"/>
    <w:rsid w:val="00EE491A"/>
    <w:rsid w:val="00EE5A07"/>
    <w:rsid w:val="00F0045F"/>
    <w:rsid w:val="00F010F0"/>
    <w:rsid w:val="00F10D46"/>
    <w:rsid w:val="00F11482"/>
    <w:rsid w:val="00F134A7"/>
    <w:rsid w:val="00F566C0"/>
    <w:rsid w:val="00F755A5"/>
    <w:rsid w:val="00F8388E"/>
    <w:rsid w:val="00FC0E3E"/>
    <w:rsid w:val="00FE0297"/>
    <w:rsid w:val="00FE5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FDA1C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5BDD"/>
    <w:rPr>
      <w:rFonts w:ascii="Times New Roman" w:eastAsia="Times New Roman" w:hAnsi="Times New Roman"/>
      <w:sz w:val="24"/>
      <w:szCs w:val="24"/>
    </w:rPr>
  </w:style>
  <w:style w:type="paragraph" w:styleId="Heading1">
    <w:name w:val="heading 1"/>
    <w:basedOn w:val="Normal"/>
    <w:next w:val="Normal"/>
    <w:link w:val="Heading1Char"/>
    <w:qFormat/>
    <w:rsid w:val="002B2B1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85BD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518E4"/>
    <w:pPr>
      <w:tabs>
        <w:tab w:val="center" w:pos="4153"/>
        <w:tab w:val="right" w:pos="8306"/>
      </w:tabs>
    </w:pPr>
  </w:style>
  <w:style w:type="character" w:customStyle="1" w:styleId="HeaderChar">
    <w:name w:val="Header Char"/>
    <w:link w:val="Header"/>
    <w:rsid w:val="00A518E4"/>
    <w:rPr>
      <w:rFonts w:ascii="Times New Roman" w:eastAsia="Times New Roman" w:hAnsi="Times New Roman" w:cs="Times New Roman"/>
      <w:lang w:val="en-GB" w:eastAsia="en-GB"/>
    </w:rPr>
  </w:style>
  <w:style w:type="paragraph" w:styleId="Footer">
    <w:name w:val="footer"/>
    <w:basedOn w:val="Normal"/>
    <w:link w:val="FooterChar"/>
    <w:uiPriority w:val="99"/>
    <w:rsid w:val="00A518E4"/>
    <w:pPr>
      <w:tabs>
        <w:tab w:val="center" w:pos="4153"/>
        <w:tab w:val="right" w:pos="8306"/>
      </w:tabs>
    </w:pPr>
  </w:style>
  <w:style w:type="character" w:customStyle="1" w:styleId="FooterChar">
    <w:name w:val="Footer Char"/>
    <w:link w:val="Footer"/>
    <w:uiPriority w:val="99"/>
    <w:rsid w:val="00A518E4"/>
    <w:rPr>
      <w:rFonts w:ascii="Times New Roman" w:eastAsia="Times New Roman" w:hAnsi="Times New Roman" w:cs="Times New Roman"/>
      <w:lang w:val="en-GB" w:eastAsia="en-GB"/>
    </w:rPr>
  </w:style>
  <w:style w:type="character" w:styleId="PageNumber">
    <w:name w:val="page number"/>
    <w:basedOn w:val="DefaultParagraphFont"/>
    <w:rsid w:val="00A518E4"/>
  </w:style>
  <w:style w:type="paragraph" w:customStyle="1" w:styleId="COIS-M05-Numpara">
    <w:name w:val="COIS-M/05-Num para"/>
    <w:rsid w:val="00A518E4"/>
    <w:pPr>
      <w:tabs>
        <w:tab w:val="left" w:pos="851"/>
      </w:tabs>
      <w:ind w:left="848" w:hanging="848"/>
      <w:jc w:val="both"/>
    </w:pPr>
    <w:rPr>
      <w:rFonts w:ascii="Arial" w:eastAsia="Times" w:hAnsi="Arial"/>
      <w:color w:val="000000"/>
      <w:sz w:val="22"/>
    </w:rPr>
  </w:style>
  <w:style w:type="character" w:customStyle="1" w:styleId="COIS-M10-Sourcelink">
    <w:name w:val="COIS-M/10-Source link"/>
    <w:rsid w:val="00A518E4"/>
    <w:rPr>
      <w:rFonts w:ascii="Arial" w:hAnsi="Arial"/>
      <w:b/>
      <w:dstrike w:val="0"/>
      <w:noProof w:val="0"/>
      <w:color w:val="000000"/>
      <w:spacing w:val="0"/>
      <w:w w:val="100"/>
      <w:kern w:val="0"/>
      <w:position w:val="0"/>
      <w:sz w:val="18"/>
      <w:szCs w:val="18"/>
      <w:u w:val="none"/>
      <w:effect w:val="none"/>
      <w:bdr w:val="none" w:sz="0" w:space="0" w:color="auto"/>
      <w:shd w:val="clear" w:color="auto" w:fill="auto"/>
      <w:vertAlign w:val="baseline"/>
      <w:lang w:val="en-GB"/>
    </w:rPr>
  </w:style>
  <w:style w:type="paragraph" w:customStyle="1" w:styleId="COIS-M07-Quote">
    <w:name w:val="COIS-M/07-Quote"/>
    <w:next w:val="COIS-M05-Numpara"/>
    <w:rsid w:val="00A518E4"/>
    <w:pPr>
      <w:ind w:left="851"/>
    </w:pPr>
    <w:rPr>
      <w:rFonts w:ascii="Arial" w:eastAsia="Times" w:hAnsi="Arial"/>
      <w:color w:val="000000"/>
      <w:sz w:val="22"/>
    </w:rPr>
  </w:style>
  <w:style w:type="character" w:styleId="Hyperlink">
    <w:name w:val="Hyperlink"/>
    <w:rsid w:val="00A518E4"/>
    <w:rPr>
      <w:color w:val="0000FF"/>
      <w:u w:val="single"/>
    </w:rPr>
  </w:style>
  <w:style w:type="paragraph" w:styleId="NormalWeb">
    <w:name w:val="Normal (Web)"/>
    <w:basedOn w:val="Normal"/>
    <w:rsid w:val="00A518E4"/>
    <w:pPr>
      <w:spacing w:before="100" w:beforeAutospacing="1" w:after="100" w:afterAutospacing="1"/>
    </w:pPr>
  </w:style>
  <w:style w:type="paragraph" w:styleId="ListParagraph">
    <w:name w:val="List Paragraph"/>
    <w:basedOn w:val="Normal"/>
    <w:uiPriority w:val="34"/>
    <w:qFormat/>
    <w:rsid w:val="00D3592C"/>
    <w:pPr>
      <w:ind w:left="720"/>
      <w:contextualSpacing/>
    </w:pPr>
  </w:style>
  <w:style w:type="character" w:styleId="FollowedHyperlink">
    <w:name w:val="FollowedHyperlink"/>
    <w:uiPriority w:val="99"/>
    <w:semiHidden/>
    <w:unhideWhenUsed/>
    <w:rsid w:val="00AB516B"/>
    <w:rPr>
      <w:color w:val="800080"/>
      <w:u w:val="single"/>
    </w:rPr>
  </w:style>
  <w:style w:type="character" w:customStyle="1" w:styleId="Heading1Char">
    <w:name w:val="Heading 1 Char"/>
    <w:link w:val="Heading1"/>
    <w:rsid w:val="002B2B18"/>
    <w:rPr>
      <w:rFonts w:ascii="Arial" w:eastAsia="Times New Roman" w:hAnsi="Arial" w:cs="Arial"/>
      <w:b/>
      <w:bCs/>
      <w:kern w:val="32"/>
      <w:sz w:val="32"/>
      <w:szCs w:val="32"/>
      <w:lang w:eastAsia="en-GB"/>
    </w:rPr>
  </w:style>
  <w:style w:type="paragraph" w:styleId="BalloonText">
    <w:name w:val="Balloon Text"/>
    <w:basedOn w:val="Normal"/>
    <w:link w:val="BalloonTextChar"/>
    <w:rsid w:val="002B2B18"/>
    <w:rPr>
      <w:rFonts w:ascii="Tahoma" w:hAnsi="Tahoma" w:cs="Tahoma"/>
      <w:sz w:val="16"/>
      <w:szCs w:val="16"/>
    </w:rPr>
  </w:style>
  <w:style w:type="character" w:customStyle="1" w:styleId="BalloonTextChar">
    <w:name w:val="Balloon Text Char"/>
    <w:link w:val="BalloonText"/>
    <w:rsid w:val="002B2B18"/>
    <w:rPr>
      <w:rFonts w:ascii="Tahoma" w:eastAsia="Times New Roman" w:hAnsi="Tahoma" w:cs="Tahoma"/>
      <w:sz w:val="16"/>
      <w:szCs w:val="16"/>
      <w:lang w:eastAsia="en-GB"/>
    </w:rPr>
  </w:style>
  <w:style w:type="character" w:styleId="CommentReference">
    <w:name w:val="annotation reference"/>
    <w:rsid w:val="002B2B18"/>
    <w:rPr>
      <w:sz w:val="16"/>
      <w:szCs w:val="16"/>
    </w:rPr>
  </w:style>
  <w:style w:type="paragraph" w:styleId="CommentText">
    <w:name w:val="annotation text"/>
    <w:basedOn w:val="Normal"/>
    <w:link w:val="CommentTextChar"/>
    <w:rsid w:val="002B2B18"/>
    <w:rPr>
      <w:sz w:val="20"/>
      <w:szCs w:val="20"/>
    </w:rPr>
  </w:style>
  <w:style w:type="character" w:customStyle="1" w:styleId="CommentTextChar">
    <w:name w:val="Comment Text Char"/>
    <w:link w:val="CommentText"/>
    <w:rsid w:val="002B2B18"/>
    <w:rPr>
      <w:rFonts w:ascii="Times New Roman" w:eastAsia="Times New Roman" w:hAnsi="Times New Roman"/>
      <w:lang w:eastAsia="en-GB"/>
    </w:rPr>
  </w:style>
  <w:style w:type="paragraph" w:styleId="CommentSubject">
    <w:name w:val="annotation subject"/>
    <w:basedOn w:val="CommentText"/>
    <w:next w:val="CommentText"/>
    <w:link w:val="CommentSubjectChar"/>
    <w:rsid w:val="002B2B18"/>
    <w:rPr>
      <w:b/>
      <w:bCs/>
    </w:rPr>
  </w:style>
  <w:style w:type="character" w:customStyle="1" w:styleId="CommentSubjectChar">
    <w:name w:val="Comment Subject Char"/>
    <w:link w:val="CommentSubject"/>
    <w:rsid w:val="002B2B18"/>
    <w:rPr>
      <w:rFonts w:ascii="Times New Roman" w:eastAsia="Times New Roman" w:hAnsi="Times New Roman"/>
      <w:b/>
      <w:bCs/>
      <w:lang w:eastAsia="en-GB"/>
    </w:rPr>
  </w:style>
  <w:style w:type="paragraph" w:styleId="FootnoteText">
    <w:name w:val="footnote text"/>
    <w:basedOn w:val="Normal"/>
    <w:link w:val="FootnoteTextChar"/>
    <w:rsid w:val="002B2B18"/>
    <w:rPr>
      <w:sz w:val="20"/>
      <w:szCs w:val="20"/>
    </w:rPr>
  </w:style>
  <w:style w:type="character" w:customStyle="1" w:styleId="FootnoteTextChar">
    <w:name w:val="Footnote Text Char"/>
    <w:link w:val="FootnoteText"/>
    <w:rsid w:val="002B2B18"/>
    <w:rPr>
      <w:rFonts w:ascii="Times New Roman" w:eastAsia="Times New Roman" w:hAnsi="Times New Roman"/>
      <w:lang w:eastAsia="en-GB"/>
    </w:rPr>
  </w:style>
  <w:style w:type="character" w:styleId="FootnoteReference">
    <w:name w:val="footnote reference"/>
    <w:rsid w:val="002B2B18"/>
    <w:rPr>
      <w:vertAlign w:val="superscript"/>
    </w:rPr>
  </w:style>
  <w:style w:type="paragraph" w:customStyle="1" w:styleId="Default">
    <w:name w:val="Default"/>
    <w:rsid w:val="002B2B18"/>
    <w:pPr>
      <w:autoSpaceDE w:val="0"/>
      <w:autoSpaceDN w:val="0"/>
      <w:adjustRightInd w:val="0"/>
    </w:pPr>
    <w:rPr>
      <w:rFonts w:ascii="Arial" w:eastAsia="Times New Roman" w:hAnsi="Arial" w:cs="Arial"/>
      <w:color w:val="000000"/>
      <w:sz w:val="24"/>
      <w:szCs w:val="24"/>
    </w:rPr>
  </w:style>
  <w:style w:type="paragraph" w:customStyle="1" w:styleId="c01pointnumerotealtn">
    <w:name w:val="c01pointnumerotealtn"/>
    <w:basedOn w:val="Normal"/>
    <w:rsid w:val="002B2B18"/>
    <w:pPr>
      <w:spacing w:before="100" w:beforeAutospacing="1" w:after="240"/>
      <w:ind w:left="567" w:hanging="539"/>
      <w:jc w:val="both"/>
    </w:pPr>
  </w:style>
  <w:style w:type="paragraph" w:customStyle="1" w:styleId="c03tiretlong">
    <w:name w:val="c03tiretlong"/>
    <w:basedOn w:val="Normal"/>
    <w:rsid w:val="002B2B18"/>
    <w:pPr>
      <w:spacing w:before="100" w:beforeAutospacing="1" w:after="240"/>
      <w:ind w:left="1134" w:hanging="567"/>
      <w:jc w:val="both"/>
    </w:pPr>
  </w:style>
  <w:style w:type="paragraph" w:styleId="DocumentMap">
    <w:name w:val="Document Map"/>
    <w:basedOn w:val="Normal"/>
    <w:semiHidden/>
    <w:rsid w:val="00121392"/>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1447">
      <w:bodyDiv w:val="1"/>
      <w:marLeft w:val="0"/>
      <w:marRight w:val="0"/>
      <w:marTop w:val="0"/>
      <w:marBottom w:val="0"/>
      <w:divBdr>
        <w:top w:val="none" w:sz="0" w:space="0" w:color="auto"/>
        <w:left w:val="none" w:sz="0" w:space="0" w:color="auto"/>
        <w:bottom w:val="none" w:sz="0" w:space="0" w:color="auto"/>
        <w:right w:val="none" w:sz="0" w:space="0" w:color="auto"/>
      </w:divBdr>
    </w:div>
    <w:div w:id="504587068">
      <w:bodyDiv w:val="1"/>
      <w:marLeft w:val="0"/>
      <w:marRight w:val="0"/>
      <w:marTop w:val="0"/>
      <w:marBottom w:val="0"/>
      <w:divBdr>
        <w:top w:val="none" w:sz="0" w:space="0" w:color="auto"/>
        <w:left w:val="none" w:sz="0" w:space="0" w:color="auto"/>
        <w:bottom w:val="none" w:sz="0" w:space="0" w:color="auto"/>
        <w:right w:val="none" w:sz="0" w:space="0" w:color="auto"/>
      </w:divBdr>
    </w:div>
    <w:div w:id="192468017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1287</Words>
  <Characters>6254</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2018-07-13T15:04:00Z</dcterms:created>
  <dcterms:modified xsi:type="dcterms:W3CDTF">2019-06-04T13:57:00Z</dcterms:modified>
</cp:coreProperties>
</file>