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451" w:rsidRPr="00C01D77" w:rsidRDefault="00AE256B" w:rsidP="006B6451">
      <w:pPr>
        <w:jc w:val="center"/>
        <w:rPr>
          <w:rFonts w:ascii="Book Antiqua" w:hAnsi="Book Antiqua" w:cs="Arial"/>
          <w:sz w:val="16"/>
          <w:szCs w:val="16"/>
        </w:rPr>
      </w:pPr>
      <w:r>
        <w:rPr>
          <w:noProof/>
        </w:rPr>
        <w:drawing>
          <wp:inline distT="0" distB="0" distL="0" distR="0">
            <wp:extent cx="1045845"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845" cy="906780"/>
                    </a:xfrm>
                    <a:prstGeom prst="rect">
                      <a:avLst/>
                    </a:prstGeom>
                    <a:noFill/>
                    <a:ln>
                      <a:noFill/>
                    </a:ln>
                  </pic:spPr>
                </pic:pic>
              </a:graphicData>
            </a:graphic>
          </wp:inline>
        </w:drawing>
      </w:r>
    </w:p>
    <w:p w:rsidR="00D94AFC" w:rsidRPr="00C01D77" w:rsidRDefault="00D94AFC">
      <w:pPr>
        <w:rPr>
          <w:rFonts w:ascii="Book Antiqua" w:hAnsi="Book Antiqua" w:cs="Arial"/>
          <w:sz w:val="16"/>
          <w:szCs w:val="16"/>
        </w:rPr>
      </w:pPr>
    </w:p>
    <w:p w:rsidR="00D94AFC" w:rsidRPr="00C01D77" w:rsidRDefault="00D94AFC">
      <w:pPr>
        <w:rPr>
          <w:rFonts w:ascii="Book Antiqua" w:hAnsi="Book Antiqua" w:cs="Arial"/>
        </w:rPr>
      </w:pPr>
    </w:p>
    <w:p w:rsidR="006B6451" w:rsidRPr="00C01D77" w:rsidRDefault="00215199" w:rsidP="00B626FA">
      <w:pPr>
        <w:tabs>
          <w:tab w:val="right" w:pos="9639"/>
        </w:tabs>
        <w:rPr>
          <w:rFonts w:ascii="Book Antiqua" w:hAnsi="Book Antiqua" w:cs="Arial"/>
          <w:b/>
        </w:rPr>
      </w:pPr>
      <w:r>
        <w:rPr>
          <w:rFonts w:ascii="Book Antiqua" w:hAnsi="Book Antiqua" w:cs="Arial"/>
          <w:b/>
        </w:rPr>
        <w:t>Upper</w:t>
      </w:r>
      <w:r w:rsidR="006B6451" w:rsidRPr="00C01D77">
        <w:rPr>
          <w:rFonts w:ascii="Book Antiqua" w:hAnsi="Book Antiqua" w:cs="Arial"/>
          <w:b/>
        </w:rPr>
        <w:t xml:space="preserve"> Tribunal</w:t>
      </w:r>
    </w:p>
    <w:p w:rsidR="007B0824" w:rsidRDefault="006B6451" w:rsidP="00B626FA">
      <w:pPr>
        <w:tabs>
          <w:tab w:val="right" w:pos="9639"/>
        </w:tabs>
        <w:rPr>
          <w:rFonts w:ascii="Book Antiqua" w:hAnsi="Book Antiqua" w:cs="Arial"/>
          <w:caps/>
        </w:rPr>
      </w:pPr>
      <w:r w:rsidRPr="00C01D77">
        <w:rPr>
          <w:rFonts w:ascii="Book Antiqua" w:hAnsi="Book Antiqua" w:cs="Arial"/>
          <w:b/>
        </w:rPr>
        <w:t>(Immigration and Asylum Chamber)</w:t>
      </w:r>
      <w:r w:rsidR="00B626FA" w:rsidRPr="00C01D77">
        <w:rPr>
          <w:rFonts w:ascii="Book Antiqua" w:hAnsi="Book Antiqua" w:cs="Arial"/>
          <w:b/>
        </w:rPr>
        <w:tab/>
      </w:r>
      <w:r w:rsidR="00B3524D" w:rsidRPr="00C01D77">
        <w:rPr>
          <w:rFonts w:ascii="Book Antiqua" w:hAnsi="Book Antiqua" w:cs="Arial"/>
        </w:rPr>
        <w:t>Appeal Number</w:t>
      </w:r>
      <w:r w:rsidR="00CF2D54">
        <w:rPr>
          <w:rFonts w:ascii="Book Antiqua" w:hAnsi="Book Antiqua" w:cs="Arial"/>
        </w:rPr>
        <w:t>s</w:t>
      </w:r>
      <w:r w:rsidR="00D53769" w:rsidRPr="00C01D77">
        <w:rPr>
          <w:rFonts w:ascii="Book Antiqua" w:hAnsi="Book Antiqua" w:cs="Arial"/>
        </w:rPr>
        <w:t>:</w:t>
      </w:r>
      <w:r w:rsidR="00B3524D" w:rsidRPr="00C01D77">
        <w:rPr>
          <w:rFonts w:ascii="Book Antiqua" w:hAnsi="Book Antiqua" w:cs="Arial"/>
        </w:rPr>
        <w:t xml:space="preserve"> </w:t>
      </w:r>
      <w:r w:rsidR="00CF2D54">
        <w:rPr>
          <w:rFonts w:ascii="Book Antiqua" w:hAnsi="Book Antiqua" w:cs="Arial"/>
          <w:caps/>
        </w:rPr>
        <w:t>IA/01540/2016</w:t>
      </w:r>
    </w:p>
    <w:p w:rsidR="00CF2D54" w:rsidRPr="00C01D77" w:rsidRDefault="00CF2D54" w:rsidP="00CF2D54">
      <w:pPr>
        <w:tabs>
          <w:tab w:val="right" w:pos="9639"/>
        </w:tabs>
        <w:jc w:val="right"/>
        <w:rPr>
          <w:rFonts w:ascii="Book Antiqua" w:hAnsi="Book Antiqua" w:cs="Arial"/>
        </w:rPr>
      </w:pPr>
      <w:r>
        <w:rPr>
          <w:rFonts w:ascii="Book Antiqua" w:hAnsi="Book Antiqua" w:cs="Arial"/>
          <w:caps/>
        </w:rPr>
        <w:t>IA/01543/2016</w:t>
      </w:r>
    </w:p>
    <w:p w:rsidR="00C345E1" w:rsidRPr="00C01D77" w:rsidRDefault="00C345E1" w:rsidP="00C345E1">
      <w:pPr>
        <w:jc w:val="center"/>
        <w:rPr>
          <w:rFonts w:ascii="Book Antiqua" w:hAnsi="Book Antiqua" w:cs="Arial"/>
        </w:rPr>
      </w:pPr>
    </w:p>
    <w:p w:rsidR="00C345E1" w:rsidRPr="00C01D77" w:rsidRDefault="00C345E1" w:rsidP="00C345E1">
      <w:pPr>
        <w:jc w:val="center"/>
        <w:rPr>
          <w:rFonts w:ascii="Book Antiqua" w:hAnsi="Book Antiqua" w:cs="Arial"/>
        </w:rPr>
      </w:pPr>
    </w:p>
    <w:p w:rsidR="00C345E1" w:rsidRPr="00C01D77" w:rsidRDefault="00C345E1" w:rsidP="00C345E1">
      <w:pPr>
        <w:jc w:val="center"/>
        <w:rPr>
          <w:rFonts w:ascii="Book Antiqua" w:hAnsi="Book Antiqua" w:cs="Arial"/>
          <w:b/>
          <w:u w:val="single"/>
        </w:rPr>
      </w:pPr>
      <w:r w:rsidRPr="00C01D77">
        <w:rPr>
          <w:rFonts w:ascii="Book Antiqua" w:hAnsi="Book Antiqua" w:cs="Arial"/>
          <w:b/>
          <w:u w:val="single"/>
        </w:rPr>
        <w:t>THE IMMIGRATION ACTS</w:t>
      </w:r>
    </w:p>
    <w:p w:rsidR="00C345E1" w:rsidRPr="00C01D77" w:rsidRDefault="00C345E1" w:rsidP="00CF2D54">
      <w:pP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C01D77" w:rsidTr="00073E80">
        <w:tc>
          <w:tcPr>
            <w:tcW w:w="6048" w:type="dxa"/>
          </w:tcPr>
          <w:p w:rsidR="00D22636" w:rsidRPr="00C01D77" w:rsidRDefault="00D22636" w:rsidP="004A1848">
            <w:pPr>
              <w:jc w:val="both"/>
              <w:rPr>
                <w:rFonts w:ascii="Book Antiqua" w:hAnsi="Book Antiqua" w:cs="Arial"/>
                <w:b/>
              </w:rPr>
            </w:pPr>
            <w:r w:rsidRPr="00C01D77">
              <w:rPr>
                <w:rFonts w:ascii="Book Antiqua" w:hAnsi="Book Antiqua" w:cs="Arial"/>
                <w:b/>
              </w:rPr>
              <w:t xml:space="preserve">Heard at </w:t>
            </w:r>
            <w:r w:rsidR="00CF2D54">
              <w:rPr>
                <w:rFonts w:ascii="Book Antiqua" w:hAnsi="Book Antiqua" w:cs="Arial"/>
                <w:b/>
              </w:rPr>
              <w:t>Field House</w:t>
            </w:r>
          </w:p>
        </w:tc>
        <w:tc>
          <w:tcPr>
            <w:tcW w:w="3960" w:type="dxa"/>
          </w:tcPr>
          <w:p w:rsidR="00D22636" w:rsidRPr="00C01D77" w:rsidRDefault="00073E80" w:rsidP="004A1848">
            <w:pPr>
              <w:jc w:val="both"/>
              <w:rPr>
                <w:rFonts w:ascii="Book Antiqua" w:hAnsi="Book Antiqua" w:cs="Arial"/>
                <w:b/>
              </w:rPr>
            </w:pPr>
            <w:r>
              <w:rPr>
                <w:rFonts w:ascii="Book Antiqua" w:hAnsi="Book Antiqua" w:cs="Arial"/>
                <w:b/>
              </w:rPr>
              <w:t>Decision &amp; Reasons</w:t>
            </w:r>
            <w:r w:rsidR="00283659" w:rsidRPr="00C01D77">
              <w:rPr>
                <w:rFonts w:ascii="Book Antiqua" w:hAnsi="Book Antiqua" w:cs="Arial"/>
                <w:b/>
              </w:rPr>
              <w:t xml:space="preserve"> Promulgated</w:t>
            </w:r>
          </w:p>
        </w:tc>
      </w:tr>
      <w:tr w:rsidR="00D22636" w:rsidRPr="00C01D77" w:rsidTr="00073E80">
        <w:tc>
          <w:tcPr>
            <w:tcW w:w="6048" w:type="dxa"/>
          </w:tcPr>
          <w:p w:rsidR="00D22636" w:rsidRPr="00C01D77" w:rsidRDefault="00D22636" w:rsidP="004A1848">
            <w:pPr>
              <w:jc w:val="both"/>
              <w:rPr>
                <w:rFonts w:ascii="Book Antiqua" w:hAnsi="Book Antiqua" w:cs="Arial"/>
                <w:b/>
              </w:rPr>
            </w:pPr>
            <w:r w:rsidRPr="00C01D77">
              <w:rPr>
                <w:rFonts w:ascii="Book Antiqua" w:hAnsi="Book Antiqua" w:cs="Arial"/>
                <w:b/>
              </w:rPr>
              <w:t xml:space="preserve">On </w:t>
            </w:r>
            <w:r w:rsidR="00CF2D54">
              <w:rPr>
                <w:rFonts w:ascii="Book Antiqua" w:hAnsi="Book Antiqua" w:cs="Arial"/>
                <w:b/>
              </w:rPr>
              <w:t>24</w:t>
            </w:r>
            <w:r w:rsidR="00CF2D54" w:rsidRPr="00CF2D54">
              <w:rPr>
                <w:rFonts w:ascii="Book Antiqua" w:hAnsi="Book Antiqua" w:cs="Arial"/>
                <w:b/>
                <w:vertAlign w:val="superscript"/>
              </w:rPr>
              <w:t>th</w:t>
            </w:r>
            <w:r w:rsidR="00CF2D54">
              <w:rPr>
                <w:rFonts w:ascii="Book Antiqua" w:hAnsi="Book Antiqua" w:cs="Arial"/>
                <w:b/>
              </w:rPr>
              <w:t xml:space="preserve"> August 2018</w:t>
            </w:r>
          </w:p>
        </w:tc>
        <w:tc>
          <w:tcPr>
            <w:tcW w:w="3960" w:type="dxa"/>
          </w:tcPr>
          <w:p w:rsidR="00D22636" w:rsidRPr="00C01D77" w:rsidRDefault="000C2924" w:rsidP="004A1848">
            <w:pPr>
              <w:jc w:val="both"/>
              <w:rPr>
                <w:rFonts w:ascii="Book Antiqua" w:hAnsi="Book Antiqua" w:cs="Arial"/>
                <w:b/>
              </w:rPr>
            </w:pPr>
            <w:r>
              <w:rPr>
                <w:rFonts w:ascii="Book Antiqua" w:hAnsi="Book Antiqua" w:cs="Arial"/>
                <w:b/>
              </w:rPr>
              <w:t>On 14</w:t>
            </w:r>
            <w:r w:rsidRPr="000C2924">
              <w:rPr>
                <w:rFonts w:ascii="Book Antiqua" w:hAnsi="Book Antiqua" w:cs="Arial"/>
                <w:b/>
                <w:vertAlign w:val="superscript"/>
              </w:rPr>
              <w:t>th</w:t>
            </w:r>
            <w:r>
              <w:rPr>
                <w:rFonts w:ascii="Book Antiqua" w:hAnsi="Book Antiqua" w:cs="Arial"/>
                <w:b/>
              </w:rPr>
              <w:t xml:space="preserve"> September 2018</w:t>
            </w:r>
          </w:p>
        </w:tc>
      </w:tr>
      <w:tr w:rsidR="00D22636" w:rsidRPr="00C01D77" w:rsidTr="00073E80">
        <w:tc>
          <w:tcPr>
            <w:tcW w:w="6048" w:type="dxa"/>
          </w:tcPr>
          <w:p w:rsidR="00D22636" w:rsidRPr="00C01D77" w:rsidRDefault="00D22636" w:rsidP="004A1848">
            <w:pPr>
              <w:jc w:val="both"/>
              <w:rPr>
                <w:rFonts w:ascii="Book Antiqua" w:hAnsi="Book Antiqua" w:cs="Arial"/>
                <w:b/>
              </w:rPr>
            </w:pPr>
          </w:p>
        </w:tc>
        <w:tc>
          <w:tcPr>
            <w:tcW w:w="3960" w:type="dxa"/>
          </w:tcPr>
          <w:p w:rsidR="00D22636" w:rsidRPr="00C01D77" w:rsidRDefault="00D22636" w:rsidP="004A1848">
            <w:pPr>
              <w:jc w:val="both"/>
              <w:rPr>
                <w:rFonts w:ascii="Book Antiqua" w:hAnsi="Book Antiqua" w:cs="Arial"/>
                <w:b/>
              </w:rPr>
            </w:pPr>
          </w:p>
        </w:tc>
      </w:tr>
    </w:tbl>
    <w:p w:rsidR="00A15234" w:rsidRPr="00C01D77" w:rsidRDefault="00A15234" w:rsidP="00A15234">
      <w:pPr>
        <w:jc w:val="center"/>
        <w:rPr>
          <w:rFonts w:ascii="Book Antiqua" w:hAnsi="Book Antiqua" w:cs="Arial"/>
        </w:rPr>
      </w:pPr>
    </w:p>
    <w:p w:rsidR="00A15234" w:rsidRPr="00C01D77" w:rsidRDefault="00A15234" w:rsidP="00A15234">
      <w:pPr>
        <w:jc w:val="center"/>
        <w:rPr>
          <w:rFonts w:ascii="Book Antiqua" w:hAnsi="Book Antiqua" w:cs="Arial"/>
        </w:rPr>
      </w:pPr>
    </w:p>
    <w:p w:rsidR="00A15234" w:rsidRPr="00C01D77" w:rsidRDefault="00207617" w:rsidP="00A15234">
      <w:pPr>
        <w:jc w:val="center"/>
        <w:rPr>
          <w:rFonts w:ascii="Book Antiqua" w:hAnsi="Book Antiqua" w:cs="Arial"/>
          <w:b/>
        </w:rPr>
      </w:pPr>
      <w:r w:rsidRPr="00C01D77">
        <w:rPr>
          <w:rFonts w:ascii="Book Antiqua" w:hAnsi="Book Antiqua" w:cs="Arial"/>
          <w:b/>
        </w:rPr>
        <w:t>Befo</w:t>
      </w:r>
      <w:r w:rsidR="00A15234" w:rsidRPr="00C01D77">
        <w:rPr>
          <w:rFonts w:ascii="Book Antiqua" w:hAnsi="Book Antiqua" w:cs="Arial"/>
          <w:b/>
        </w:rPr>
        <w:t>re</w:t>
      </w:r>
    </w:p>
    <w:p w:rsidR="00A15234" w:rsidRPr="00C01D77" w:rsidRDefault="00A15234" w:rsidP="00A15234">
      <w:pPr>
        <w:jc w:val="center"/>
        <w:rPr>
          <w:rFonts w:ascii="Book Antiqua" w:hAnsi="Book Antiqua" w:cs="Arial"/>
          <w:b/>
        </w:rPr>
      </w:pPr>
    </w:p>
    <w:p w:rsidR="00A15234" w:rsidRPr="00C01D77" w:rsidRDefault="00635C47" w:rsidP="00A15234">
      <w:pPr>
        <w:jc w:val="center"/>
        <w:rPr>
          <w:rFonts w:ascii="Book Antiqua" w:hAnsi="Book Antiqua" w:cs="Arial"/>
          <w:b/>
          <w:caps/>
        </w:rPr>
      </w:pPr>
      <w:r>
        <w:rPr>
          <w:rFonts w:ascii="Book Antiqua" w:hAnsi="Book Antiqua" w:cs="Arial"/>
          <w:b/>
          <w:caps/>
        </w:rPr>
        <w:t xml:space="preserve">DEPUTY </w:t>
      </w:r>
      <w:r w:rsidR="00C61C08">
        <w:rPr>
          <w:rFonts w:ascii="Book Antiqua" w:hAnsi="Book Antiqua" w:cs="Arial"/>
          <w:b/>
          <w:caps/>
        </w:rPr>
        <w:t>upper tribunal judge</w:t>
      </w:r>
      <w:r w:rsidR="00825478" w:rsidRPr="00C01D77">
        <w:rPr>
          <w:rFonts w:ascii="Book Antiqua" w:hAnsi="Book Antiqua" w:cs="Arial"/>
          <w:b/>
          <w:caps/>
        </w:rPr>
        <w:t xml:space="preserve"> ROBERTS</w:t>
      </w:r>
    </w:p>
    <w:p w:rsidR="00A845DC" w:rsidRPr="00C01D77" w:rsidRDefault="00A845DC" w:rsidP="00A15234">
      <w:pPr>
        <w:jc w:val="center"/>
        <w:rPr>
          <w:rFonts w:ascii="Book Antiqua" w:hAnsi="Book Antiqua" w:cs="Arial"/>
          <w:b/>
        </w:rPr>
      </w:pPr>
    </w:p>
    <w:p w:rsidR="00A845DC" w:rsidRDefault="00A845DC" w:rsidP="00A15234">
      <w:pPr>
        <w:jc w:val="center"/>
        <w:rPr>
          <w:rFonts w:ascii="Book Antiqua" w:hAnsi="Book Antiqua" w:cs="Arial"/>
          <w:b/>
        </w:rPr>
      </w:pPr>
      <w:r w:rsidRPr="00C01D77">
        <w:rPr>
          <w:rFonts w:ascii="Book Antiqua" w:hAnsi="Book Antiqua" w:cs="Arial"/>
          <w:b/>
        </w:rPr>
        <w:t>Between</w:t>
      </w:r>
    </w:p>
    <w:p w:rsidR="00C41A4A" w:rsidRDefault="00C41A4A" w:rsidP="00A15234">
      <w:pPr>
        <w:jc w:val="center"/>
        <w:rPr>
          <w:rFonts w:ascii="Book Antiqua" w:hAnsi="Book Antiqua" w:cs="Arial"/>
          <w:b/>
        </w:rPr>
      </w:pPr>
    </w:p>
    <w:p w:rsidR="00A845DC" w:rsidRPr="00C01D77" w:rsidRDefault="00DE582D" w:rsidP="00A15234">
      <w:pPr>
        <w:jc w:val="center"/>
        <w:rPr>
          <w:rFonts w:ascii="Book Antiqua" w:hAnsi="Book Antiqua" w:cs="Arial"/>
          <w:b/>
        </w:rPr>
      </w:pPr>
      <w:r w:rsidRPr="00C01D77">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0" w:name="Text7"/>
      <w:r w:rsidRPr="00C01D77">
        <w:rPr>
          <w:rFonts w:ascii="Book Antiqua" w:hAnsi="Book Antiqua" w:cs="Arial"/>
          <w:b/>
          <w:caps/>
        </w:rPr>
        <w:instrText xml:space="preserve"> FORMTEXT </w:instrText>
      </w:r>
      <w:r w:rsidRPr="00C01D77">
        <w:rPr>
          <w:rFonts w:ascii="Book Antiqua" w:hAnsi="Book Antiqua" w:cs="Arial"/>
          <w:b/>
          <w:caps/>
        </w:rPr>
      </w:r>
      <w:r w:rsidRPr="00C01D77">
        <w:rPr>
          <w:rFonts w:ascii="Book Antiqua" w:hAnsi="Book Antiqua" w:cs="Arial"/>
          <w:b/>
          <w:caps/>
        </w:rPr>
        <w:fldChar w:fldCharType="separate"/>
      </w:r>
      <w:r w:rsidRPr="00C01D77">
        <w:rPr>
          <w:rFonts w:ascii="Book Antiqua" w:hAnsi="Book Antiqua" w:cs="Arial"/>
          <w:b/>
          <w:caps/>
          <w:noProof/>
        </w:rPr>
        <w:t>THE SECRETARY OF STATE FOR THE HOME DEPARTMENT</w:t>
      </w:r>
      <w:r w:rsidRPr="00C01D77">
        <w:rPr>
          <w:rFonts w:ascii="Book Antiqua" w:hAnsi="Book Antiqua" w:cs="Arial"/>
          <w:b/>
          <w:caps/>
        </w:rPr>
        <w:fldChar w:fldCharType="end"/>
      </w:r>
      <w:bookmarkEnd w:id="0"/>
    </w:p>
    <w:p w:rsidR="00704B61" w:rsidRPr="00C01D77" w:rsidRDefault="00DE582D" w:rsidP="00704B61">
      <w:pPr>
        <w:jc w:val="right"/>
        <w:rPr>
          <w:rFonts w:ascii="Book Antiqua" w:hAnsi="Book Antiqua" w:cs="Arial"/>
          <w:u w:val="single"/>
        </w:rPr>
      </w:pPr>
      <w:r>
        <w:rPr>
          <w:rFonts w:ascii="Book Antiqua" w:hAnsi="Book Antiqua" w:cs="Arial"/>
          <w:u w:val="single"/>
        </w:rPr>
        <w:t>Appellant</w:t>
      </w:r>
    </w:p>
    <w:p w:rsidR="00704B61" w:rsidRDefault="00C41A4A" w:rsidP="00704B61">
      <w:pPr>
        <w:jc w:val="center"/>
        <w:rPr>
          <w:rFonts w:ascii="Book Antiqua" w:hAnsi="Book Antiqua" w:cs="Arial"/>
          <w:b/>
        </w:rPr>
      </w:pPr>
      <w:r>
        <w:rPr>
          <w:rFonts w:ascii="Book Antiqua" w:hAnsi="Book Antiqua" w:cs="Arial"/>
          <w:b/>
        </w:rPr>
        <w:t>a</w:t>
      </w:r>
      <w:r w:rsidR="00DD5071" w:rsidRPr="00C01D77">
        <w:rPr>
          <w:rFonts w:ascii="Book Antiqua" w:hAnsi="Book Antiqua" w:cs="Arial"/>
          <w:b/>
        </w:rPr>
        <w:t>nd</w:t>
      </w:r>
    </w:p>
    <w:p w:rsidR="00DD5071" w:rsidRDefault="00DD5071" w:rsidP="00704B61">
      <w:pPr>
        <w:jc w:val="center"/>
        <w:rPr>
          <w:rFonts w:ascii="Book Antiqua" w:hAnsi="Book Antiqua" w:cs="Arial"/>
          <w:b/>
          <w:caps/>
        </w:rPr>
      </w:pPr>
    </w:p>
    <w:p w:rsidR="00DE582D" w:rsidRDefault="00DE582D" w:rsidP="00DE582D">
      <w:pPr>
        <w:jc w:val="center"/>
        <w:rPr>
          <w:rFonts w:ascii="Book Antiqua" w:hAnsi="Book Antiqua" w:cs="Arial"/>
          <w:b/>
          <w:caps/>
        </w:rPr>
      </w:pPr>
      <w:r>
        <w:rPr>
          <w:rFonts w:ascii="Book Antiqua" w:hAnsi="Book Antiqua" w:cs="Arial"/>
          <w:b/>
          <w:caps/>
        </w:rPr>
        <w:t xml:space="preserve">mr </w:t>
      </w:r>
      <w:r w:rsidRPr="00CF2D54">
        <w:rPr>
          <w:rFonts w:ascii="Book Antiqua" w:hAnsi="Book Antiqua" w:cs="Arial"/>
          <w:b/>
          <w:caps/>
        </w:rPr>
        <w:t>MD Anisur</w:t>
      </w:r>
      <w:r>
        <w:rPr>
          <w:rFonts w:ascii="Book Antiqua" w:hAnsi="Book Antiqua" w:cs="Arial"/>
          <w:b/>
          <w:caps/>
        </w:rPr>
        <w:t xml:space="preserve"> </w:t>
      </w:r>
      <w:r w:rsidRPr="00CF2D54">
        <w:rPr>
          <w:rFonts w:ascii="Book Antiqua" w:hAnsi="Book Antiqua" w:cs="Arial"/>
          <w:b/>
          <w:caps/>
        </w:rPr>
        <w:t>Rahman</w:t>
      </w:r>
      <w:r>
        <w:rPr>
          <w:rFonts w:ascii="Book Antiqua" w:hAnsi="Book Antiqua" w:cs="Arial"/>
          <w:b/>
          <w:caps/>
        </w:rPr>
        <w:t xml:space="preserve"> </w:t>
      </w:r>
    </w:p>
    <w:p w:rsidR="00DE582D" w:rsidRDefault="00DE582D" w:rsidP="00DE582D">
      <w:pPr>
        <w:jc w:val="center"/>
        <w:rPr>
          <w:rFonts w:ascii="Book Antiqua" w:hAnsi="Book Antiqua" w:cs="Arial"/>
          <w:b/>
          <w:caps/>
        </w:rPr>
      </w:pPr>
      <w:r>
        <w:rPr>
          <w:rFonts w:ascii="Book Antiqua" w:hAnsi="Book Antiqua" w:cs="Arial"/>
          <w:b/>
          <w:caps/>
        </w:rPr>
        <w:t xml:space="preserve">mrs </w:t>
      </w:r>
      <w:r w:rsidRPr="00CF2D54">
        <w:rPr>
          <w:rFonts w:ascii="Book Antiqua" w:hAnsi="Book Antiqua" w:cs="Arial"/>
          <w:b/>
          <w:caps/>
        </w:rPr>
        <w:t>Piana</w:t>
      </w:r>
      <w:r>
        <w:rPr>
          <w:rFonts w:ascii="Book Antiqua" w:hAnsi="Book Antiqua" w:cs="Arial"/>
          <w:b/>
          <w:caps/>
        </w:rPr>
        <w:t xml:space="preserve"> begum </w:t>
      </w:r>
    </w:p>
    <w:p w:rsidR="00DE582D" w:rsidRPr="00C41A4A" w:rsidRDefault="00DE582D" w:rsidP="00DE582D">
      <w:pPr>
        <w:jc w:val="center"/>
        <w:rPr>
          <w:rFonts w:ascii="Book Antiqua" w:hAnsi="Book Antiqua" w:cs="Arial"/>
          <w:b/>
          <w:caps/>
        </w:rPr>
      </w:pPr>
      <w:r w:rsidRPr="00073E80">
        <w:rPr>
          <w:rFonts w:ascii="Book Antiqua" w:hAnsi="Book Antiqua" w:cs="Arial"/>
          <w:b/>
          <w:caps/>
        </w:rPr>
        <w:t xml:space="preserve">(ANONYMITY DIRECTION </w:t>
      </w:r>
      <w:r>
        <w:rPr>
          <w:rFonts w:ascii="Book Antiqua" w:hAnsi="Book Antiqua" w:cs="Arial"/>
          <w:b/>
          <w:caps/>
        </w:rPr>
        <w:t>not made</w:t>
      </w:r>
      <w:r w:rsidRPr="00073E80">
        <w:rPr>
          <w:rFonts w:ascii="Book Antiqua" w:hAnsi="Book Antiqua" w:cs="Arial"/>
          <w:b/>
          <w:caps/>
        </w:rPr>
        <w:t>)</w:t>
      </w:r>
    </w:p>
    <w:p w:rsidR="00DE582D" w:rsidRPr="00C01D77" w:rsidRDefault="00DE582D" w:rsidP="00704B61">
      <w:pPr>
        <w:jc w:val="center"/>
        <w:rPr>
          <w:rFonts w:ascii="Book Antiqua" w:hAnsi="Book Antiqua" w:cs="Arial"/>
          <w:b/>
        </w:rPr>
      </w:pPr>
    </w:p>
    <w:p w:rsidR="00CF2D54" w:rsidRDefault="00CF2D54" w:rsidP="00DD5071">
      <w:pPr>
        <w:jc w:val="right"/>
        <w:rPr>
          <w:rFonts w:ascii="Book Antiqua" w:hAnsi="Book Antiqua" w:cs="Arial"/>
          <w:b/>
          <w:caps/>
        </w:rPr>
      </w:pPr>
    </w:p>
    <w:p w:rsidR="00DD5071" w:rsidRPr="00C01D77" w:rsidRDefault="00DD5071" w:rsidP="00DD5071">
      <w:pPr>
        <w:jc w:val="right"/>
        <w:rPr>
          <w:rFonts w:ascii="Book Antiqua" w:hAnsi="Book Antiqua" w:cs="Arial"/>
          <w:u w:val="single"/>
        </w:rPr>
      </w:pPr>
      <w:r w:rsidRPr="00C01D77">
        <w:rPr>
          <w:rFonts w:ascii="Book Antiqua" w:hAnsi="Book Antiqua" w:cs="Arial"/>
          <w:u w:val="single"/>
        </w:rPr>
        <w:t>Respondent</w:t>
      </w:r>
      <w:r w:rsidR="00DE582D">
        <w:rPr>
          <w:rFonts w:ascii="Book Antiqua" w:hAnsi="Book Antiqua" w:cs="Arial"/>
          <w:u w:val="single"/>
        </w:rPr>
        <w:t>s</w:t>
      </w:r>
    </w:p>
    <w:p w:rsidR="00DD5071" w:rsidRPr="00C01D77" w:rsidRDefault="00DD5071" w:rsidP="00DD5071">
      <w:pPr>
        <w:rPr>
          <w:rFonts w:ascii="Book Antiqua" w:hAnsi="Book Antiqua" w:cs="Arial"/>
          <w:u w:val="single"/>
        </w:rPr>
      </w:pPr>
    </w:p>
    <w:p w:rsidR="00DD5071" w:rsidRPr="00C01D77" w:rsidRDefault="00DE7DB7" w:rsidP="00DD5071">
      <w:pPr>
        <w:rPr>
          <w:rFonts w:ascii="Book Antiqua" w:hAnsi="Book Antiqua" w:cs="Arial"/>
        </w:rPr>
      </w:pPr>
      <w:r w:rsidRPr="00C01D77">
        <w:rPr>
          <w:rFonts w:ascii="Book Antiqua" w:hAnsi="Book Antiqua" w:cs="Arial"/>
          <w:b/>
          <w:u w:val="single"/>
        </w:rPr>
        <w:t>Representation</w:t>
      </w:r>
      <w:r w:rsidRPr="00C01D77">
        <w:rPr>
          <w:rFonts w:ascii="Book Antiqua" w:hAnsi="Book Antiqua" w:cs="Arial"/>
          <w:b/>
        </w:rPr>
        <w:t>:</w:t>
      </w:r>
    </w:p>
    <w:p w:rsidR="00DE7DB7" w:rsidRPr="00C01D77" w:rsidRDefault="00DE7DB7" w:rsidP="00DD5071">
      <w:pPr>
        <w:rPr>
          <w:rFonts w:ascii="Book Antiqua" w:hAnsi="Book Antiqua" w:cs="Arial"/>
        </w:rPr>
      </w:pPr>
    </w:p>
    <w:p w:rsidR="00DE7DB7" w:rsidRPr="00C01D77" w:rsidRDefault="00DE7DB7" w:rsidP="00DE7DB7">
      <w:pPr>
        <w:tabs>
          <w:tab w:val="left" w:pos="2520"/>
        </w:tabs>
        <w:rPr>
          <w:rFonts w:ascii="Book Antiqua" w:hAnsi="Book Antiqua" w:cs="Arial"/>
        </w:rPr>
      </w:pPr>
      <w:r w:rsidRPr="00C01D77">
        <w:rPr>
          <w:rFonts w:ascii="Book Antiqua" w:hAnsi="Book Antiqua" w:cs="Arial"/>
        </w:rPr>
        <w:t>For the Appellant</w:t>
      </w:r>
      <w:r w:rsidR="00C41A4A">
        <w:rPr>
          <w:rFonts w:ascii="Book Antiqua" w:hAnsi="Book Antiqua" w:cs="Arial"/>
        </w:rPr>
        <w:t>s</w:t>
      </w:r>
      <w:r w:rsidRPr="00C01D77">
        <w:rPr>
          <w:rFonts w:ascii="Book Antiqua" w:hAnsi="Book Antiqua" w:cs="Arial"/>
        </w:rPr>
        <w:t>:</w:t>
      </w:r>
      <w:r w:rsidRPr="00C01D77">
        <w:rPr>
          <w:rFonts w:ascii="Book Antiqua" w:hAnsi="Book Antiqua" w:cs="Arial"/>
        </w:rPr>
        <w:tab/>
      </w:r>
      <w:r w:rsidR="00CF2D54">
        <w:rPr>
          <w:rFonts w:ascii="Book Antiqua" w:hAnsi="Book Antiqua" w:cs="Arial"/>
        </w:rPr>
        <w:t>Mr S Walker, Senior Home Office Presenting Officer</w:t>
      </w:r>
    </w:p>
    <w:p w:rsidR="00DE7DB7" w:rsidRPr="00C01D77" w:rsidRDefault="00DE7DB7" w:rsidP="00DE7DB7">
      <w:pPr>
        <w:tabs>
          <w:tab w:val="left" w:pos="2520"/>
        </w:tabs>
        <w:rPr>
          <w:rFonts w:ascii="Book Antiqua" w:hAnsi="Book Antiqua" w:cs="Arial"/>
        </w:rPr>
      </w:pPr>
      <w:r w:rsidRPr="00C01D77">
        <w:rPr>
          <w:rFonts w:ascii="Book Antiqua" w:hAnsi="Book Antiqua" w:cs="Arial"/>
        </w:rPr>
        <w:t>For the Respondent:</w:t>
      </w:r>
      <w:r w:rsidRPr="00C01D77">
        <w:rPr>
          <w:rFonts w:ascii="Book Antiqua" w:hAnsi="Book Antiqua" w:cs="Arial"/>
        </w:rPr>
        <w:tab/>
      </w:r>
      <w:r w:rsidR="00CF2D54">
        <w:rPr>
          <w:rFonts w:ascii="Book Antiqua" w:hAnsi="Book Antiqua" w:cs="Arial"/>
        </w:rPr>
        <w:t>Mr Hakim</w:t>
      </w:r>
      <w:r w:rsidR="00DE582D">
        <w:rPr>
          <w:rFonts w:ascii="Book Antiqua" w:hAnsi="Book Antiqua" w:cs="Arial"/>
        </w:rPr>
        <w:t>,</w:t>
      </w:r>
      <w:r w:rsidR="00CF2D54">
        <w:rPr>
          <w:rFonts w:ascii="Book Antiqua" w:hAnsi="Book Antiqua" w:cs="Arial"/>
        </w:rPr>
        <w:t xml:space="preserve"> </w:t>
      </w:r>
      <w:r w:rsidR="00DE582D">
        <w:rPr>
          <w:rFonts w:ascii="Book Antiqua" w:hAnsi="Book Antiqua" w:cs="Arial"/>
        </w:rPr>
        <w:t>Counsel</w:t>
      </w:r>
    </w:p>
    <w:p w:rsidR="00DE7DB7" w:rsidRPr="00C01D77" w:rsidRDefault="00DE7DB7" w:rsidP="00402B9E">
      <w:pPr>
        <w:tabs>
          <w:tab w:val="left" w:pos="2520"/>
        </w:tabs>
        <w:jc w:val="center"/>
        <w:rPr>
          <w:rFonts w:ascii="Book Antiqua" w:hAnsi="Book Antiqua" w:cs="Arial"/>
        </w:rPr>
      </w:pPr>
    </w:p>
    <w:p w:rsidR="00DE7DB7" w:rsidRPr="00C01D77" w:rsidRDefault="00DE7DB7" w:rsidP="00402B9E">
      <w:pPr>
        <w:tabs>
          <w:tab w:val="left" w:pos="2520"/>
        </w:tabs>
        <w:jc w:val="center"/>
        <w:rPr>
          <w:rFonts w:ascii="Book Antiqua" w:hAnsi="Book Antiqua" w:cs="Arial"/>
        </w:rPr>
      </w:pPr>
    </w:p>
    <w:p w:rsidR="00DE7DB7" w:rsidRPr="00C01D77" w:rsidRDefault="00073E80"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C01D77">
        <w:rPr>
          <w:rFonts w:ascii="Book Antiqua" w:hAnsi="Book Antiqua" w:cs="Arial"/>
          <w:b/>
          <w:u w:val="single"/>
        </w:rPr>
        <w:t>AND REASONS</w:t>
      </w:r>
    </w:p>
    <w:p w:rsidR="00073E80" w:rsidRPr="00C01D77" w:rsidRDefault="00073E80" w:rsidP="00402B9E">
      <w:pPr>
        <w:tabs>
          <w:tab w:val="left" w:pos="2520"/>
        </w:tabs>
        <w:jc w:val="both"/>
        <w:rPr>
          <w:rFonts w:ascii="Book Antiqua" w:hAnsi="Book Antiqua" w:cs="Arial"/>
        </w:rPr>
      </w:pPr>
    </w:p>
    <w:p w:rsidR="00E943B7" w:rsidRDefault="00CF2D54" w:rsidP="00E943B7">
      <w:pPr>
        <w:numPr>
          <w:ilvl w:val="0"/>
          <w:numId w:val="3"/>
        </w:numPr>
        <w:spacing w:before="240"/>
        <w:jc w:val="both"/>
        <w:rPr>
          <w:rFonts w:ascii="Book Antiqua" w:hAnsi="Book Antiqua" w:cs="Arial"/>
        </w:rPr>
      </w:pPr>
      <w:r>
        <w:rPr>
          <w:rFonts w:ascii="Book Antiqua" w:hAnsi="Book Antiqua" w:cs="Arial"/>
        </w:rPr>
        <w:t>The Appellant in this appeal is the Secretary of State for the Home Department</w:t>
      </w:r>
      <w:r w:rsidR="00DE582D">
        <w:rPr>
          <w:rFonts w:ascii="Book Antiqua" w:hAnsi="Book Antiqua" w:cs="Arial"/>
        </w:rPr>
        <w:t xml:space="preserve">. </w:t>
      </w:r>
      <w:r>
        <w:rPr>
          <w:rFonts w:ascii="Book Antiqua" w:hAnsi="Book Antiqua" w:cs="Arial"/>
        </w:rPr>
        <w:t xml:space="preserve"> </w:t>
      </w:r>
      <w:r w:rsidR="00DE582D">
        <w:rPr>
          <w:rFonts w:ascii="Book Antiqua" w:hAnsi="Book Antiqua" w:cs="Arial"/>
        </w:rPr>
        <w:t>Th</w:t>
      </w:r>
      <w:r>
        <w:rPr>
          <w:rFonts w:ascii="Book Antiqua" w:hAnsi="Book Antiqua" w:cs="Arial"/>
        </w:rPr>
        <w:t>e Respondent</w:t>
      </w:r>
      <w:r w:rsidR="00A94D09">
        <w:rPr>
          <w:rFonts w:ascii="Book Antiqua" w:hAnsi="Book Antiqua" w:cs="Arial"/>
        </w:rPr>
        <w:t>s</w:t>
      </w:r>
      <w:r>
        <w:rPr>
          <w:rFonts w:ascii="Book Antiqua" w:hAnsi="Book Antiqua" w:cs="Arial"/>
        </w:rPr>
        <w:t xml:space="preserve"> </w:t>
      </w:r>
      <w:r w:rsidR="00DE582D">
        <w:rPr>
          <w:rFonts w:ascii="Book Antiqua" w:hAnsi="Book Antiqua" w:cs="Arial"/>
        </w:rPr>
        <w:t xml:space="preserve">Mr </w:t>
      </w:r>
      <w:proofErr w:type="spellStart"/>
      <w:r>
        <w:rPr>
          <w:rFonts w:ascii="Book Antiqua" w:hAnsi="Book Antiqua" w:cs="Arial"/>
        </w:rPr>
        <w:t>Md</w:t>
      </w:r>
      <w:proofErr w:type="spellEnd"/>
      <w:r>
        <w:rPr>
          <w:rFonts w:ascii="Book Antiqua" w:hAnsi="Book Antiqua" w:cs="Arial"/>
        </w:rPr>
        <w:t xml:space="preserve"> Rahm</w:t>
      </w:r>
      <w:r w:rsidR="00AD0850">
        <w:rPr>
          <w:rFonts w:ascii="Book Antiqua" w:hAnsi="Book Antiqua" w:cs="Arial"/>
        </w:rPr>
        <w:t>a</w:t>
      </w:r>
      <w:r w:rsidR="00126C11">
        <w:rPr>
          <w:rFonts w:ascii="Book Antiqua" w:hAnsi="Book Antiqua" w:cs="Arial"/>
        </w:rPr>
        <w:t>n</w:t>
      </w:r>
      <w:r>
        <w:rPr>
          <w:rFonts w:ascii="Book Antiqua" w:hAnsi="Book Antiqua" w:cs="Arial"/>
        </w:rPr>
        <w:t xml:space="preserve"> and Mrs Piana Begum are husband and wife.  For convenience however I shall refer to the Secretary of State as “the Respondent”</w:t>
      </w:r>
      <w:r w:rsidR="00DE582D">
        <w:rPr>
          <w:rFonts w:ascii="Book Antiqua" w:hAnsi="Book Antiqua" w:cs="Arial"/>
        </w:rPr>
        <w:t>,</w:t>
      </w:r>
      <w:r>
        <w:rPr>
          <w:rFonts w:ascii="Book Antiqua" w:hAnsi="Book Antiqua" w:cs="Arial"/>
        </w:rPr>
        <w:t xml:space="preserve"> and to </w:t>
      </w:r>
      <w:proofErr w:type="spellStart"/>
      <w:r>
        <w:rPr>
          <w:rFonts w:ascii="Book Antiqua" w:hAnsi="Book Antiqua" w:cs="Arial"/>
        </w:rPr>
        <w:lastRenderedPageBreak/>
        <w:t>Md</w:t>
      </w:r>
      <w:proofErr w:type="spellEnd"/>
      <w:r>
        <w:rPr>
          <w:rFonts w:ascii="Book Antiqua" w:hAnsi="Book Antiqua" w:cs="Arial"/>
        </w:rPr>
        <w:t xml:space="preserve"> Rahm</w:t>
      </w:r>
      <w:r w:rsidR="00AD0850">
        <w:rPr>
          <w:rFonts w:ascii="Book Antiqua" w:hAnsi="Book Antiqua" w:cs="Arial"/>
        </w:rPr>
        <w:t>a</w:t>
      </w:r>
      <w:r>
        <w:rPr>
          <w:rFonts w:ascii="Book Antiqua" w:hAnsi="Book Antiqua" w:cs="Arial"/>
        </w:rPr>
        <w:t xml:space="preserve">n </w:t>
      </w:r>
      <w:r w:rsidR="00DE582D">
        <w:rPr>
          <w:rFonts w:ascii="Book Antiqua" w:hAnsi="Book Antiqua" w:cs="Arial"/>
        </w:rPr>
        <w:t xml:space="preserve">as “the first Appellant” </w:t>
      </w:r>
      <w:r>
        <w:rPr>
          <w:rFonts w:ascii="Book Antiqua" w:hAnsi="Book Antiqua" w:cs="Arial"/>
        </w:rPr>
        <w:t xml:space="preserve">and </w:t>
      </w:r>
      <w:proofErr w:type="spellStart"/>
      <w:r>
        <w:rPr>
          <w:rFonts w:ascii="Book Antiqua" w:hAnsi="Book Antiqua" w:cs="Arial"/>
        </w:rPr>
        <w:t>Piana</w:t>
      </w:r>
      <w:proofErr w:type="spellEnd"/>
      <w:r>
        <w:rPr>
          <w:rFonts w:ascii="Book Antiqua" w:hAnsi="Book Antiqua" w:cs="Arial"/>
        </w:rPr>
        <w:t xml:space="preserve"> Begum as “the </w:t>
      </w:r>
      <w:r w:rsidR="00DE582D">
        <w:rPr>
          <w:rFonts w:ascii="Book Antiqua" w:hAnsi="Book Antiqua" w:cs="Arial"/>
        </w:rPr>
        <w:t xml:space="preserve">second </w:t>
      </w:r>
      <w:r>
        <w:rPr>
          <w:rFonts w:ascii="Book Antiqua" w:hAnsi="Book Antiqua" w:cs="Arial"/>
        </w:rPr>
        <w:t xml:space="preserve">Appellant” reflecting their respective positions as they were before the First-tier Tribunal.  </w:t>
      </w:r>
    </w:p>
    <w:p w:rsidR="00CF2D54" w:rsidRDefault="00CF2D54" w:rsidP="00E943B7">
      <w:pPr>
        <w:numPr>
          <w:ilvl w:val="0"/>
          <w:numId w:val="3"/>
        </w:numPr>
        <w:spacing w:before="240"/>
        <w:jc w:val="both"/>
        <w:rPr>
          <w:rFonts w:ascii="Book Antiqua" w:hAnsi="Book Antiqua" w:cs="Arial"/>
        </w:rPr>
      </w:pPr>
      <w:r>
        <w:rPr>
          <w:rFonts w:ascii="Book Antiqua" w:hAnsi="Book Antiqua" w:cs="Arial"/>
        </w:rPr>
        <w:t xml:space="preserve">The </w:t>
      </w:r>
      <w:r w:rsidR="00DE582D">
        <w:rPr>
          <w:rFonts w:ascii="Book Antiqua" w:hAnsi="Book Antiqua" w:cs="Arial"/>
        </w:rPr>
        <w:t xml:space="preserve">first and second </w:t>
      </w:r>
      <w:r>
        <w:rPr>
          <w:rFonts w:ascii="Book Antiqua" w:hAnsi="Book Antiqua" w:cs="Arial"/>
        </w:rPr>
        <w:t>Appellants are citizens of Bangladesh born on 15</w:t>
      </w:r>
      <w:r w:rsidRPr="00CF2D54">
        <w:rPr>
          <w:rFonts w:ascii="Book Antiqua" w:hAnsi="Book Antiqua" w:cs="Arial"/>
          <w:vertAlign w:val="superscript"/>
        </w:rPr>
        <w:t>th</w:t>
      </w:r>
      <w:r>
        <w:rPr>
          <w:rFonts w:ascii="Book Antiqua" w:hAnsi="Book Antiqua" w:cs="Arial"/>
        </w:rPr>
        <w:t xml:space="preserve"> February 1988 and 4</w:t>
      </w:r>
      <w:r w:rsidRPr="00CF2D54">
        <w:rPr>
          <w:rFonts w:ascii="Book Antiqua" w:hAnsi="Book Antiqua" w:cs="Arial"/>
          <w:vertAlign w:val="superscript"/>
        </w:rPr>
        <w:t>th</w:t>
      </w:r>
      <w:r>
        <w:rPr>
          <w:rFonts w:ascii="Book Antiqua" w:hAnsi="Book Antiqua" w:cs="Arial"/>
        </w:rPr>
        <w:t xml:space="preserve"> June 1994 respectively.  They are husband and wife and the appeal of the second Appellant is dependent upon that of the first Appellant.  </w:t>
      </w:r>
    </w:p>
    <w:p w:rsidR="00CF2D54" w:rsidRDefault="00CF2D54" w:rsidP="00E943B7">
      <w:pPr>
        <w:numPr>
          <w:ilvl w:val="0"/>
          <w:numId w:val="3"/>
        </w:numPr>
        <w:spacing w:before="240"/>
        <w:jc w:val="both"/>
        <w:rPr>
          <w:rFonts w:ascii="Book Antiqua" w:hAnsi="Book Antiqua" w:cs="Arial"/>
        </w:rPr>
      </w:pPr>
      <w:r>
        <w:rPr>
          <w:rFonts w:ascii="Book Antiqua" w:hAnsi="Book Antiqua" w:cs="Arial"/>
        </w:rPr>
        <w:t>The first Appellant arrived in the UK on 9</w:t>
      </w:r>
      <w:r w:rsidRPr="00CF2D54">
        <w:rPr>
          <w:rFonts w:ascii="Book Antiqua" w:hAnsi="Book Antiqua" w:cs="Arial"/>
          <w:vertAlign w:val="superscript"/>
        </w:rPr>
        <w:t>th</w:t>
      </w:r>
      <w:r>
        <w:rPr>
          <w:rFonts w:ascii="Book Antiqua" w:hAnsi="Book Antiqua" w:cs="Arial"/>
        </w:rPr>
        <w:t xml:space="preserve"> January 2010 as a Tier 3 (General) Student Migrant.  His wife entered on 10</w:t>
      </w:r>
      <w:r w:rsidRPr="00CF2D54">
        <w:rPr>
          <w:rFonts w:ascii="Book Antiqua" w:hAnsi="Book Antiqua" w:cs="Arial"/>
          <w:vertAlign w:val="superscript"/>
        </w:rPr>
        <w:t>th</w:t>
      </w:r>
      <w:r>
        <w:rPr>
          <w:rFonts w:ascii="Book Antiqua" w:hAnsi="Book Antiqua" w:cs="Arial"/>
        </w:rPr>
        <w:t xml:space="preserve"> August 2014 as his dependant and her leave has always been in line with his. </w:t>
      </w:r>
    </w:p>
    <w:p w:rsidR="00CF2D54" w:rsidRDefault="00CF2D54" w:rsidP="00E943B7">
      <w:pPr>
        <w:numPr>
          <w:ilvl w:val="0"/>
          <w:numId w:val="3"/>
        </w:numPr>
        <w:spacing w:before="240"/>
        <w:jc w:val="both"/>
        <w:rPr>
          <w:rFonts w:ascii="Book Antiqua" w:hAnsi="Book Antiqua" w:cs="Arial"/>
        </w:rPr>
      </w:pPr>
      <w:r>
        <w:rPr>
          <w:rFonts w:ascii="Book Antiqua" w:hAnsi="Book Antiqua" w:cs="Arial"/>
        </w:rPr>
        <w:t>On 20</w:t>
      </w:r>
      <w:r w:rsidRPr="00CF2D54">
        <w:rPr>
          <w:rFonts w:ascii="Book Antiqua" w:hAnsi="Book Antiqua" w:cs="Arial"/>
          <w:vertAlign w:val="superscript"/>
        </w:rPr>
        <w:t>th</w:t>
      </w:r>
      <w:r>
        <w:rPr>
          <w:rFonts w:ascii="Book Antiqua" w:hAnsi="Book Antiqua" w:cs="Arial"/>
        </w:rPr>
        <w:t xml:space="preserve"> January 2012, the first Appellant was granted leave to remain as a Minister of Religion until 15</w:t>
      </w:r>
      <w:r w:rsidRPr="00CF2D54">
        <w:rPr>
          <w:rFonts w:ascii="Book Antiqua" w:hAnsi="Book Antiqua" w:cs="Arial"/>
          <w:vertAlign w:val="superscript"/>
        </w:rPr>
        <w:t>th</w:t>
      </w:r>
      <w:r>
        <w:rPr>
          <w:rFonts w:ascii="Book Antiqua" w:hAnsi="Book Antiqua" w:cs="Arial"/>
        </w:rPr>
        <w:t xml:space="preserve"> January </w:t>
      </w:r>
      <w:r w:rsidR="00C41A4A">
        <w:rPr>
          <w:rFonts w:ascii="Book Antiqua" w:hAnsi="Book Antiqua" w:cs="Arial"/>
        </w:rPr>
        <w:t>2015.  On 16</w:t>
      </w:r>
      <w:r w:rsidR="00C41A4A" w:rsidRPr="00C41A4A">
        <w:rPr>
          <w:rFonts w:ascii="Book Antiqua" w:hAnsi="Book Antiqua" w:cs="Arial"/>
          <w:vertAlign w:val="superscript"/>
        </w:rPr>
        <w:t>th</w:t>
      </w:r>
      <w:r w:rsidR="00C41A4A">
        <w:rPr>
          <w:rFonts w:ascii="Book Antiqua" w:hAnsi="Book Antiqua" w:cs="Arial"/>
        </w:rPr>
        <w:t xml:space="preserve"> December 2014 both Appellants applied for further leave to remain.  In</w:t>
      </w:r>
      <w:r w:rsidR="00A94D09">
        <w:rPr>
          <w:rFonts w:ascii="Book Antiqua" w:hAnsi="Book Antiqua" w:cs="Arial"/>
        </w:rPr>
        <w:t xml:space="preserve"> a decision</w:t>
      </w:r>
      <w:r w:rsidR="00C41A4A">
        <w:rPr>
          <w:rFonts w:ascii="Book Antiqua" w:hAnsi="Book Antiqua" w:cs="Arial"/>
        </w:rPr>
        <w:t xml:space="preserve"> dated 7</w:t>
      </w:r>
      <w:r w:rsidR="00C41A4A" w:rsidRPr="00C41A4A">
        <w:rPr>
          <w:rFonts w:ascii="Book Antiqua" w:hAnsi="Book Antiqua" w:cs="Arial"/>
          <w:vertAlign w:val="superscript"/>
        </w:rPr>
        <w:t>th</w:t>
      </w:r>
      <w:r w:rsidR="00C41A4A">
        <w:rPr>
          <w:rFonts w:ascii="Book Antiqua" w:hAnsi="Book Antiqua" w:cs="Arial"/>
        </w:rPr>
        <w:t xml:space="preserve"> March 2016, the Respondent refused the applications.  The first Appellant’s application was refused under the general Grounds of Refusal on the basis of his presence not being conductive to the public good</w:t>
      </w:r>
      <w:r w:rsidR="00DE582D">
        <w:rPr>
          <w:rFonts w:ascii="Book Antiqua" w:hAnsi="Book Antiqua" w:cs="Arial"/>
        </w:rPr>
        <w:t>.  This was</w:t>
      </w:r>
      <w:r w:rsidR="00C41A4A">
        <w:rPr>
          <w:rFonts w:ascii="Book Antiqua" w:hAnsi="Book Antiqua" w:cs="Arial"/>
        </w:rPr>
        <w:t xml:space="preserve"> on account of the fact that when he applied </w:t>
      </w:r>
      <w:r w:rsidR="00DE582D">
        <w:rPr>
          <w:rFonts w:ascii="Book Antiqua" w:hAnsi="Book Antiqua" w:cs="Arial"/>
        </w:rPr>
        <w:t xml:space="preserve">for leave to remain as a Minister of Religion </w:t>
      </w:r>
      <w:r w:rsidR="00C41A4A">
        <w:rPr>
          <w:rFonts w:ascii="Book Antiqua" w:hAnsi="Book Antiqua" w:cs="Arial"/>
        </w:rPr>
        <w:t>on 16</w:t>
      </w:r>
      <w:r w:rsidR="00C41A4A" w:rsidRPr="00C41A4A">
        <w:rPr>
          <w:rFonts w:ascii="Book Antiqua" w:hAnsi="Book Antiqua" w:cs="Arial"/>
          <w:vertAlign w:val="superscript"/>
        </w:rPr>
        <w:t>th</w:t>
      </w:r>
      <w:r w:rsidR="00C41A4A">
        <w:rPr>
          <w:rFonts w:ascii="Book Antiqua" w:hAnsi="Book Antiqua" w:cs="Arial"/>
        </w:rPr>
        <w:t xml:space="preserve"> December 2011, he submitted a TOEIC certificate from Educational Testing Service (ETS) said to have been fraudulently obtained</w:t>
      </w:r>
      <w:r w:rsidR="00A94D09">
        <w:rPr>
          <w:rFonts w:ascii="Book Antiqua" w:hAnsi="Book Antiqua" w:cs="Arial"/>
        </w:rPr>
        <w:t xml:space="preserve"> by</w:t>
      </w:r>
      <w:r w:rsidR="00C41A4A">
        <w:rPr>
          <w:rFonts w:ascii="Book Antiqua" w:hAnsi="Book Antiqua" w:cs="Arial"/>
        </w:rPr>
        <w:t xml:space="preserve"> using a proxy test-taker on 16</w:t>
      </w:r>
      <w:r w:rsidR="00C41A4A" w:rsidRPr="00C41A4A">
        <w:rPr>
          <w:rFonts w:ascii="Book Antiqua" w:hAnsi="Book Antiqua" w:cs="Arial"/>
          <w:vertAlign w:val="superscript"/>
        </w:rPr>
        <w:t>th</w:t>
      </w:r>
      <w:r w:rsidR="00C41A4A">
        <w:rPr>
          <w:rFonts w:ascii="Book Antiqua" w:hAnsi="Book Antiqua" w:cs="Arial"/>
        </w:rPr>
        <w:t xml:space="preserve"> </w:t>
      </w:r>
      <w:r w:rsidR="00126C11">
        <w:rPr>
          <w:rFonts w:ascii="Book Antiqua" w:hAnsi="Book Antiqua" w:cs="Arial"/>
        </w:rPr>
        <w:t>November 2011 at Westl</w:t>
      </w:r>
      <w:r w:rsidR="00C41A4A">
        <w:rPr>
          <w:rFonts w:ascii="Book Antiqua" w:hAnsi="Book Antiqua" w:cs="Arial"/>
        </w:rPr>
        <w:t xml:space="preserve">ink College.  </w:t>
      </w:r>
      <w:r w:rsidR="00AD0850">
        <w:rPr>
          <w:rFonts w:ascii="Book Antiqua" w:hAnsi="Book Antiqua" w:cs="Arial"/>
        </w:rPr>
        <w:t>Accordingly,</w:t>
      </w:r>
      <w:r w:rsidR="00C41A4A">
        <w:rPr>
          <w:rFonts w:ascii="Book Antiqua" w:hAnsi="Book Antiqua" w:cs="Arial"/>
        </w:rPr>
        <w:t xml:space="preserve"> the application made for further leave to remain and dated 1</w:t>
      </w:r>
      <w:r w:rsidR="00A94D09">
        <w:rPr>
          <w:rFonts w:ascii="Book Antiqua" w:hAnsi="Book Antiqua" w:cs="Arial"/>
        </w:rPr>
        <w:t>6</w:t>
      </w:r>
      <w:r w:rsidR="00C41A4A" w:rsidRPr="00C41A4A">
        <w:rPr>
          <w:rFonts w:ascii="Book Antiqua" w:hAnsi="Book Antiqua" w:cs="Arial"/>
          <w:vertAlign w:val="superscript"/>
        </w:rPr>
        <w:t>th</w:t>
      </w:r>
      <w:r w:rsidR="00A94D09">
        <w:rPr>
          <w:rFonts w:ascii="Book Antiqua" w:hAnsi="Book Antiqua" w:cs="Arial"/>
        </w:rPr>
        <w:t xml:space="preserve"> December</w:t>
      </w:r>
      <w:r w:rsidR="00C41A4A">
        <w:rPr>
          <w:rFonts w:ascii="Book Antiqua" w:hAnsi="Book Antiqua" w:cs="Arial"/>
        </w:rPr>
        <w:t xml:space="preserve"> 2014 was refused under paragraph 322(5) of the Immigration Rule as the Respondent was satisfied that deception had been used in making the application made in December 2011.</w:t>
      </w:r>
      <w:r w:rsidR="00A94D09">
        <w:rPr>
          <w:rFonts w:ascii="Book Antiqua" w:hAnsi="Book Antiqua" w:cs="Arial"/>
        </w:rPr>
        <w:t xml:space="preserve"> </w:t>
      </w:r>
      <w:r w:rsidR="00DE582D">
        <w:rPr>
          <w:rFonts w:ascii="Book Antiqua" w:hAnsi="Book Antiqua" w:cs="Arial"/>
        </w:rPr>
        <w:t xml:space="preserve"> </w:t>
      </w:r>
      <w:r w:rsidR="00A94D09">
        <w:rPr>
          <w:rFonts w:ascii="Book Antiqua" w:hAnsi="Book Antiqua" w:cs="Arial"/>
        </w:rPr>
        <w:t>The second Appellant</w:t>
      </w:r>
      <w:r w:rsidR="00DE582D">
        <w:rPr>
          <w:rFonts w:ascii="Book Antiqua" w:hAnsi="Book Antiqua" w:cs="Arial"/>
        </w:rPr>
        <w:t>’s application</w:t>
      </w:r>
      <w:r w:rsidR="00A94D09">
        <w:rPr>
          <w:rFonts w:ascii="Book Antiqua" w:hAnsi="Book Antiqua" w:cs="Arial"/>
        </w:rPr>
        <w:t xml:space="preserve"> was refused in line with that of her husband.</w:t>
      </w:r>
      <w:r w:rsidR="00C41A4A">
        <w:rPr>
          <w:rFonts w:ascii="Book Antiqua" w:hAnsi="Book Antiqua" w:cs="Arial"/>
        </w:rPr>
        <w:t xml:space="preserve"> </w:t>
      </w:r>
    </w:p>
    <w:p w:rsidR="00C41A4A" w:rsidRDefault="00C41A4A" w:rsidP="00E943B7">
      <w:pPr>
        <w:numPr>
          <w:ilvl w:val="0"/>
          <w:numId w:val="3"/>
        </w:numPr>
        <w:spacing w:before="240"/>
        <w:jc w:val="both"/>
        <w:rPr>
          <w:rFonts w:ascii="Book Antiqua" w:hAnsi="Book Antiqua" w:cs="Arial"/>
        </w:rPr>
      </w:pPr>
      <w:r>
        <w:rPr>
          <w:rFonts w:ascii="Book Antiqua" w:hAnsi="Book Antiqua" w:cs="Arial"/>
        </w:rPr>
        <w:t>The Appellants appealed against the Respondent’s refusal and their appeal came before the First-tier Tribunal (Judge Callow).  In a determination promulgated on 30</w:t>
      </w:r>
      <w:r w:rsidRPr="00C41A4A">
        <w:rPr>
          <w:rFonts w:ascii="Book Antiqua" w:hAnsi="Book Antiqua" w:cs="Arial"/>
          <w:vertAlign w:val="superscript"/>
        </w:rPr>
        <w:t>th</w:t>
      </w:r>
      <w:r>
        <w:rPr>
          <w:rFonts w:ascii="Book Antiqua" w:hAnsi="Book Antiqua" w:cs="Arial"/>
        </w:rPr>
        <w:t xml:space="preserve"> August 2017, both appeals were allowed under the Immigration Rules. </w:t>
      </w:r>
    </w:p>
    <w:p w:rsidR="00C41A4A" w:rsidRDefault="00C41A4A" w:rsidP="00E943B7">
      <w:pPr>
        <w:numPr>
          <w:ilvl w:val="0"/>
          <w:numId w:val="3"/>
        </w:numPr>
        <w:spacing w:before="240"/>
        <w:jc w:val="both"/>
        <w:rPr>
          <w:rFonts w:ascii="Book Antiqua" w:hAnsi="Book Antiqua" w:cs="Arial"/>
        </w:rPr>
      </w:pPr>
      <w:r>
        <w:rPr>
          <w:rFonts w:ascii="Book Antiqua" w:hAnsi="Book Antiqua" w:cs="Arial"/>
        </w:rPr>
        <w:t>Permission to appeal</w:t>
      </w:r>
      <w:r w:rsidR="00A94D09">
        <w:rPr>
          <w:rFonts w:ascii="Book Antiqua" w:hAnsi="Book Antiqua" w:cs="Arial"/>
        </w:rPr>
        <w:t xml:space="preserve"> the decision was refused initially by the FtT but</w:t>
      </w:r>
      <w:r>
        <w:rPr>
          <w:rFonts w:ascii="Book Antiqua" w:hAnsi="Book Antiqua" w:cs="Arial"/>
        </w:rPr>
        <w:t xml:space="preserve"> was granted</w:t>
      </w:r>
      <w:r w:rsidR="00A94D09">
        <w:rPr>
          <w:rFonts w:ascii="Book Antiqua" w:hAnsi="Book Antiqua" w:cs="Arial"/>
        </w:rPr>
        <w:t xml:space="preserve"> by UTJ Gill on a renewed application made by the Secretary of State.</w:t>
      </w:r>
      <w:r>
        <w:rPr>
          <w:rFonts w:ascii="Book Antiqua" w:hAnsi="Book Antiqua" w:cs="Arial"/>
        </w:rPr>
        <w:t xml:space="preserve"> The grant of permission is set out below:</w:t>
      </w:r>
    </w:p>
    <w:p w:rsidR="00C41A4A" w:rsidRDefault="00C41A4A" w:rsidP="00C41A4A">
      <w:pPr>
        <w:spacing w:before="240"/>
        <w:ind w:left="1134"/>
        <w:jc w:val="both"/>
        <w:rPr>
          <w:rFonts w:ascii="Book Antiqua" w:hAnsi="Book Antiqua" w:cs="Arial"/>
        </w:rPr>
      </w:pPr>
      <w:r>
        <w:rPr>
          <w:rFonts w:ascii="Book Antiqua" w:hAnsi="Book Antiqua" w:cs="Arial"/>
        </w:rPr>
        <w:t>“It is arguable that from t</w:t>
      </w:r>
      <w:r w:rsidR="00126C11">
        <w:rPr>
          <w:rFonts w:ascii="Book Antiqua" w:hAnsi="Book Antiqua" w:cs="Arial"/>
        </w:rPr>
        <w:t>he reasoning of Judge of the Fir</w:t>
      </w:r>
      <w:r>
        <w:rPr>
          <w:rFonts w:ascii="Book Antiqua" w:hAnsi="Book Antiqua" w:cs="Arial"/>
        </w:rPr>
        <w:t xml:space="preserve">st-tier Tribunal Callow at paras 14 – 20 that he failed to appreciate that the Upper Tribunal in </w:t>
      </w:r>
      <w:r w:rsidRPr="00C41A4A">
        <w:rPr>
          <w:rFonts w:ascii="Book Antiqua" w:hAnsi="Book Antiqua" w:cs="Arial"/>
          <w:b/>
          <w:u w:val="single"/>
        </w:rPr>
        <w:t>SM and Qadir</w:t>
      </w:r>
      <w:r w:rsidR="00DC3C33">
        <w:rPr>
          <w:rFonts w:ascii="Book Antiqua" w:hAnsi="Book Antiqua" w:cs="Arial"/>
        </w:rPr>
        <w:t xml:space="preserve"> found that the r</w:t>
      </w:r>
      <w:r>
        <w:rPr>
          <w:rFonts w:ascii="Book Antiqua" w:hAnsi="Book Antiqua" w:cs="Arial"/>
        </w:rPr>
        <w:t xml:space="preserve">espondent’s evidence was sufficient to discharge the initial burden of proof.  This notwithstanding that the judge specifically quoted the headnote in </w:t>
      </w:r>
      <w:r w:rsidRPr="00C41A4A">
        <w:rPr>
          <w:rFonts w:ascii="Book Antiqua" w:hAnsi="Book Antiqua" w:cs="Arial"/>
          <w:b/>
          <w:u w:val="single"/>
        </w:rPr>
        <w:t>SM and Qadir</w:t>
      </w:r>
      <w:r>
        <w:rPr>
          <w:rFonts w:ascii="Book Antiqua" w:hAnsi="Book Antiqua" w:cs="Arial"/>
        </w:rPr>
        <w:t xml:space="preserve"> at para 13.  </w:t>
      </w:r>
    </w:p>
    <w:p w:rsidR="00C41A4A" w:rsidRDefault="00C41A4A" w:rsidP="00C41A4A">
      <w:pPr>
        <w:spacing w:before="240"/>
        <w:ind w:left="1134"/>
        <w:jc w:val="both"/>
        <w:rPr>
          <w:rFonts w:ascii="Book Antiqua" w:hAnsi="Book Antiqua" w:cs="Arial"/>
        </w:rPr>
      </w:pPr>
      <w:r>
        <w:rPr>
          <w:rFonts w:ascii="Book Antiqua" w:hAnsi="Book Antiqua" w:cs="Arial"/>
        </w:rPr>
        <w:t xml:space="preserve">It is also arguable that the judge’s reasoning at paras 21 – 22 shows that he was not aware of, or did not apply, the guidance in </w:t>
      </w:r>
      <w:r w:rsidRPr="00DC3C33">
        <w:rPr>
          <w:rFonts w:ascii="Book Antiqua" w:hAnsi="Book Antiqua" w:cs="Arial"/>
          <w:b/>
          <w:u w:val="single"/>
        </w:rPr>
        <w:t>MA (Nigeria)</w:t>
      </w:r>
      <w:r w:rsidRPr="00C41A4A">
        <w:rPr>
          <w:rFonts w:ascii="Book Antiqua" w:hAnsi="Book Antiqua" w:cs="Arial"/>
          <w:b/>
        </w:rPr>
        <w:t xml:space="preserve"> [2016] UKUT 450</w:t>
      </w:r>
      <w:r>
        <w:rPr>
          <w:rFonts w:ascii="Book Antiqua" w:hAnsi="Book Antiqua" w:cs="Arial"/>
        </w:rPr>
        <w:t xml:space="preserve">.  </w:t>
      </w:r>
    </w:p>
    <w:p w:rsidR="00C41A4A" w:rsidRDefault="00C41A4A" w:rsidP="00C41A4A">
      <w:pPr>
        <w:spacing w:before="240"/>
        <w:ind w:left="1134"/>
        <w:jc w:val="both"/>
        <w:rPr>
          <w:rFonts w:ascii="Book Antiqua" w:hAnsi="Book Antiqua" w:cs="Arial"/>
        </w:rPr>
      </w:pPr>
      <w:r>
        <w:rPr>
          <w:rFonts w:ascii="Book Antiqua" w:hAnsi="Book Antiqua" w:cs="Arial"/>
        </w:rPr>
        <w:t>All the grounds may be argued.”</w:t>
      </w:r>
    </w:p>
    <w:p w:rsidR="00C41A4A" w:rsidRDefault="00AD0850" w:rsidP="00E943B7">
      <w:pPr>
        <w:numPr>
          <w:ilvl w:val="0"/>
          <w:numId w:val="3"/>
        </w:numPr>
        <w:spacing w:before="240"/>
        <w:jc w:val="both"/>
        <w:rPr>
          <w:rFonts w:ascii="Book Antiqua" w:hAnsi="Book Antiqua" w:cs="Arial"/>
        </w:rPr>
      </w:pPr>
      <w:r>
        <w:rPr>
          <w:rFonts w:ascii="Book Antiqua" w:hAnsi="Book Antiqua" w:cs="Arial"/>
        </w:rPr>
        <w:t>Thus,</w:t>
      </w:r>
      <w:r w:rsidR="00C41A4A">
        <w:rPr>
          <w:rFonts w:ascii="Book Antiqua" w:hAnsi="Book Antiqua" w:cs="Arial"/>
        </w:rPr>
        <w:t xml:space="preserve"> the matter came before me to determine whether the First-tier Tribunal’s decision contained such error of law that it required it to be set aside and remade.  </w:t>
      </w:r>
    </w:p>
    <w:p w:rsidR="00B22F30" w:rsidRDefault="00B22F30" w:rsidP="00C41A4A">
      <w:pPr>
        <w:spacing w:before="240"/>
        <w:jc w:val="both"/>
        <w:rPr>
          <w:rFonts w:ascii="Book Antiqua" w:hAnsi="Book Antiqua" w:cs="Arial"/>
          <w:b/>
          <w:u w:val="single"/>
        </w:rPr>
      </w:pPr>
    </w:p>
    <w:p w:rsidR="00C41A4A" w:rsidRPr="00C41A4A" w:rsidRDefault="00C41A4A" w:rsidP="00C41A4A">
      <w:pPr>
        <w:spacing w:before="240"/>
        <w:jc w:val="both"/>
        <w:rPr>
          <w:rFonts w:ascii="Book Antiqua" w:hAnsi="Book Antiqua" w:cs="Arial"/>
          <w:b/>
          <w:u w:val="single"/>
        </w:rPr>
      </w:pPr>
      <w:r w:rsidRPr="00C41A4A">
        <w:rPr>
          <w:rFonts w:ascii="Book Antiqua" w:hAnsi="Book Antiqua" w:cs="Arial"/>
          <w:b/>
          <w:u w:val="single"/>
        </w:rPr>
        <w:lastRenderedPageBreak/>
        <w:t>Error of Law Hearing</w:t>
      </w:r>
    </w:p>
    <w:p w:rsidR="00C41A4A" w:rsidRDefault="00C41A4A" w:rsidP="00E943B7">
      <w:pPr>
        <w:numPr>
          <w:ilvl w:val="0"/>
          <w:numId w:val="3"/>
        </w:numPr>
        <w:spacing w:before="240"/>
        <w:jc w:val="both"/>
        <w:rPr>
          <w:rFonts w:ascii="Book Antiqua" w:hAnsi="Book Antiqua" w:cs="Arial"/>
        </w:rPr>
      </w:pPr>
      <w:r>
        <w:rPr>
          <w:rFonts w:ascii="Book Antiqua" w:hAnsi="Book Antiqua" w:cs="Arial"/>
        </w:rPr>
        <w:t xml:space="preserve">Before me, Mr Walker appeared for the Respondent and Mr Hakim for the Appellants.  A Rule 24 response had been served on behalf of the Appellants.  </w:t>
      </w:r>
    </w:p>
    <w:p w:rsidR="00C41A4A" w:rsidRDefault="00C41A4A" w:rsidP="00E943B7">
      <w:pPr>
        <w:numPr>
          <w:ilvl w:val="0"/>
          <w:numId w:val="3"/>
        </w:numPr>
        <w:spacing w:before="240"/>
        <w:jc w:val="both"/>
        <w:rPr>
          <w:rFonts w:ascii="Book Antiqua" w:hAnsi="Book Antiqua" w:cs="Arial"/>
        </w:rPr>
      </w:pPr>
      <w:r>
        <w:rPr>
          <w:rFonts w:ascii="Book Antiqua" w:hAnsi="Book Antiqua" w:cs="Arial"/>
        </w:rPr>
        <w:t>Mr Walker relied on the written grounds which</w:t>
      </w:r>
      <w:r w:rsidR="00DC3C33">
        <w:rPr>
          <w:rFonts w:ascii="Book Antiqua" w:hAnsi="Book Antiqua" w:cs="Arial"/>
        </w:rPr>
        <w:t>,</w:t>
      </w:r>
      <w:r w:rsidR="000443D6">
        <w:rPr>
          <w:rFonts w:ascii="Book Antiqua" w:hAnsi="Book Antiqua" w:cs="Arial"/>
        </w:rPr>
        <w:t xml:space="preserve"> as he said,</w:t>
      </w:r>
      <w:r>
        <w:rPr>
          <w:rFonts w:ascii="Book Antiqua" w:hAnsi="Book Antiqua" w:cs="Arial"/>
        </w:rPr>
        <w:t xml:space="preserve"> essentially set out that the burden of proof in assessing whether the first Appellant had used dishonesty to obtain his TOEIC certificate was not properly understood and applied by the First-tier Tribunal.  The Respondent’s case is that the generic evidence of the Secretary of State showed that the evidential burden was met.  The evidence of the spreadsheet showed that the</w:t>
      </w:r>
      <w:r w:rsidR="000443D6">
        <w:rPr>
          <w:rFonts w:ascii="Book Antiqua" w:hAnsi="Book Antiqua" w:cs="Arial"/>
        </w:rPr>
        <w:t xml:space="preserve"> TOEIC</w:t>
      </w:r>
      <w:r>
        <w:rPr>
          <w:rFonts w:ascii="Book Antiqua" w:hAnsi="Book Antiqua" w:cs="Arial"/>
        </w:rPr>
        <w:t xml:space="preserve"> test taken by the first Appellant was invalid.  </w:t>
      </w:r>
    </w:p>
    <w:p w:rsidR="00FF33E0" w:rsidRPr="00FF33E0" w:rsidRDefault="00C41A4A" w:rsidP="00FF33E0">
      <w:pPr>
        <w:numPr>
          <w:ilvl w:val="0"/>
          <w:numId w:val="3"/>
        </w:numPr>
        <w:spacing w:before="240"/>
        <w:jc w:val="both"/>
        <w:rPr>
          <w:rFonts w:ascii="Book Antiqua" w:hAnsi="Book Antiqua" w:cs="Arial"/>
        </w:rPr>
      </w:pPr>
      <w:r>
        <w:rPr>
          <w:rFonts w:ascii="Book Antiqua" w:hAnsi="Book Antiqua" w:cs="Arial"/>
        </w:rPr>
        <w:t xml:space="preserve">The approach taken by the judge in not properly applying the burden of proof, had led him into error in his assessment of the first Appellant’s evidence.  There was no consideration given to the guidance set out in </w:t>
      </w:r>
      <w:r w:rsidRPr="00FF458F">
        <w:rPr>
          <w:rFonts w:ascii="Book Antiqua" w:hAnsi="Book Antiqua" w:cs="Arial"/>
          <w:b/>
          <w:u w:val="single"/>
        </w:rPr>
        <w:t>MA (Nigeria)</w:t>
      </w:r>
      <w:r w:rsidRPr="00C41A4A">
        <w:rPr>
          <w:rFonts w:ascii="Book Antiqua" w:hAnsi="Book Antiqua" w:cs="Arial"/>
          <w:b/>
        </w:rPr>
        <w:t xml:space="preserve"> [2016] UKUT 450</w:t>
      </w:r>
      <w:r>
        <w:rPr>
          <w:rFonts w:ascii="Book Antiqua" w:hAnsi="Book Antiqua" w:cs="Arial"/>
        </w:rPr>
        <w:t xml:space="preserve">.  This </w:t>
      </w:r>
      <w:r w:rsidR="00FF33E0">
        <w:rPr>
          <w:rFonts w:ascii="Book Antiqua" w:hAnsi="Book Antiqua" w:cs="Arial"/>
        </w:rPr>
        <w:t>meant that the FtTJ failed to give adequate reasons for finding that the first Appellant had rebutted the prima facie case of deception.</w:t>
      </w:r>
      <w:r w:rsidR="000873E2">
        <w:rPr>
          <w:rFonts w:ascii="Book Antiqua" w:hAnsi="Book Antiqua" w:cs="Arial"/>
        </w:rPr>
        <w:t xml:space="preserve"> </w:t>
      </w:r>
      <w:r w:rsidR="00FF33E0">
        <w:rPr>
          <w:rFonts w:ascii="Book Antiqua" w:hAnsi="Book Antiqua" w:cs="Arial"/>
        </w:rPr>
        <w:t xml:space="preserve"> Together these errors </w:t>
      </w:r>
      <w:r>
        <w:rPr>
          <w:rFonts w:ascii="Book Antiqua" w:hAnsi="Book Antiqua" w:cs="Arial"/>
        </w:rPr>
        <w:t>rendered the decision unsustainable</w:t>
      </w:r>
      <w:r w:rsidR="00FF33E0">
        <w:rPr>
          <w:rFonts w:ascii="Book Antiqua" w:hAnsi="Book Antiqua" w:cs="Arial"/>
        </w:rPr>
        <w:t xml:space="preserve">. </w:t>
      </w:r>
      <w:r w:rsidR="000873E2">
        <w:rPr>
          <w:rFonts w:ascii="Book Antiqua" w:hAnsi="Book Antiqua" w:cs="Arial"/>
        </w:rPr>
        <w:t xml:space="preserve"> </w:t>
      </w:r>
      <w:r w:rsidR="00FF33E0">
        <w:rPr>
          <w:rFonts w:ascii="Book Antiqua" w:hAnsi="Book Antiqua" w:cs="Arial"/>
        </w:rPr>
        <w:t>It should be</w:t>
      </w:r>
      <w:r w:rsidR="001614A1">
        <w:rPr>
          <w:rFonts w:ascii="Book Antiqua" w:hAnsi="Book Antiqua" w:cs="Arial"/>
        </w:rPr>
        <w:t xml:space="preserve"> </w:t>
      </w:r>
      <w:r w:rsidR="00FF33E0">
        <w:rPr>
          <w:rFonts w:ascii="Book Antiqua" w:hAnsi="Book Antiqua" w:cs="Arial"/>
        </w:rPr>
        <w:t>set aside and</w:t>
      </w:r>
      <w:r w:rsidR="001614A1">
        <w:rPr>
          <w:rFonts w:ascii="Book Antiqua" w:hAnsi="Book Antiqua" w:cs="Arial"/>
        </w:rPr>
        <w:t xml:space="preserve"> </w:t>
      </w:r>
      <w:r>
        <w:rPr>
          <w:rFonts w:ascii="Book Antiqua" w:hAnsi="Book Antiqua" w:cs="Arial"/>
        </w:rPr>
        <w:t>remade</w:t>
      </w:r>
      <w:r w:rsidR="00FF33E0" w:rsidRPr="00FF33E0">
        <w:rPr>
          <w:rFonts w:ascii="Book Antiqua" w:hAnsi="Book Antiqua" w:cs="Arial"/>
        </w:rPr>
        <w:t xml:space="preserve"> </w:t>
      </w:r>
    </w:p>
    <w:p w:rsidR="00C41A4A" w:rsidRPr="000443D6" w:rsidRDefault="00C41A4A" w:rsidP="000443D6">
      <w:pPr>
        <w:numPr>
          <w:ilvl w:val="0"/>
          <w:numId w:val="3"/>
        </w:numPr>
        <w:spacing w:before="240"/>
        <w:jc w:val="both"/>
        <w:rPr>
          <w:rFonts w:ascii="Book Antiqua" w:hAnsi="Book Antiqua" w:cs="Arial"/>
        </w:rPr>
      </w:pPr>
      <w:r>
        <w:rPr>
          <w:rFonts w:ascii="Book Antiqua" w:hAnsi="Book Antiqua" w:cs="Arial"/>
        </w:rPr>
        <w:t>Mr Hakim</w:t>
      </w:r>
      <w:r w:rsidR="00853508">
        <w:rPr>
          <w:rFonts w:ascii="Book Antiqua" w:hAnsi="Book Antiqua" w:cs="Arial"/>
        </w:rPr>
        <w:t xml:space="preserve"> in response submitted that the Ft</w:t>
      </w:r>
      <w:r>
        <w:rPr>
          <w:rFonts w:ascii="Book Antiqua" w:hAnsi="Book Antiqua" w:cs="Arial"/>
        </w:rPr>
        <w:t xml:space="preserve">TJ had dealt with all aspects of the case adequately and had found that the Appellant was an honest witness.  </w:t>
      </w:r>
      <w:r w:rsidRPr="000443D6">
        <w:rPr>
          <w:rFonts w:ascii="Book Antiqua" w:hAnsi="Book Antiqua" w:cs="Arial"/>
        </w:rPr>
        <w:t xml:space="preserve">Whilst he acknowledged that the judge had not specifically mentioned </w:t>
      </w:r>
      <w:r w:rsidRPr="00FF458F">
        <w:rPr>
          <w:rFonts w:ascii="Book Antiqua" w:hAnsi="Book Antiqua" w:cs="Arial"/>
          <w:b/>
          <w:u w:val="single"/>
        </w:rPr>
        <w:t>MA (Nigeria)</w:t>
      </w:r>
      <w:r w:rsidRPr="000443D6">
        <w:rPr>
          <w:rFonts w:ascii="Book Antiqua" w:hAnsi="Book Antiqua" w:cs="Arial"/>
        </w:rPr>
        <w:t xml:space="preserve">, nevertheless the judge had </w:t>
      </w:r>
      <w:r w:rsidR="000873E2">
        <w:rPr>
          <w:rFonts w:ascii="Book Antiqua" w:hAnsi="Book Antiqua" w:cs="Arial"/>
        </w:rPr>
        <w:t>set out</w:t>
      </w:r>
      <w:r w:rsidRPr="000443D6">
        <w:rPr>
          <w:rFonts w:ascii="Book Antiqua" w:hAnsi="Book Antiqua" w:cs="Arial"/>
        </w:rPr>
        <w:t xml:space="preserve"> the head</w:t>
      </w:r>
      <w:r w:rsidR="000873E2">
        <w:rPr>
          <w:rFonts w:ascii="Book Antiqua" w:hAnsi="Book Antiqua" w:cs="Arial"/>
        </w:rPr>
        <w:t>-</w:t>
      </w:r>
      <w:r w:rsidRPr="000443D6">
        <w:rPr>
          <w:rFonts w:ascii="Book Antiqua" w:hAnsi="Book Antiqua" w:cs="Arial"/>
        </w:rPr>
        <w:t>note to</w:t>
      </w:r>
      <w:r w:rsidRPr="000443D6">
        <w:rPr>
          <w:rFonts w:ascii="Book Antiqua" w:hAnsi="Book Antiqua" w:cs="Arial"/>
          <w:b/>
        </w:rPr>
        <w:t xml:space="preserve"> </w:t>
      </w:r>
      <w:r w:rsidRPr="000443D6">
        <w:rPr>
          <w:rFonts w:ascii="Book Antiqua" w:hAnsi="Book Antiqua" w:cs="Arial"/>
          <w:b/>
          <w:u w:val="single"/>
        </w:rPr>
        <w:t>SM and Qadir</w:t>
      </w:r>
      <w:r w:rsidRPr="000443D6">
        <w:rPr>
          <w:rFonts w:ascii="Book Antiqua" w:hAnsi="Book Antiqua" w:cs="Arial"/>
          <w:b/>
        </w:rPr>
        <w:t xml:space="preserve"> (ETS – evidence – burden of proof) UKUT 229 (IAC) [13]</w:t>
      </w:r>
      <w:r w:rsidRPr="000443D6">
        <w:rPr>
          <w:rFonts w:ascii="Book Antiqua" w:hAnsi="Book Antiqua" w:cs="Arial"/>
        </w:rPr>
        <w:t>.  It could not be said therefore that the judge had not kept</w:t>
      </w:r>
      <w:r w:rsidR="00853508">
        <w:rPr>
          <w:rFonts w:ascii="Book Antiqua" w:hAnsi="Book Antiqua" w:cs="Arial"/>
        </w:rPr>
        <w:t xml:space="preserve"> in mind</w:t>
      </w:r>
      <w:r w:rsidRPr="000443D6">
        <w:rPr>
          <w:rFonts w:ascii="Book Antiqua" w:hAnsi="Book Antiqua" w:cs="Arial"/>
        </w:rPr>
        <w:t xml:space="preserve"> the</w:t>
      </w:r>
      <w:r w:rsidR="00853508">
        <w:rPr>
          <w:rFonts w:ascii="Book Antiqua" w:hAnsi="Book Antiqua" w:cs="Arial"/>
        </w:rPr>
        <w:t xml:space="preserve"> applicable</w:t>
      </w:r>
      <w:r w:rsidRPr="000443D6">
        <w:rPr>
          <w:rFonts w:ascii="Book Antiqua" w:hAnsi="Book Antiqua" w:cs="Arial"/>
        </w:rPr>
        <w:t xml:space="preserve"> </w:t>
      </w:r>
      <w:r w:rsidR="000873E2">
        <w:rPr>
          <w:rFonts w:ascii="Book Antiqua" w:hAnsi="Book Antiqua" w:cs="Arial"/>
        </w:rPr>
        <w:t xml:space="preserve">standard </w:t>
      </w:r>
      <w:r w:rsidR="00853508">
        <w:rPr>
          <w:rFonts w:ascii="Book Antiqua" w:hAnsi="Book Antiqua" w:cs="Arial"/>
        </w:rPr>
        <w:t xml:space="preserve">and </w:t>
      </w:r>
      <w:r w:rsidR="000873E2" w:rsidRPr="000443D6">
        <w:rPr>
          <w:rFonts w:ascii="Book Antiqua" w:hAnsi="Book Antiqua" w:cs="Arial"/>
        </w:rPr>
        <w:t>burden</w:t>
      </w:r>
      <w:r w:rsidR="000873E2">
        <w:rPr>
          <w:rFonts w:ascii="Book Antiqua" w:hAnsi="Book Antiqua" w:cs="Arial"/>
        </w:rPr>
        <w:t xml:space="preserve"> </w:t>
      </w:r>
      <w:r w:rsidR="00853508">
        <w:rPr>
          <w:rFonts w:ascii="Book Antiqua" w:hAnsi="Book Antiqua" w:cs="Arial"/>
        </w:rPr>
        <w:t xml:space="preserve">of proof. </w:t>
      </w:r>
      <w:r w:rsidRPr="000443D6">
        <w:rPr>
          <w:rFonts w:ascii="Book Antiqua" w:hAnsi="Book Antiqua" w:cs="Arial"/>
        </w:rPr>
        <w:t xml:space="preserve"> The judge had kept to the principles set out in </w:t>
      </w:r>
      <w:r w:rsidRPr="000443D6">
        <w:rPr>
          <w:rFonts w:ascii="Book Antiqua" w:hAnsi="Book Antiqua" w:cs="Arial"/>
          <w:b/>
          <w:u w:val="single"/>
        </w:rPr>
        <w:t>SM and Qadir</w:t>
      </w:r>
      <w:r w:rsidRPr="000443D6">
        <w:rPr>
          <w:rFonts w:ascii="Book Antiqua" w:hAnsi="Book Antiqua" w:cs="Arial"/>
        </w:rPr>
        <w:t xml:space="preserve"> and the grounds amounted to no more than a disagreement with th</w:t>
      </w:r>
      <w:r w:rsidR="00853508">
        <w:rPr>
          <w:rFonts w:ascii="Book Antiqua" w:hAnsi="Book Antiqua" w:cs="Arial"/>
        </w:rPr>
        <w:t>e Ft</w:t>
      </w:r>
      <w:r w:rsidRPr="000443D6">
        <w:rPr>
          <w:rFonts w:ascii="Book Antiqua" w:hAnsi="Book Antiqua" w:cs="Arial"/>
        </w:rPr>
        <w:t xml:space="preserve">T’s decision. </w:t>
      </w:r>
      <w:r w:rsidR="000873E2">
        <w:rPr>
          <w:rFonts w:ascii="Book Antiqua" w:hAnsi="Book Antiqua" w:cs="Arial"/>
        </w:rPr>
        <w:t xml:space="preserve"> </w:t>
      </w:r>
      <w:r w:rsidR="00853508">
        <w:rPr>
          <w:rFonts w:ascii="Book Antiqua" w:hAnsi="Book Antiqua" w:cs="Arial"/>
        </w:rPr>
        <w:t>The fact finding was adequate and t</w:t>
      </w:r>
      <w:r w:rsidRPr="000443D6">
        <w:rPr>
          <w:rFonts w:ascii="Book Antiqua" w:hAnsi="Book Antiqua" w:cs="Arial"/>
        </w:rPr>
        <w:t>he</w:t>
      </w:r>
      <w:r w:rsidR="00853508">
        <w:rPr>
          <w:rFonts w:ascii="Book Antiqua" w:hAnsi="Book Antiqua" w:cs="Arial"/>
        </w:rPr>
        <w:t xml:space="preserve">refore the decision should </w:t>
      </w:r>
      <w:r w:rsidRPr="000443D6">
        <w:rPr>
          <w:rFonts w:ascii="Book Antiqua" w:hAnsi="Book Antiqua" w:cs="Arial"/>
        </w:rPr>
        <w:t xml:space="preserve">stand.  </w:t>
      </w:r>
    </w:p>
    <w:p w:rsidR="00C41A4A" w:rsidRDefault="00C41A4A" w:rsidP="00E943B7">
      <w:pPr>
        <w:numPr>
          <w:ilvl w:val="0"/>
          <w:numId w:val="3"/>
        </w:numPr>
        <w:spacing w:before="240"/>
        <w:jc w:val="both"/>
        <w:rPr>
          <w:rFonts w:ascii="Book Antiqua" w:hAnsi="Book Antiqua" w:cs="Arial"/>
        </w:rPr>
      </w:pPr>
      <w:r>
        <w:rPr>
          <w:rFonts w:ascii="Book Antiqua" w:hAnsi="Book Antiqua" w:cs="Arial"/>
        </w:rPr>
        <w:t xml:space="preserve">At the end of submissions I reserved my decision which I now give with my reasons. </w:t>
      </w:r>
    </w:p>
    <w:p w:rsidR="00C41A4A" w:rsidRPr="00C41A4A" w:rsidRDefault="00C41A4A" w:rsidP="00C41A4A">
      <w:pPr>
        <w:spacing w:before="240"/>
        <w:jc w:val="both"/>
        <w:rPr>
          <w:rFonts w:ascii="Book Antiqua" w:hAnsi="Book Antiqua" w:cs="Arial"/>
          <w:b/>
          <w:u w:val="single"/>
        </w:rPr>
      </w:pPr>
      <w:r w:rsidRPr="00C41A4A">
        <w:rPr>
          <w:rFonts w:ascii="Book Antiqua" w:hAnsi="Book Antiqua" w:cs="Arial"/>
          <w:b/>
          <w:u w:val="single"/>
        </w:rPr>
        <w:t xml:space="preserve">Consideration </w:t>
      </w:r>
    </w:p>
    <w:p w:rsidR="000873E2" w:rsidRDefault="00C41A4A" w:rsidP="00971C2D">
      <w:pPr>
        <w:numPr>
          <w:ilvl w:val="0"/>
          <w:numId w:val="3"/>
        </w:numPr>
        <w:spacing w:before="240"/>
        <w:jc w:val="both"/>
        <w:rPr>
          <w:rFonts w:ascii="Book Antiqua" w:hAnsi="Book Antiqua" w:cs="Arial"/>
        </w:rPr>
      </w:pPr>
      <w:r>
        <w:rPr>
          <w:rFonts w:ascii="Book Antiqua" w:hAnsi="Book Antiqua" w:cs="Arial"/>
        </w:rPr>
        <w:t>I am satis</w:t>
      </w:r>
      <w:r w:rsidR="00971C2D">
        <w:rPr>
          <w:rFonts w:ascii="Book Antiqua" w:hAnsi="Book Antiqua" w:cs="Arial"/>
        </w:rPr>
        <w:t>fied that the decision of the Ft</w:t>
      </w:r>
      <w:r>
        <w:rPr>
          <w:rFonts w:ascii="Book Antiqua" w:hAnsi="Book Antiqua" w:cs="Arial"/>
        </w:rPr>
        <w:t>T must be set aside for legal error</w:t>
      </w:r>
      <w:r w:rsidR="00971C2D">
        <w:rPr>
          <w:rFonts w:ascii="Book Antiqua" w:hAnsi="Book Antiqua" w:cs="Arial"/>
        </w:rPr>
        <w:t xml:space="preserve"> for the following reasons.</w:t>
      </w:r>
      <w:r>
        <w:rPr>
          <w:rFonts w:ascii="Book Antiqua" w:hAnsi="Book Antiqua" w:cs="Arial"/>
        </w:rPr>
        <w:t xml:space="preserve"> </w:t>
      </w:r>
    </w:p>
    <w:p w:rsidR="00C41A4A" w:rsidRPr="00971C2D" w:rsidRDefault="00C41A4A" w:rsidP="00971C2D">
      <w:pPr>
        <w:numPr>
          <w:ilvl w:val="0"/>
          <w:numId w:val="3"/>
        </w:numPr>
        <w:spacing w:before="240"/>
        <w:jc w:val="both"/>
        <w:rPr>
          <w:rFonts w:ascii="Book Antiqua" w:hAnsi="Book Antiqua" w:cs="Arial"/>
        </w:rPr>
      </w:pPr>
      <w:r w:rsidRPr="00971C2D">
        <w:rPr>
          <w:rFonts w:ascii="Book Antiqua" w:hAnsi="Book Antiqua" w:cs="Arial"/>
        </w:rPr>
        <w:t>I find that on a prope</w:t>
      </w:r>
      <w:r w:rsidR="00971C2D">
        <w:rPr>
          <w:rFonts w:ascii="Book Antiqua" w:hAnsi="Book Antiqua" w:cs="Arial"/>
        </w:rPr>
        <w:t>r reading of the decision the Ft</w:t>
      </w:r>
      <w:r w:rsidRPr="00971C2D">
        <w:rPr>
          <w:rFonts w:ascii="Book Antiqua" w:hAnsi="Book Antiqua" w:cs="Arial"/>
        </w:rPr>
        <w:t>TJ has failed, as the grant of permission points out, to</w:t>
      </w:r>
      <w:r w:rsidR="00853508">
        <w:rPr>
          <w:rFonts w:ascii="Book Antiqua" w:hAnsi="Book Antiqua" w:cs="Arial"/>
        </w:rPr>
        <w:t xml:space="preserve"> show an appreciation</w:t>
      </w:r>
      <w:r w:rsidRPr="00971C2D">
        <w:rPr>
          <w:rFonts w:ascii="Book Antiqua" w:hAnsi="Book Antiqua" w:cs="Arial"/>
        </w:rPr>
        <w:t xml:space="preserve"> that the Respondent’s evidence</w:t>
      </w:r>
      <w:r w:rsidR="005C7436">
        <w:rPr>
          <w:rFonts w:ascii="Book Antiqua" w:hAnsi="Book Antiqua" w:cs="Arial"/>
        </w:rPr>
        <w:t xml:space="preserve"> clearly</w:t>
      </w:r>
      <w:r w:rsidR="00853508">
        <w:rPr>
          <w:rFonts w:ascii="Book Antiqua" w:hAnsi="Book Antiqua" w:cs="Arial"/>
        </w:rPr>
        <w:t xml:space="preserve"> set</w:t>
      </w:r>
      <w:r w:rsidR="000873E2">
        <w:rPr>
          <w:rFonts w:ascii="Book Antiqua" w:hAnsi="Book Antiqua" w:cs="Arial"/>
        </w:rPr>
        <w:t>s</w:t>
      </w:r>
      <w:r w:rsidR="00853508">
        <w:rPr>
          <w:rFonts w:ascii="Book Antiqua" w:hAnsi="Book Antiqua" w:cs="Arial"/>
        </w:rPr>
        <w:t xml:space="preserve"> out that the </w:t>
      </w:r>
      <w:r w:rsidR="005C7436">
        <w:rPr>
          <w:rFonts w:ascii="Book Antiqua" w:hAnsi="Book Antiqua" w:cs="Arial"/>
        </w:rPr>
        <w:t>test taken by the first Appellant was invalid</w:t>
      </w:r>
      <w:r w:rsidR="000873E2">
        <w:rPr>
          <w:rFonts w:ascii="Book Antiqua" w:hAnsi="Book Antiqua" w:cs="Arial"/>
        </w:rPr>
        <w:t>.</w:t>
      </w:r>
      <w:r w:rsidR="00853508">
        <w:rPr>
          <w:rFonts w:ascii="Book Antiqua" w:hAnsi="Book Antiqua" w:cs="Arial"/>
        </w:rPr>
        <w:t xml:space="preserve"> </w:t>
      </w:r>
      <w:r w:rsidRPr="00971C2D">
        <w:rPr>
          <w:rFonts w:ascii="Book Antiqua" w:hAnsi="Book Antiqua" w:cs="Arial"/>
        </w:rPr>
        <w:t xml:space="preserve"> </w:t>
      </w:r>
      <w:r w:rsidR="000873E2">
        <w:rPr>
          <w:rFonts w:ascii="Book Antiqua" w:hAnsi="Book Antiqua" w:cs="Arial"/>
        </w:rPr>
        <w:t>This was</w:t>
      </w:r>
      <w:r w:rsidRPr="00971C2D">
        <w:rPr>
          <w:rFonts w:ascii="Book Antiqua" w:hAnsi="Book Antiqua" w:cs="Arial"/>
        </w:rPr>
        <w:t xml:space="preserve"> sufficient to d</w:t>
      </w:r>
      <w:r w:rsidR="005C7436">
        <w:rPr>
          <w:rFonts w:ascii="Book Antiqua" w:hAnsi="Book Antiqua" w:cs="Arial"/>
        </w:rPr>
        <w:t>ischarge the evidential burden of establishing a prima facie case of deception.</w:t>
      </w:r>
      <w:r w:rsidRPr="00971C2D">
        <w:rPr>
          <w:rFonts w:ascii="Book Antiqua" w:hAnsi="Book Antiqua" w:cs="Arial"/>
        </w:rPr>
        <w:t xml:space="preserve"> I find that t</w:t>
      </w:r>
      <w:r w:rsidR="00971C2D">
        <w:rPr>
          <w:rFonts w:ascii="Book Antiqua" w:hAnsi="Book Antiqua" w:cs="Arial"/>
        </w:rPr>
        <w:t>he Ft</w:t>
      </w:r>
      <w:r w:rsidRPr="00971C2D">
        <w:rPr>
          <w:rFonts w:ascii="Book Antiqua" w:hAnsi="Book Antiqua" w:cs="Arial"/>
        </w:rPr>
        <w:t>T has not explicitly taken account of the guidance decisions made by the Upper Tribunal and Court of Appeal in cases of this nature, that the generic evidence generally meets the evidential burden.  I find therefore that there is a failure to place the examination of this issue in the context of the relevant case law and</w:t>
      </w:r>
      <w:r w:rsidR="005C7436">
        <w:rPr>
          <w:rFonts w:ascii="Book Antiqua" w:hAnsi="Book Antiqua" w:cs="Arial"/>
        </w:rPr>
        <w:t xml:space="preserve"> thus to</w:t>
      </w:r>
      <w:r w:rsidRPr="00971C2D">
        <w:rPr>
          <w:rFonts w:ascii="Book Antiqua" w:hAnsi="Book Antiqua" w:cs="Arial"/>
        </w:rPr>
        <w:t xml:space="preserve"> take the correct legal step</w:t>
      </w:r>
      <w:r w:rsidR="00892142">
        <w:rPr>
          <w:rFonts w:ascii="Book Antiqua" w:hAnsi="Book Antiqua" w:cs="Arial"/>
        </w:rPr>
        <w:t>s</w:t>
      </w:r>
      <w:r w:rsidRPr="00971C2D">
        <w:rPr>
          <w:rFonts w:ascii="Book Antiqua" w:hAnsi="Book Antiqua" w:cs="Arial"/>
        </w:rPr>
        <w:t xml:space="preserve"> in determining whether the Claimant was correctly refused under the general Grounds of Ref</w:t>
      </w:r>
      <w:r w:rsidR="003B1FBF" w:rsidRPr="00971C2D">
        <w:rPr>
          <w:rFonts w:ascii="Book Antiqua" w:hAnsi="Book Antiqua" w:cs="Arial"/>
        </w:rPr>
        <w:t>usal.</w:t>
      </w:r>
    </w:p>
    <w:p w:rsidR="003B1FBF" w:rsidRDefault="003B1FBF" w:rsidP="00E943B7">
      <w:pPr>
        <w:numPr>
          <w:ilvl w:val="0"/>
          <w:numId w:val="3"/>
        </w:numPr>
        <w:spacing w:before="240"/>
        <w:jc w:val="both"/>
        <w:rPr>
          <w:rFonts w:ascii="Book Antiqua" w:hAnsi="Book Antiqua" w:cs="Arial"/>
        </w:rPr>
      </w:pPr>
      <w:r>
        <w:rPr>
          <w:rFonts w:ascii="Book Antiqua" w:hAnsi="Book Antiqua" w:cs="Arial"/>
        </w:rPr>
        <w:lastRenderedPageBreak/>
        <w:t xml:space="preserve">Whilst </w:t>
      </w:r>
      <w:r w:rsidR="002C0AC3">
        <w:rPr>
          <w:rFonts w:ascii="Book Antiqua" w:hAnsi="Book Antiqua" w:cs="Arial"/>
        </w:rPr>
        <w:t xml:space="preserve">Mr </w:t>
      </w:r>
      <w:r w:rsidR="00971C2D">
        <w:rPr>
          <w:rFonts w:ascii="Book Antiqua" w:hAnsi="Book Antiqua" w:cs="Arial"/>
        </w:rPr>
        <w:t>Hakim argues that any such</w:t>
      </w:r>
      <w:r>
        <w:rPr>
          <w:rFonts w:ascii="Book Antiqua" w:hAnsi="Book Antiqua" w:cs="Arial"/>
        </w:rPr>
        <w:t xml:space="preserve"> failure is immaterial in any event because </w:t>
      </w:r>
      <w:proofErr w:type="gramStart"/>
      <w:r>
        <w:rPr>
          <w:rFonts w:ascii="Book Antiqua" w:hAnsi="Book Antiqua" w:cs="Arial"/>
        </w:rPr>
        <w:t xml:space="preserve">the </w:t>
      </w:r>
      <w:r w:rsidR="000C2924">
        <w:rPr>
          <w:rFonts w:ascii="Book Antiqua" w:hAnsi="Book Antiqua" w:cs="Arial"/>
        </w:rPr>
        <w:t xml:space="preserve"> </w:t>
      </w:r>
      <w:r>
        <w:rPr>
          <w:rFonts w:ascii="Book Antiqua" w:hAnsi="Book Antiqua" w:cs="Arial"/>
        </w:rPr>
        <w:t>judge</w:t>
      </w:r>
      <w:proofErr w:type="gramEnd"/>
      <w:r>
        <w:rPr>
          <w:rFonts w:ascii="Book Antiqua" w:hAnsi="Book Antiqua" w:cs="Arial"/>
        </w:rPr>
        <w:t xml:space="preserve"> followed the </w:t>
      </w:r>
      <w:proofErr w:type="spellStart"/>
      <w:r>
        <w:rPr>
          <w:rFonts w:ascii="Book Antiqua" w:hAnsi="Book Antiqua" w:cs="Arial"/>
        </w:rPr>
        <w:t>principles</w:t>
      </w:r>
      <w:proofErr w:type="spellEnd"/>
      <w:r>
        <w:rPr>
          <w:rFonts w:ascii="Book Antiqua" w:hAnsi="Book Antiqua" w:cs="Arial"/>
        </w:rPr>
        <w:t xml:space="preserve"> involved, I disagree.  I look in </w:t>
      </w:r>
      <w:r w:rsidR="00971C2D">
        <w:rPr>
          <w:rFonts w:ascii="Book Antiqua" w:hAnsi="Book Antiqua" w:cs="Arial"/>
        </w:rPr>
        <w:t xml:space="preserve">particular at [20] of the </w:t>
      </w:r>
      <w:r>
        <w:rPr>
          <w:rFonts w:ascii="Book Antiqua" w:hAnsi="Book Antiqua" w:cs="Arial"/>
        </w:rPr>
        <w:t>decision.  After setting out the relevant evidence which pointed</w:t>
      </w:r>
      <w:r w:rsidR="00971C2D">
        <w:rPr>
          <w:rFonts w:ascii="Book Antiqua" w:hAnsi="Book Antiqua" w:cs="Arial"/>
        </w:rPr>
        <w:t xml:space="preserve"> clearly</w:t>
      </w:r>
      <w:r>
        <w:rPr>
          <w:rFonts w:ascii="Book Antiqua" w:hAnsi="Book Antiqua" w:cs="Arial"/>
        </w:rPr>
        <w:t xml:space="preserve"> to the first Appellant’s TOEIC certificate being invalidated, the judge says the following.  </w:t>
      </w:r>
    </w:p>
    <w:p w:rsidR="003B1FBF" w:rsidRDefault="003B1FBF" w:rsidP="003B1FBF">
      <w:pPr>
        <w:spacing w:before="240"/>
        <w:ind w:left="1134"/>
        <w:jc w:val="both"/>
        <w:rPr>
          <w:rFonts w:ascii="Book Antiqua" w:hAnsi="Book Antiqua" w:cs="Arial"/>
        </w:rPr>
      </w:pPr>
      <w:r>
        <w:rPr>
          <w:rFonts w:ascii="Book Antiqua" w:hAnsi="Book Antiqua" w:cs="Arial"/>
        </w:rPr>
        <w:t>“Given uncertainty in the round,</w:t>
      </w:r>
      <w:r w:rsidR="00892142">
        <w:rPr>
          <w:rFonts w:ascii="Book Antiqua" w:hAnsi="Book Antiqua" w:cs="Arial"/>
        </w:rPr>
        <w:t xml:space="preserve"> one must question whether the r</w:t>
      </w:r>
      <w:r>
        <w:rPr>
          <w:rFonts w:ascii="Book Antiqua" w:hAnsi="Book Antiqua" w:cs="Arial"/>
        </w:rPr>
        <w:t xml:space="preserve">espondent has even succeeded in putting the first </w:t>
      </w:r>
      <w:r w:rsidR="00892142">
        <w:rPr>
          <w:rFonts w:ascii="Book Antiqua" w:hAnsi="Book Antiqua" w:cs="Arial"/>
        </w:rPr>
        <w:t>a</w:t>
      </w:r>
      <w:r>
        <w:rPr>
          <w:rFonts w:ascii="Book Antiqua" w:hAnsi="Book Antiqua" w:cs="Arial"/>
        </w:rPr>
        <w:t>ppellant to the proof of rebuttal.”</w:t>
      </w:r>
    </w:p>
    <w:p w:rsidR="003B1FBF" w:rsidRDefault="00892142" w:rsidP="00E943B7">
      <w:pPr>
        <w:numPr>
          <w:ilvl w:val="0"/>
          <w:numId w:val="3"/>
        </w:numPr>
        <w:spacing w:before="240"/>
        <w:jc w:val="both"/>
        <w:rPr>
          <w:rFonts w:ascii="Book Antiqua" w:hAnsi="Book Antiqua" w:cs="Arial"/>
        </w:rPr>
      </w:pPr>
      <w:r>
        <w:rPr>
          <w:rFonts w:ascii="Book Antiqua" w:hAnsi="Book Antiqua" w:cs="Arial"/>
        </w:rPr>
        <w:t>H</w:t>
      </w:r>
      <w:r w:rsidR="003B1FBF">
        <w:rPr>
          <w:rFonts w:ascii="Book Antiqua" w:hAnsi="Book Antiqua" w:cs="Arial"/>
        </w:rPr>
        <w:t>e follows this up with the following line:</w:t>
      </w:r>
    </w:p>
    <w:p w:rsidR="003B1FBF" w:rsidRDefault="003B1FBF" w:rsidP="003B1FBF">
      <w:pPr>
        <w:spacing w:before="240"/>
        <w:ind w:left="1134"/>
        <w:jc w:val="both"/>
        <w:rPr>
          <w:rFonts w:ascii="Book Antiqua" w:hAnsi="Book Antiqua" w:cs="Arial"/>
        </w:rPr>
      </w:pPr>
      <w:r>
        <w:rPr>
          <w:rFonts w:ascii="Book Antiqua" w:hAnsi="Book Antiqua" w:cs="Arial"/>
        </w:rPr>
        <w:t>“Assuming such to be the case I proceed as follows.”</w:t>
      </w:r>
    </w:p>
    <w:p w:rsidR="00AD0850" w:rsidRDefault="003B1FBF" w:rsidP="00AD0850">
      <w:pPr>
        <w:spacing w:before="240"/>
        <w:ind w:left="567"/>
        <w:jc w:val="both"/>
        <w:rPr>
          <w:rFonts w:ascii="Book Antiqua" w:hAnsi="Book Antiqua" w:cs="Arial"/>
        </w:rPr>
      </w:pPr>
      <w:r>
        <w:rPr>
          <w:rFonts w:ascii="Book Antiqua" w:hAnsi="Book Antiqua" w:cs="Arial"/>
        </w:rPr>
        <w:t>I find that</w:t>
      </w:r>
      <w:r w:rsidR="005C7436">
        <w:rPr>
          <w:rFonts w:ascii="Book Antiqua" w:hAnsi="Book Antiqua" w:cs="Arial"/>
        </w:rPr>
        <w:t xml:space="preserve"> this gives</w:t>
      </w:r>
      <w:r>
        <w:rPr>
          <w:rFonts w:ascii="Book Antiqua" w:hAnsi="Book Antiqua" w:cs="Arial"/>
        </w:rPr>
        <w:t xml:space="preserve"> an impression</w:t>
      </w:r>
      <w:r w:rsidR="005C7436">
        <w:rPr>
          <w:rFonts w:ascii="Book Antiqua" w:hAnsi="Book Antiqua" w:cs="Arial"/>
        </w:rPr>
        <w:t xml:space="preserve"> of </w:t>
      </w:r>
      <w:r w:rsidR="00971C2D">
        <w:rPr>
          <w:rFonts w:ascii="Book Antiqua" w:hAnsi="Book Antiqua" w:cs="Arial"/>
        </w:rPr>
        <w:t>a</w:t>
      </w:r>
      <w:r>
        <w:rPr>
          <w:rFonts w:ascii="Book Antiqua" w:hAnsi="Book Antiqua" w:cs="Arial"/>
        </w:rPr>
        <w:t xml:space="preserve"> reluctance to</w:t>
      </w:r>
      <w:r w:rsidR="00AD2CE7">
        <w:rPr>
          <w:rFonts w:ascii="Book Antiqua" w:hAnsi="Book Antiqua" w:cs="Arial"/>
        </w:rPr>
        <w:t xml:space="preserve"> keep an open mind when addressing the starting point of whether </w:t>
      </w:r>
      <w:r>
        <w:rPr>
          <w:rFonts w:ascii="Book Antiqua" w:hAnsi="Book Antiqua" w:cs="Arial"/>
        </w:rPr>
        <w:t>the</w:t>
      </w:r>
      <w:r w:rsidR="00AD2CE7">
        <w:rPr>
          <w:rFonts w:ascii="Book Antiqua" w:hAnsi="Book Antiqua" w:cs="Arial"/>
        </w:rPr>
        <w:t xml:space="preserve"> objective evidence showed that the</w:t>
      </w:r>
      <w:r w:rsidR="005C7436">
        <w:rPr>
          <w:rFonts w:ascii="Book Antiqua" w:hAnsi="Book Antiqua" w:cs="Arial"/>
        </w:rPr>
        <w:t xml:space="preserve"> initial</w:t>
      </w:r>
      <w:r>
        <w:rPr>
          <w:rFonts w:ascii="Book Antiqua" w:hAnsi="Book Antiqua" w:cs="Arial"/>
        </w:rPr>
        <w:t xml:space="preserve"> </w:t>
      </w:r>
      <w:r w:rsidR="00892142">
        <w:rPr>
          <w:rFonts w:ascii="Book Antiqua" w:hAnsi="Book Antiqua" w:cs="Arial"/>
        </w:rPr>
        <w:t xml:space="preserve">standard </w:t>
      </w:r>
      <w:r w:rsidR="00AD0850">
        <w:rPr>
          <w:rFonts w:ascii="Book Antiqua" w:hAnsi="Book Antiqua" w:cs="Arial"/>
        </w:rPr>
        <w:t xml:space="preserve">and </w:t>
      </w:r>
      <w:r w:rsidR="00892142">
        <w:rPr>
          <w:rFonts w:ascii="Book Antiqua" w:hAnsi="Book Antiqua" w:cs="Arial"/>
        </w:rPr>
        <w:t xml:space="preserve">burden </w:t>
      </w:r>
      <w:r w:rsidR="00AD0850">
        <w:rPr>
          <w:rFonts w:ascii="Book Antiqua" w:hAnsi="Book Antiqua" w:cs="Arial"/>
        </w:rPr>
        <w:t>of proof</w:t>
      </w:r>
      <w:r w:rsidR="00AD2CE7">
        <w:rPr>
          <w:rFonts w:ascii="Book Antiqua" w:hAnsi="Book Antiqua" w:cs="Arial"/>
        </w:rPr>
        <w:t xml:space="preserve"> was</w:t>
      </w:r>
      <w:r w:rsidR="005C7436">
        <w:rPr>
          <w:rFonts w:ascii="Book Antiqua" w:hAnsi="Book Antiqua" w:cs="Arial"/>
        </w:rPr>
        <w:t xml:space="preserve"> met by the Respondent</w:t>
      </w:r>
      <w:r w:rsidR="00AD2CE7">
        <w:rPr>
          <w:rFonts w:ascii="Book Antiqua" w:hAnsi="Book Antiqua" w:cs="Arial"/>
        </w:rPr>
        <w:t>.  T</w:t>
      </w:r>
      <w:r w:rsidR="005C7436">
        <w:rPr>
          <w:rFonts w:ascii="Book Antiqua" w:hAnsi="Book Antiqua" w:cs="Arial"/>
        </w:rPr>
        <w:t>his in turn has led to an erroneous approach to the</w:t>
      </w:r>
      <w:r w:rsidR="00F27E26">
        <w:rPr>
          <w:rFonts w:ascii="Book Antiqua" w:hAnsi="Book Antiqua" w:cs="Arial"/>
        </w:rPr>
        <w:t xml:space="preserve"> analysis of the</w:t>
      </w:r>
      <w:r w:rsidR="005C7436">
        <w:rPr>
          <w:rFonts w:ascii="Book Antiqua" w:hAnsi="Book Antiqua" w:cs="Arial"/>
        </w:rPr>
        <w:t xml:space="preserve"> evidence put forward by the first Appellant in providing an innocent explanation.</w:t>
      </w:r>
    </w:p>
    <w:p w:rsidR="003B1FBF" w:rsidRDefault="00AD0850" w:rsidP="00E943B7">
      <w:pPr>
        <w:numPr>
          <w:ilvl w:val="0"/>
          <w:numId w:val="3"/>
        </w:numPr>
        <w:spacing w:before="240"/>
        <w:jc w:val="both"/>
        <w:rPr>
          <w:rFonts w:ascii="Book Antiqua" w:hAnsi="Book Antiqua" w:cs="Arial"/>
        </w:rPr>
      </w:pPr>
      <w:r>
        <w:rPr>
          <w:rFonts w:ascii="Book Antiqua" w:hAnsi="Book Antiqua" w:cs="Arial"/>
        </w:rPr>
        <w:t>I dra</w:t>
      </w:r>
      <w:r w:rsidR="00F27E26">
        <w:rPr>
          <w:rFonts w:ascii="Book Antiqua" w:hAnsi="Book Antiqua" w:cs="Arial"/>
        </w:rPr>
        <w:t>w strength in coming to the above finding by an</w:t>
      </w:r>
      <w:r w:rsidR="001614A1">
        <w:rPr>
          <w:rFonts w:ascii="Book Antiqua" w:hAnsi="Book Antiqua" w:cs="Arial"/>
        </w:rPr>
        <w:t xml:space="preserve"> </w:t>
      </w:r>
      <w:r w:rsidR="00F27E26">
        <w:rPr>
          <w:rFonts w:ascii="Book Antiqua" w:hAnsi="Book Antiqua" w:cs="Arial"/>
        </w:rPr>
        <w:t>examination of</w:t>
      </w:r>
      <w:r>
        <w:rPr>
          <w:rFonts w:ascii="Book Antiqua" w:hAnsi="Book Antiqua" w:cs="Arial"/>
        </w:rPr>
        <w:t xml:space="preserve"> [23] where</w:t>
      </w:r>
      <w:r w:rsidR="00971C2D">
        <w:rPr>
          <w:rFonts w:ascii="Book Antiqua" w:hAnsi="Book Antiqua" w:cs="Arial"/>
        </w:rPr>
        <w:t xml:space="preserve"> the judge</w:t>
      </w:r>
      <w:r w:rsidR="00892142">
        <w:rPr>
          <w:rFonts w:ascii="Book Antiqua" w:hAnsi="Book Antiqua" w:cs="Arial"/>
        </w:rPr>
        <w:t>,</w:t>
      </w:r>
      <w:r w:rsidR="00971C2D">
        <w:rPr>
          <w:rFonts w:ascii="Book Antiqua" w:hAnsi="Book Antiqua" w:cs="Arial"/>
        </w:rPr>
        <w:t xml:space="preserve"> after making</w:t>
      </w:r>
      <w:r>
        <w:rPr>
          <w:rFonts w:ascii="Book Antiqua" w:hAnsi="Book Antiqua" w:cs="Arial"/>
        </w:rPr>
        <w:t xml:space="preserve"> findings on the first Appellant’s evidence, </w:t>
      </w:r>
      <w:r w:rsidR="00892142">
        <w:rPr>
          <w:rFonts w:ascii="Book Antiqua" w:hAnsi="Book Antiqua" w:cs="Arial"/>
        </w:rPr>
        <w:t xml:space="preserve">says </w:t>
      </w:r>
      <w:r>
        <w:rPr>
          <w:rFonts w:ascii="Book Antiqua" w:hAnsi="Book Antiqua" w:cs="Arial"/>
        </w:rPr>
        <w:t xml:space="preserve">the following: </w:t>
      </w:r>
    </w:p>
    <w:p w:rsidR="00AD0850" w:rsidRDefault="00AD0850" w:rsidP="00AD0850">
      <w:pPr>
        <w:spacing w:before="240"/>
        <w:ind w:left="1134"/>
        <w:jc w:val="both"/>
        <w:rPr>
          <w:rFonts w:ascii="Book Antiqua" w:hAnsi="Book Antiqua" w:cs="Arial"/>
        </w:rPr>
      </w:pPr>
      <w:r>
        <w:rPr>
          <w:rFonts w:ascii="Book Antiqua" w:hAnsi="Book Antiqua" w:cs="Arial"/>
        </w:rPr>
        <w:t xml:space="preserve">“In conclusion I find, </w:t>
      </w:r>
      <w:r w:rsidRPr="00892142">
        <w:rPr>
          <w:rFonts w:ascii="Book Antiqua" w:hAnsi="Book Antiqua" w:cs="Arial"/>
          <w:i/>
        </w:rPr>
        <w:t>even if it be assumed</w:t>
      </w:r>
      <w:r>
        <w:rPr>
          <w:rFonts w:ascii="Book Antiqua" w:hAnsi="Book Antiqua" w:cs="Arial"/>
        </w:rPr>
        <w:t xml:space="preserve"> </w:t>
      </w:r>
      <w:r w:rsidR="00892142">
        <w:rPr>
          <w:rFonts w:ascii="Book Antiqua" w:hAnsi="Book Antiqua" w:cs="Arial"/>
        </w:rPr>
        <w:t xml:space="preserve">(my emphasis) </w:t>
      </w:r>
      <w:r>
        <w:rPr>
          <w:rFonts w:ascii="Book Antiqua" w:hAnsi="Book Antiqua" w:cs="Arial"/>
        </w:rPr>
        <w:t>that a prima facie case of deception has been established, the totality of the</w:t>
      </w:r>
      <w:r w:rsidR="00892142">
        <w:rPr>
          <w:rFonts w:ascii="Book Antiqua" w:hAnsi="Book Antiqua" w:cs="Arial"/>
        </w:rPr>
        <w:t xml:space="preserve"> evidence, including the first a</w:t>
      </w:r>
      <w:r>
        <w:rPr>
          <w:rFonts w:ascii="Book Antiqua" w:hAnsi="Book Antiqua" w:cs="Arial"/>
        </w:rPr>
        <w:t>ppellant’s evidenc</w:t>
      </w:r>
      <w:r w:rsidR="00892142">
        <w:rPr>
          <w:rFonts w:ascii="Book Antiqua" w:hAnsi="Book Antiqua" w:cs="Arial"/>
        </w:rPr>
        <w:t>e in rebuttal is such that the r</w:t>
      </w:r>
      <w:r>
        <w:rPr>
          <w:rFonts w:ascii="Book Antiqua" w:hAnsi="Book Antiqua" w:cs="Arial"/>
        </w:rPr>
        <w:t>espondent has failed to discharge the burden that rests with her.”</w:t>
      </w:r>
    </w:p>
    <w:p w:rsidR="00F27E26" w:rsidRDefault="00AD0850" w:rsidP="00E943B7">
      <w:pPr>
        <w:numPr>
          <w:ilvl w:val="0"/>
          <w:numId w:val="3"/>
        </w:numPr>
        <w:spacing w:before="240"/>
        <w:jc w:val="both"/>
        <w:rPr>
          <w:rFonts w:ascii="Book Antiqua" w:hAnsi="Book Antiqua" w:cs="Arial"/>
        </w:rPr>
      </w:pPr>
      <w:r>
        <w:rPr>
          <w:rFonts w:ascii="Book Antiqua" w:hAnsi="Book Antiqua" w:cs="Arial"/>
        </w:rPr>
        <w:t>I find therefore that the whole approach undertaken by the judge to the evidence before him is tainted by a failure to appreciate the Respondent’s evidence</w:t>
      </w:r>
      <w:r w:rsidR="00F27E26">
        <w:rPr>
          <w:rFonts w:ascii="Book Antiqua" w:hAnsi="Book Antiqua" w:cs="Arial"/>
        </w:rPr>
        <w:t xml:space="preserve"> and analyse it as the starting point in his consideration. </w:t>
      </w:r>
    </w:p>
    <w:p w:rsidR="006F2DF6" w:rsidRDefault="00F27E26" w:rsidP="006F2DF6">
      <w:pPr>
        <w:numPr>
          <w:ilvl w:val="0"/>
          <w:numId w:val="3"/>
        </w:numPr>
        <w:spacing w:before="240"/>
        <w:jc w:val="both"/>
        <w:rPr>
          <w:rFonts w:ascii="Book Antiqua" w:hAnsi="Book Antiqua" w:cs="Arial"/>
        </w:rPr>
      </w:pPr>
      <w:r>
        <w:rPr>
          <w:rFonts w:ascii="Book Antiqua" w:hAnsi="Book Antiqua" w:cs="Arial"/>
        </w:rPr>
        <w:t xml:space="preserve">This is reinforced by a lack of reference to </w:t>
      </w:r>
      <w:r w:rsidRPr="00892142">
        <w:rPr>
          <w:rFonts w:ascii="Book Antiqua" w:hAnsi="Book Antiqua" w:cs="Arial"/>
          <w:b/>
          <w:u w:val="single"/>
        </w:rPr>
        <w:t xml:space="preserve">MA </w:t>
      </w:r>
      <w:r w:rsidR="00892142">
        <w:rPr>
          <w:rFonts w:ascii="Book Antiqua" w:hAnsi="Book Antiqua" w:cs="Arial"/>
          <w:b/>
          <w:u w:val="single"/>
        </w:rPr>
        <w:t>(</w:t>
      </w:r>
      <w:r w:rsidRPr="00892142">
        <w:rPr>
          <w:rFonts w:ascii="Book Antiqua" w:hAnsi="Book Antiqua" w:cs="Arial"/>
          <w:b/>
          <w:u w:val="single"/>
        </w:rPr>
        <w:t>Nigeria</w:t>
      </w:r>
      <w:r w:rsidR="00892142">
        <w:rPr>
          <w:rFonts w:ascii="Book Antiqua" w:hAnsi="Book Antiqua" w:cs="Arial"/>
          <w:b/>
          <w:u w:val="single"/>
        </w:rPr>
        <w:t>)</w:t>
      </w:r>
      <w:r>
        <w:rPr>
          <w:rFonts w:ascii="Book Antiqua" w:hAnsi="Book Antiqua" w:cs="Arial"/>
        </w:rPr>
        <w:t>. I find that the FtT’s assessment of the evidence</w:t>
      </w:r>
      <w:r w:rsidR="006F2DF6">
        <w:rPr>
          <w:rFonts w:ascii="Book Antiqua" w:hAnsi="Book Antiqua" w:cs="Arial"/>
        </w:rPr>
        <w:t xml:space="preserve"> and findings</w:t>
      </w:r>
      <w:r>
        <w:rPr>
          <w:rFonts w:ascii="Book Antiqua" w:hAnsi="Book Antiqua" w:cs="Arial"/>
        </w:rPr>
        <w:t xml:space="preserve"> relating to the </w:t>
      </w:r>
      <w:r w:rsidR="007609A3">
        <w:rPr>
          <w:rFonts w:ascii="Book Antiqua" w:hAnsi="Book Antiqua" w:cs="Arial"/>
        </w:rPr>
        <w:t xml:space="preserve">TOEIC </w:t>
      </w:r>
      <w:r>
        <w:rPr>
          <w:rFonts w:ascii="Book Antiqua" w:hAnsi="Book Antiqua" w:cs="Arial"/>
        </w:rPr>
        <w:t>taken on 16</w:t>
      </w:r>
      <w:r w:rsidRPr="00F27E26">
        <w:rPr>
          <w:rFonts w:ascii="Book Antiqua" w:hAnsi="Book Antiqua" w:cs="Arial"/>
          <w:vertAlign w:val="superscript"/>
        </w:rPr>
        <w:t>th</w:t>
      </w:r>
      <w:r>
        <w:rPr>
          <w:rFonts w:ascii="Book Antiqua" w:hAnsi="Book Antiqua" w:cs="Arial"/>
        </w:rPr>
        <w:t xml:space="preserve"> November 2011 </w:t>
      </w:r>
      <w:r w:rsidR="00892142">
        <w:rPr>
          <w:rFonts w:ascii="Book Antiqua" w:hAnsi="Book Antiqua" w:cs="Arial"/>
        </w:rPr>
        <w:t xml:space="preserve">is </w:t>
      </w:r>
      <w:r w:rsidR="006F2DF6">
        <w:rPr>
          <w:rFonts w:ascii="Book Antiqua" w:hAnsi="Book Antiqua" w:cs="Arial"/>
        </w:rPr>
        <w:t xml:space="preserve">sparse to say the least. </w:t>
      </w:r>
      <w:r w:rsidR="007609A3">
        <w:rPr>
          <w:rFonts w:ascii="Book Antiqua" w:hAnsi="Book Antiqua" w:cs="Arial"/>
        </w:rPr>
        <w:t xml:space="preserve"> A</w:t>
      </w:r>
      <w:r w:rsidR="006F2DF6">
        <w:rPr>
          <w:rFonts w:ascii="Book Antiqua" w:hAnsi="Book Antiqua" w:cs="Arial"/>
        </w:rPr>
        <w:t>t [21] the judge makes</w:t>
      </w:r>
      <w:r w:rsidR="00AD0850">
        <w:rPr>
          <w:rFonts w:ascii="Book Antiqua" w:hAnsi="Book Antiqua" w:cs="Arial"/>
        </w:rPr>
        <w:t xml:space="preserve"> </w:t>
      </w:r>
      <w:r w:rsidR="006F2DF6">
        <w:rPr>
          <w:rFonts w:ascii="Book Antiqua" w:hAnsi="Book Antiqua" w:cs="Arial"/>
        </w:rPr>
        <w:t xml:space="preserve">numerous findings concerning other tests taken by the first Appellant and then </w:t>
      </w:r>
      <w:r w:rsidR="007609A3">
        <w:rPr>
          <w:rFonts w:ascii="Book Antiqua" w:hAnsi="Book Antiqua" w:cs="Arial"/>
        </w:rPr>
        <w:t xml:space="preserve">at [22] </w:t>
      </w:r>
      <w:r w:rsidR="006F2DF6">
        <w:rPr>
          <w:rFonts w:ascii="Book Antiqua" w:hAnsi="Book Antiqua" w:cs="Arial"/>
        </w:rPr>
        <w:t>says</w:t>
      </w:r>
      <w:r w:rsidR="007609A3">
        <w:rPr>
          <w:rFonts w:ascii="Book Antiqua" w:hAnsi="Book Antiqua" w:cs="Arial"/>
        </w:rPr>
        <w:t>,</w:t>
      </w:r>
      <w:r w:rsidR="006F2DF6">
        <w:rPr>
          <w:rFonts w:ascii="Book Antiqua" w:hAnsi="Book Antiqua" w:cs="Arial"/>
        </w:rPr>
        <w:t xml:space="preserve"> “</w:t>
      </w:r>
      <w:r w:rsidR="007609A3">
        <w:rPr>
          <w:rFonts w:ascii="Book Antiqua" w:hAnsi="Book Antiqua" w:cs="Arial"/>
        </w:rPr>
        <w:t>T</w:t>
      </w:r>
      <w:r w:rsidR="006F2DF6">
        <w:rPr>
          <w:rFonts w:ascii="Book Antiqua" w:hAnsi="Book Antiqua" w:cs="Arial"/>
        </w:rPr>
        <w:t>he f</w:t>
      </w:r>
      <w:r w:rsidR="007609A3">
        <w:rPr>
          <w:rFonts w:ascii="Book Antiqua" w:hAnsi="Book Antiqua" w:cs="Arial"/>
        </w:rPr>
        <w:t>i</w:t>
      </w:r>
      <w:r w:rsidR="006F2DF6">
        <w:rPr>
          <w:rFonts w:ascii="Book Antiqua" w:hAnsi="Book Antiqua" w:cs="Arial"/>
        </w:rPr>
        <w:t xml:space="preserve">rst </w:t>
      </w:r>
      <w:r w:rsidR="007609A3">
        <w:rPr>
          <w:rFonts w:ascii="Book Antiqua" w:hAnsi="Book Antiqua" w:cs="Arial"/>
        </w:rPr>
        <w:t xml:space="preserve">appellant had no reason to jeopardise his career and future by cheating in the TOEIC 2011 tests on 16 November 2011; his account is plausible.” </w:t>
      </w:r>
      <w:r w:rsidR="006F2DF6">
        <w:rPr>
          <w:rFonts w:ascii="Book Antiqua" w:hAnsi="Book Antiqua" w:cs="Arial"/>
        </w:rPr>
        <w:t xml:space="preserve"> That appears to disregard the guidance given in </w:t>
      </w:r>
      <w:r w:rsidR="00892142" w:rsidRPr="00892142">
        <w:rPr>
          <w:rFonts w:ascii="Book Antiqua" w:hAnsi="Book Antiqua" w:cs="Arial"/>
          <w:b/>
          <w:u w:val="single"/>
        </w:rPr>
        <w:t xml:space="preserve">MA </w:t>
      </w:r>
      <w:r w:rsidR="00892142">
        <w:rPr>
          <w:rFonts w:ascii="Book Antiqua" w:hAnsi="Book Antiqua" w:cs="Arial"/>
          <w:b/>
          <w:u w:val="single"/>
        </w:rPr>
        <w:t>(</w:t>
      </w:r>
      <w:r w:rsidR="00892142" w:rsidRPr="00892142">
        <w:rPr>
          <w:rFonts w:ascii="Book Antiqua" w:hAnsi="Book Antiqua" w:cs="Arial"/>
          <w:b/>
          <w:u w:val="single"/>
        </w:rPr>
        <w:t>Nigeria</w:t>
      </w:r>
      <w:r w:rsidR="00892142">
        <w:rPr>
          <w:rFonts w:ascii="Book Antiqua" w:hAnsi="Book Antiqua" w:cs="Arial"/>
          <w:b/>
          <w:u w:val="single"/>
        </w:rPr>
        <w:t>)</w:t>
      </w:r>
      <w:r w:rsidR="00892142">
        <w:rPr>
          <w:rFonts w:ascii="Book Antiqua" w:hAnsi="Book Antiqua" w:cs="Arial"/>
        </w:rPr>
        <w:t>.</w:t>
      </w:r>
    </w:p>
    <w:p w:rsidR="006F2DF6" w:rsidRPr="006F2DF6" w:rsidRDefault="006F2DF6" w:rsidP="006F2DF6">
      <w:pPr>
        <w:numPr>
          <w:ilvl w:val="0"/>
          <w:numId w:val="3"/>
        </w:numPr>
        <w:spacing w:before="240"/>
        <w:jc w:val="both"/>
        <w:rPr>
          <w:rFonts w:ascii="Book Antiqua" w:hAnsi="Book Antiqua" w:cs="Arial"/>
        </w:rPr>
      </w:pPr>
      <w:r>
        <w:rPr>
          <w:rFonts w:ascii="Book Antiqua" w:hAnsi="Book Antiqua" w:cs="Arial"/>
        </w:rPr>
        <w:t>I find therefore for these reasons that the decision of the FtT is unsustainable and I hereby set it aside.</w:t>
      </w:r>
    </w:p>
    <w:p w:rsidR="00AD0850" w:rsidRDefault="00AD0850" w:rsidP="00E943B7">
      <w:pPr>
        <w:numPr>
          <w:ilvl w:val="0"/>
          <w:numId w:val="3"/>
        </w:numPr>
        <w:spacing w:before="240"/>
        <w:jc w:val="both"/>
        <w:rPr>
          <w:rFonts w:ascii="Book Antiqua" w:hAnsi="Book Antiqua" w:cs="Arial"/>
        </w:rPr>
      </w:pPr>
      <w:r>
        <w:rPr>
          <w:rFonts w:ascii="Book Antiqua" w:hAnsi="Book Antiqua" w:cs="Arial"/>
        </w:rPr>
        <w:t xml:space="preserve">No point was taken by Mr Walker on the fact that there was no Article 8 assessment </w:t>
      </w:r>
      <w:r w:rsidR="006F2DF6">
        <w:rPr>
          <w:rFonts w:ascii="Book Antiqua" w:hAnsi="Book Antiqua" w:cs="Arial"/>
        </w:rPr>
        <w:t>undertaken in the decision</w:t>
      </w:r>
      <w:r w:rsidR="001614A1">
        <w:rPr>
          <w:rFonts w:ascii="Book Antiqua" w:hAnsi="Book Antiqua" w:cs="Arial"/>
        </w:rPr>
        <w:t>, n</w:t>
      </w:r>
      <w:r w:rsidR="006F2DF6">
        <w:rPr>
          <w:rFonts w:ascii="Book Antiqua" w:hAnsi="Book Antiqua" w:cs="Arial"/>
        </w:rPr>
        <w:t xml:space="preserve">or on the fact </w:t>
      </w:r>
      <w:r>
        <w:rPr>
          <w:rFonts w:ascii="Book Antiqua" w:hAnsi="Book Antiqua" w:cs="Arial"/>
        </w:rPr>
        <w:t>that the appe</w:t>
      </w:r>
      <w:r w:rsidR="006F2DF6">
        <w:rPr>
          <w:rFonts w:ascii="Book Antiqua" w:hAnsi="Book Antiqua" w:cs="Arial"/>
        </w:rPr>
        <w:t>al was allowed “under the Rules.” H</w:t>
      </w:r>
      <w:r>
        <w:rPr>
          <w:rFonts w:ascii="Book Antiqua" w:hAnsi="Book Antiqua" w:cs="Arial"/>
        </w:rPr>
        <w:t>owever so far as disposal is concerned I find that this is a matter which requires a fresh hearing.  It is appropriate that this hearing be in the First-tier Tribunal.  I therefore remit this matter to the First-tier Tribunal</w:t>
      </w:r>
      <w:r w:rsidR="00897F65">
        <w:rPr>
          <w:rFonts w:ascii="Book Antiqua" w:hAnsi="Book Antiqua" w:cs="Arial"/>
        </w:rPr>
        <w:t xml:space="preserve"> (not Judge Callow)</w:t>
      </w:r>
      <w:r>
        <w:rPr>
          <w:rFonts w:ascii="Book Antiqua" w:hAnsi="Book Antiqua" w:cs="Arial"/>
        </w:rPr>
        <w:t xml:space="preserve"> for a fresh hearing with nothing preserved from the original decision.  </w:t>
      </w:r>
    </w:p>
    <w:p w:rsidR="00DF3870" w:rsidRDefault="00DF3870" w:rsidP="00AD0850">
      <w:pPr>
        <w:spacing w:before="240"/>
        <w:jc w:val="both"/>
        <w:rPr>
          <w:rFonts w:ascii="Book Antiqua" w:hAnsi="Book Antiqua" w:cs="Arial"/>
          <w:b/>
          <w:u w:val="single"/>
        </w:rPr>
      </w:pPr>
    </w:p>
    <w:p w:rsidR="00AD0850" w:rsidRDefault="00AD0850" w:rsidP="00AD0850">
      <w:pPr>
        <w:spacing w:before="240"/>
        <w:jc w:val="both"/>
        <w:rPr>
          <w:rFonts w:ascii="Book Antiqua" w:hAnsi="Book Antiqua" w:cs="Arial"/>
        </w:rPr>
      </w:pPr>
      <w:bookmarkStart w:id="1" w:name="_GoBack"/>
      <w:bookmarkEnd w:id="1"/>
      <w:r w:rsidRPr="00073E80">
        <w:rPr>
          <w:rFonts w:ascii="Book Antiqua" w:hAnsi="Book Antiqua" w:cs="Arial"/>
          <w:b/>
          <w:u w:val="single"/>
        </w:rPr>
        <w:t>Notice of Decision</w:t>
      </w:r>
    </w:p>
    <w:p w:rsidR="00AD0850" w:rsidRDefault="00AD0850" w:rsidP="00E943B7">
      <w:pPr>
        <w:numPr>
          <w:ilvl w:val="0"/>
          <w:numId w:val="3"/>
        </w:numPr>
        <w:spacing w:before="240"/>
        <w:jc w:val="both"/>
        <w:rPr>
          <w:rFonts w:ascii="Book Antiqua" w:hAnsi="Book Antiqua" w:cs="Arial"/>
        </w:rPr>
      </w:pPr>
      <w:r>
        <w:rPr>
          <w:rFonts w:ascii="Book Antiqua" w:hAnsi="Book Antiqua" w:cs="Arial"/>
        </w:rPr>
        <w:t>The Secretary of State’s appeal is allowed to the extent that the decision of the First-tier Tribunal promulgated on 30</w:t>
      </w:r>
      <w:r w:rsidRPr="00AD0850">
        <w:rPr>
          <w:rFonts w:ascii="Book Antiqua" w:hAnsi="Book Antiqua" w:cs="Arial"/>
          <w:vertAlign w:val="superscript"/>
        </w:rPr>
        <w:t>th</w:t>
      </w:r>
      <w:r>
        <w:rPr>
          <w:rFonts w:ascii="Book Antiqua" w:hAnsi="Book Antiqua" w:cs="Arial"/>
        </w:rPr>
        <w:t xml:space="preserve"> August 2017 is set aside for material error.  The matter is remitted to the First-tier Tribunal for that Tribunal to remake the decision.  The re-hearing should be before a judge other than Judge Callow.  </w:t>
      </w:r>
    </w:p>
    <w:p w:rsidR="00073E80" w:rsidRPr="00AD0850" w:rsidRDefault="00073E80" w:rsidP="00073E80">
      <w:pPr>
        <w:numPr>
          <w:ilvl w:val="0"/>
          <w:numId w:val="3"/>
        </w:numPr>
        <w:spacing w:before="240"/>
        <w:jc w:val="both"/>
        <w:rPr>
          <w:rFonts w:ascii="Book Antiqua" w:hAnsi="Book Antiqua" w:cs="Arial"/>
        </w:rPr>
      </w:pPr>
      <w:r w:rsidRPr="00AD0850">
        <w:rPr>
          <w:rFonts w:ascii="Book Antiqua" w:hAnsi="Book Antiqua" w:cs="Arial"/>
        </w:rPr>
        <w:t>No anonymity direction is made.</w:t>
      </w:r>
    </w:p>
    <w:p w:rsidR="00E76309" w:rsidRPr="00C01D77" w:rsidRDefault="00E76309" w:rsidP="000369F5">
      <w:pPr>
        <w:tabs>
          <w:tab w:val="left" w:pos="2520"/>
        </w:tabs>
        <w:jc w:val="both"/>
        <w:rPr>
          <w:rFonts w:ascii="Book Antiqua" w:hAnsi="Book Antiqua" w:cs="Arial"/>
        </w:rPr>
      </w:pPr>
    </w:p>
    <w:p w:rsidR="000369F5" w:rsidRPr="00C01D77" w:rsidRDefault="000369F5" w:rsidP="000369F5">
      <w:pPr>
        <w:tabs>
          <w:tab w:val="left" w:pos="2520"/>
        </w:tabs>
        <w:jc w:val="both"/>
        <w:rPr>
          <w:rFonts w:ascii="Book Antiqua" w:hAnsi="Book Antiqua" w:cs="Arial"/>
        </w:rPr>
      </w:pPr>
    </w:p>
    <w:p w:rsidR="00E51376" w:rsidRPr="00C01D77" w:rsidRDefault="00E51376" w:rsidP="000369F5">
      <w:pPr>
        <w:tabs>
          <w:tab w:val="left" w:pos="2520"/>
        </w:tabs>
        <w:jc w:val="both"/>
        <w:rPr>
          <w:rFonts w:ascii="Book Antiqua" w:hAnsi="Book Antiqua" w:cs="Arial"/>
        </w:rPr>
      </w:pPr>
    </w:p>
    <w:p w:rsidR="00073E80" w:rsidRDefault="00073E80" w:rsidP="000369F5">
      <w:pPr>
        <w:tabs>
          <w:tab w:val="left" w:pos="2520"/>
        </w:tabs>
        <w:jc w:val="both"/>
        <w:rPr>
          <w:rFonts w:ascii="Book Antiqua" w:hAnsi="Book Antiqua" w:cs="Arial"/>
        </w:rPr>
      </w:pPr>
    </w:p>
    <w:p w:rsidR="001614A1" w:rsidRPr="00C01D77" w:rsidRDefault="001614A1" w:rsidP="000369F5">
      <w:pPr>
        <w:tabs>
          <w:tab w:val="left" w:pos="2520"/>
        </w:tabs>
        <w:jc w:val="both"/>
        <w:rPr>
          <w:rFonts w:ascii="Book Antiqua" w:hAnsi="Book Antiqua" w:cs="Arial"/>
        </w:rPr>
      </w:pPr>
    </w:p>
    <w:p w:rsidR="001F2716" w:rsidRPr="00C01D77" w:rsidRDefault="006E3C90" w:rsidP="000369F5">
      <w:pPr>
        <w:tabs>
          <w:tab w:val="left" w:pos="2520"/>
        </w:tabs>
        <w:jc w:val="both"/>
        <w:rPr>
          <w:rFonts w:ascii="Book Antiqua" w:hAnsi="Book Antiqua" w:cs="Arial"/>
        </w:rPr>
      </w:pPr>
      <w:r w:rsidRPr="00C01D77">
        <w:rPr>
          <w:rFonts w:ascii="Book Antiqua" w:hAnsi="Book Antiqua" w:cs="Arial"/>
        </w:rPr>
        <w:t>Signed</w:t>
      </w:r>
      <w:r w:rsidRPr="00C01D77">
        <w:rPr>
          <w:rFonts w:ascii="Book Antiqua" w:hAnsi="Book Antiqua" w:cs="Arial"/>
        </w:rPr>
        <w:tab/>
      </w:r>
      <w:r w:rsidR="001614A1">
        <w:rPr>
          <w:rFonts w:ascii="Book Antiqua" w:hAnsi="Book Antiqua" w:cs="Arial"/>
        </w:rPr>
        <w:t>C E Roberts</w:t>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001F2716" w:rsidRPr="00C01D77">
        <w:rPr>
          <w:rFonts w:ascii="Book Antiqua" w:hAnsi="Book Antiqua" w:cs="Arial"/>
        </w:rPr>
        <w:t>Date</w:t>
      </w:r>
      <w:r w:rsidR="001614A1">
        <w:rPr>
          <w:rFonts w:ascii="Book Antiqua" w:hAnsi="Book Antiqua" w:cs="Arial"/>
        </w:rPr>
        <w:tab/>
      </w:r>
      <w:r w:rsidR="001614A1">
        <w:rPr>
          <w:rFonts w:ascii="Book Antiqua" w:hAnsi="Book Antiqua" w:cs="Arial"/>
        </w:rPr>
        <w:tab/>
        <w:t>12 September 2018</w:t>
      </w:r>
    </w:p>
    <w:p w:rsidR="001F2716" w:rsidRPr="00C01D77" w:rsidRDefault="001F2716" w:rsidP="000369F5">
      <w:pPr>
        <w:tabs>
          <w:tab w:val="left" w:pos="2520"/>
        </w:tabs>
        <w:jc w:val="both"/>
        <w:rPr>
          <w:rFonts w:ascii="Book Antiqua" w:hAnsi="Book Antiqua" w:cs="Arial"/>
        </w:rPr>
      </w:pPr>
    </w:p>
    <w:p w:rsidR="001F2716" w:rsidRPr="00C01D77" w:rsidRDefault="001F2716" w:rsidP="000369F5">
      <w:pPr>
        <w:tabs>
          <w:tab w:val="left" w:pos="2520"/>
        </w:tabs>
        <w:jc w:val="both"/>
        <w:rPr>
          <w:rFonts w:ascii="Book Antiqua" w:hAnsi="Book Antiqua" w:cs="Arial"/>
        </w:rPr>
      </w:pPr>
    </w:p>
    <w:p w:rsidR="005B7789" w:rsidRPr="00C01D77" w:rsidRDefault="00635C47" w:rsidP="000C2924">
      <w:pPr>
        <w:tabs>
          <w:tab w:val="left" w:pos="2520"/>
        </w:tabs>
        <w:jc w:val="both"/>
        <w:rPr>
          <w:rFonts w:ascii="Book Antiqua" w:hAnsi="Book Antiqua" w:cs="Arial"/>
        </w:rPr>
      </w:pPr>
      <w:r>
        <w:rPr>
          <w:rFonts w:ascii="Book Antiqua" w:hAnsi="Book Antiqua" w:cs="Arial"/>
        </w:rPr>
        <w:t xml:space="preserve">Deputy </w:t>
      </w:r>
      <w:r w:rsidR="00C61C08">
        <w:rPr>
          <w:rFonts w:ascii="Book Antiqua" w:hAnsi="Book Antiqua" w:cs="Arial"/>
        </w:rPr>
        <w:t>Upper Tribunal</w:t>
      </w:r>
      <w:r w:rsidR="00AC5CF6" w:rsidRPr="00C01D77">
        <w:rPr>
          <w:rFonts w:ascii="Book Antiqua" w:hAnsi="Book Antiqua" w:cs="Arial"/>
        </w:rPr>
        <w:t xml:space="preserve"> Judge</w:t>
      </w:r>
      <w:r w:rsidR="00825478" w:rsidRPr="00C01D77">
        <w:rPr>
          <w:rFonts w:ascii="Book Antiqua" w:hAnsi="Book Antiqua" w:cs="Arial"/>
        </w:rPr>
        <w:t xml:space="preserve"> Roberts</w:t>
      </w:r>
      <w:r w:rsidR="006B6451" w:rsidRPr="00C01D77">
        <w:rPr>
          <w:rFonts w:ascii="Book Antiqua" w:hAnsi="Book Antiqua" w:cs="Arial"/>
        </w:rPr>
        <w:t xml:space="preserve"> </w:t>
      </w:r>
    </w:p>
    <w:p w:rsidR="005B7789" w:rsidRPr="00C01D77" w:rsidRDefault="005B7789" w:rsidP="000369F5">
      <w:pPr>
        <w:tabs>
          <w:tab w:val="left" w:pos="2520"/>
        </w:tabs>
        <w:jc w:val="both"/>
        <w:rPr>
          <w:rFonts w:ascii="Book Antiqua" w:hAnsi="Book Antiqua" w:cs="Arial"/>
        </w:rPr>
      </w:pPr>
    </w:p>
    <w:sectPr w:rsidR="005B7789" w:rsidRPr="00C01D77"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49BE" w:rsidRDefault="008F49BE">
      <w:r>
        <w:separator/>
      </w:r>
    </w:p>
  </w:endnote>
  <w:endnote w:type="continuationSeparator" w:id="0">
    <w:p w:rsidR="008F49BE" w:rsidRDefault="008F4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3AF" w:rsidRPr="00C01D77" w:rsidRDefault="00FE7FCA" w:rsidP="00593795">
    <w:pPr>
      <w:pStyle w:val="Footer"/>
      <w:jc w:val="center"/>
      <w:rPr>
        <w:rFonts w:ascii="Book Antiqua" w:hAnsi="Book Antiqua" w:cs="Arial"/>
        <w:sz w:val="16"/>
        <w:szCs w:val="16"/>
      </w:rPr>
    </w:pPr>
    <w:r w:rsidRPr="00C01D77">
      <w:rPr>
        <w:rStyle w:val="PageNumber"/>
        <w:rFonts w:ascii="Book Antiqua" w:hAnsi="Book Antiqua" w:cs="Arial"/>
        <w:sz w:val="16"/>
        <w:szCs w:val="16"/>
      </w:rPr>
      <w:fldChar w:fldCharType="begin"/>
    </w:r>
    <w:r w:rsidR="000133AF" w:rsidRPr="00C01D77">
      <w:rPr>
        <w:rStyle w:val="PageNumber"/>
        <w:rFonts w:ascii="Book Antiqua" w:hAnsi="Book Antiqua" w:cs="Arial"/>
        <w:sz w:val="16"/>
        <w:szCs w:val="16"/>
      </w:rPr>
      <w:instrText xml:space="preserve"> PAGE </w:instrText>
    </w:r>
    <w:r w:rsidRPr="00C01D77">
      <w:rPr>
        <w:rStyle w:val="PageNumber"/>
        <w:rFonts w:ascii="Book Antiqua" w:hAnsi="Book Antiqua" w:cs="Arial"/>
        <w:sz w:val="16"/>
        <w:szCs w:val="16"/>
      </w:rPr>
      <w:fldChar w:fldCharType="separate"/>
    </w:r>
    <w:r w:rsidR="00981AE2">
      <w:rPr>
        <w:rStyle w:val="PageNumber"/>
        <w:rFonts w:ascii="Book Antiqua" w:hAnsi="Book Antiqua" w:cs="Arial"/>
        <w:noProof/>
        <w:sz w:val="16"/>
        <w:szCs w:val="16"/>
      </w:rPr>
      <w:t>5</w:t>
    </w:r>
    <w:r w:rsidRPr="00C01D77">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3AF" w:rsidRPr="00C01D77" w:rsidRDefault="000133AF" w:rsidP="00E51376">
    <w:pPr>
      <w:jc w:val="center"/>
      <w:rPr>
        <w:rFonts w:ascii="Book Antiqua" w:hAnsi="Book Antiqua" w:cs="Arial"/>
        <w:b/>
      </w:rPr>
    </w:pPr>
    <w:r w:rsidRPr="00C01D77">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49BE" w:rsidRDefault="008F49BE">
      <w:r>
        <w:separator/>
      </w:r>
    </w:p>
  </w:footnote>
  <w:footnote w:type="continuationSeparator" w:id="0">
    <w:p w:rsidR="008F49BE" w:rsidRDefault="008F49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3AF" w:rsidRPr="00CF2D54" w:rsidRDefault="000133AF" w:rsidP="00CF2D54">
    <w:pPr>
      <w:tabs>
        <w:tab w:val="right" w:pos="9639"/>
      </w:tabs>
      <w:jc w:val="right"/>
      <w:rPr>
        <w:rFonts w:ascii="Book Antiqua" w:hAnsi="Book Antiqua" w:cs="Arial"/>
        <w:caps/>
        <w:sz w:val="16"/>
        <w:szCs w:val="16"/>
      </w:rPr>
    </w:pPr>
    <w:r w:rsidRPr="00CF2D54">
      <w:rPr>
        <w:rFonts w:ascii="Book Antiqua" w:hAnsi="Book Antiqua" w:cs="Arial"/>
        <w:sz w:val="16"/>
        <w:szCs w:val="16"/>
      </w:rPr>
      <w:t>Appeal Number</w:t>
    </w:r>
    <w:r>
      <w:rPr>
        <w:rFonts w:ascii="Book Antiqua" w:hAnsi="Book Antiqua" w:cs="Arial"/>
        <w:sz w:val="16"/>
        <w:szCs w:val="16"/>
      </w:rPr>
      <w:t>s</w:t>
    </w:r>
    <w:r w:rsidRPr="00CF2D54">
      <w:rPr>
        <w:rFonts w:ascii="Book Antiqua" w:hAnsi="Book Antiqua" w:cs="Arial"/>
        <w:sz w:val="16"/>
        <w:szCs w:val="16"/>
      </w:rPr>
      <w:t xml:space="preserve">: </w:t>
    </w:r>
    <w:r w:rsidRPr="00CF2D54">
      <w:rPr>
        <w:rFonts w:ascii="Book Antiqua" w:hAnsi="Book Antiqua" w:cs="Arial"/>
        <w:caps/>
        <w:sz w:val="16"/>
        <w:szCs w:val="16"/>
      </w:rPr>
      <w:t>IA/01540/2016</w:t>
    </w:r>
  </w:p>
  <w:p w:rsidR="000133AF" w:rsidRPr="00CF2D54" w:rsidRDefault="000133AF" w:rsidP="00CF2D54">
    <w:pPr>
      <w:tabs>
        <w:tab w:val="right" w:pos="9639"/>
      </w:tabs>
      <w:jc w:val="right"/>
      <w:rPr>
        <w:rFonts w:ascii="Book Antiqua" w:hAnsi="Book Antiqua" w:cs="Arial"/>
        <w:sz w:val="16"/>
        <w:szCs w:val="16"/>
      </w:rPr>
    </w:pPr>
    <w:r w:rsidRPr="00CF2D54">
      <w:rPr>
        <w:rFonts w:ascii="Book Antiqua" w:hAnsi="Book Antiqua" w:cs="Arial"/>
        <w:caps/>
        <w:sz w:val="16"/>
        <w:szCs w:val="16"/>
      </w:rPr>
      <w:t>IA/01543/2016</w:t>
    </w:r>
  </w:p>
  <w:p w:rsidR="000133AF" w:rsidRPr="00C01D77" w:rsidRDefault="000133AF"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3AF" w:rsidRPr="00C01D77" w:rsidRDefault="000133AF">
    <w:pPr>
      <w:pStyle w:val="Header"/>
      <w:rPr>
        <w:rFonts w:ascii="Book Antiqua" w:hAnsi="Book Antiqua"/>
      </w:rPr>
    </w:pPr>
    <w:r w:rsidRPr="00C01D77">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C718588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D510024"/>
    <w:multiLevelType w:val="multilevel"/>
    <w:tmpl w:val="94C828E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B2209F"/>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82D"/>
    <w:rsid w:val="00000621"/>
    <w:rsid w:val="000036C2"/>
    <w:rsid w:val="000133AF"/>
    <w:rsid w:val="00021BDB"/>
    <w:rsid w:val="00033D3D"/>
    <w:rsid w:val="00036669"/>
    <w:rsid w:val="000369F5"/>
    <w:rsid w:val="000443D6"/>
    <w:rsid w:val="00045030"/>
    <w:rsid w:val="00071A7E"/>
    <w:rsid w:val="00073E80"/>
    <w:rsid w:val="000746C0"/>
    <w:rsid w:val="00074D1D"/>
    <w:rsid w:val="000873E2"/>
    <w:rsid w:val="00092580"/>
    <w:rsid w:val="000B3B14"/>
    <w:rsid w:val="000B4B02"/>
    <w:rsid w:val="000C2924"/>
    <w:rsid w:val="000C7BD4"/>
    <w:rsid w:val="000D5D94"/>
    <w:rsid w:val="001165A7"/>
    <w:rsid w:val="00122BC1"/>
    <w:rsid w:val="00126C11"/>
    <w:rsid w:val="00151BB7"/>
    <w:rsid w:val="001558E3"/>
    <w:rsid w:val="001614A1"/>
    <w:rsid w:val="00167C41"/>
    <w:rsid w:val="00167D3A"/>
    <w:rsid w:val="001D7D80"/>
    <w:rsid w:val="001F0055"/>
    <w:rsid w:val="001F2716"/>
    <w:rsid w:val="0020133A"/>
    <w:rsid w:val="00207229"/>
    <w:rsid w:val="00207617"/>
    <w:rsid w:val="00215199"/>
    <w:rsid w:val="00261413"/>
    <w:rsid w:val="00283659"/>
    <w:rsid w:val="0029282D"/>
    <w:rsid w:val="002B7E5C"/>
    <w:rsid w:val="002C0AC3"/>
    <w:rsid w:val="002C4E73"/>
    <w:rsid w:val="002D68BF"/>
    <w:rsid w:val="00336CBF"/>
    <w:rsid w:val="003546C8"/>
    <w:rsid w:val="003648C0"/>
    <w:rsid w:val="003A3B81"/>
    <w:rsid w:val="003A7CF2"/>
    <w:rsid w:val="003B1FBF"/>
    <w:rsid w:val="003C5CE5"/>
    <w:rsid w:val="003E267B"/>
    <w:rsid w:val="003E7CD1"/>
    <w:rsid w:val="00402B9E"/>
    <w:rsid w:val="004067C4"/>
    <w:rsid w:val="00423932"/>
    <w:rsid w:val="004249CB"/>
    <w:rsid w:val="0044127D"/>
    <w:rsid w:val="004448DB"/>
    <w:rsid w:val="00446C9A"/>
    <w:rsid w:val="0047262D"/>
    <w:rsid w:val="00477193"/>
    <w:rsid w:val="004A1848"/>
    <w:rsid w:val="004D79CD"/>
    <w:rsid w:val="00507FEC"/>
    <w:rsid w:val="00510F0E"/>
    <w:rsid w:val="005479E1"/>
    <w:rsid w:val="00551122"/>
    <w:rsid w:val="005570FD"/>
    <w:rsid w:val="005575EA"/>
    <w:rsid w:val="00573039"/>
    <w:rsid w:val="0057790C"/>
    <w:rsid w:val="00593795"/>
    <w:rsid w:val="0059486C"/>
    <w:rsid w:val="005A75FF"/>
    <w:rsid w:val="005B7789"/>
    <w:rsid w:val="005C7436"/>
    <w:rsid w:val="005D6B48"/>
    <w:rsid w:val="006071AB"/>
    <w:rsid w:val="00635C47"/>
    <w:rsid w:val="0065791C"/>
    <w:rsid w:val="00690B8A"/>
    <w:rsid w:val="006B6451"/>
    <w:rsid w:val="006D1DFA"/>
    <w:rsid w:val="006D506B"/>
    <w:rsid w:val="006D5EEF"/>
    <w:rsid w:val="006E3C90"/>
    <w:rsid w:val="006F2DF6"/>
    <w:rsid w:val="00704B61"/>
    <w:rsid w:val="0072401A"/>
    <w:rsid w:val="007419A9"/>
    <w:rsid w:val="007421B9"/>
    <w:rsid w:val="00742A8D"/>
    <w:rsid w:val="0074504A"/>
    <w:rsid w:val="007552A9"/>
    <w:rsid w:val="007609A3"/>
    <w:rsid w:val="00761858"/>
    <w:rsid w:val="00767D59"/>
    <w:rsid w:val="00776E97"/>
    <w:rsid w:val="00780FD7"/>
    <w:rsid w:val="007912AD"/>
    <w:rsid w:val="007A6AED"/>
    <w:rsid w:val="007B0824"/>
    <w:rsid w:val="007B4862"/>
    <w:rsid w:val="007B6BD8"/>
    <w:rsid w:val="007D1C7D"/>
    <w:rsid w:val="00825478"/>
    <w:rsid w:val="008303B8"/>
    <w:rsid w:val="00833DCE"/>
    <w:rsid w:val="00853508"/>
    <w:rsid w:val="00871D34"/>
    <w:rsid w:val="00892142"/>
    <w:rsid w:val="00897F65"/>
    <w:rsid w:val="008B270C"/>
    <w:rsid w:val="008C3D3D"/>
    <w:rsid w:val="008C3F45"/>
    <w:rsid w:val="008D4131"/>
    <w:rsid w:val="008D506E"/>
    <w:rsid w:val="008F1932"/>
    <w:rsid w:val="008F294D"/>
    <w:rsid w:val="008F49BE"/>
    <w:rsid w:val="00921062"/>
    <w:rsid w:val="00966ECF"/>
    <w:rsid w:val="00971C2D"/>
    <w:rsid w:val="009727A3"/>
    <w:rsid w:val="00973661"/>
    <w:rsid w:val="00981AE2"/>
    <w:rsid w:val="00987774"/>
    <w:rsid w:val="009A11E8"/>
    <w:rsid w:val="009E57CE"/>
    <w:rsid w:val="009F5220"/>
    <w:rsid w:val="009F7C4D"/>
    <w:rsid w:val="00A12991"/>
    <w:rsid w:val="00A15234"/>
    <w:rsid w:val="00A201AB"/>
    <w:rsid w:val="00A27CF7"/>
    <w:rsid w:val="00A31C8B"/>
    <w:rsid w:val="00A40D60"/>
    <w:rsid w:val="00A53CEB"/>
    <w:rsid w:val="00A62E4B"/>
    <w:rsid w:val="00A845DC"/>
    <w:rsid w:val="00A94D09"/>
    <w:rsid w:val="00A97AEE"/>
    <w:rsid w:val="00AC5CF6"/>
    <w:rsid w:val="00AD0850"/>
    <w:rsid w:val="00AD2CE7"/>
    <w:rsid w:val="00AD7A85"/>
    <w:rsid w:val="00AE256B"/>
    <w:rsid w:val="00AE7547"/>
    <w:rsid w:val="00B02D2F"/>
    <w:rsid w:val="00B144FA"/>
    <w:rsid w:val="00B22F30"/>
    <w:rsid w:val="00B30648"/>
    <w:rsid w:val="00B3524D"/>
    <w:rsid w:val="00B370C1"/>
    <w:rsid w:val="00B40F69"/>
    <w:rsid w:val="00B46616"/>
    <w:rsid w:val="00B61205"/>
    <w:rsid w:val="00B617C4"/>
    <w:rsid w:val="00B626FA"/>
    <w:rsid w:val="00B66E6B"/>
    <w:rsid w:val="00B7040A"/>
    <w:rsid w:val="00B82E13"/>
    <w:rsid w:val="00B86C3D"/>
    <w:rsid w:val="00BD4196"/>
    <w:rsid w:val="00BE6907"/>
    <w:rsid w:val="00BF22CA"/>
    <w:rsid w:val="00C01D77"/>
    <w:rsid w:val="00C22723"/>
    <w:rsid w:val="00C26032"/>
    <w:rsid w:val="00C265B0"/>
    <w:rsid w:val="00C345E1"/>
    <w:rsid w:val="00C41A4A"/>
    <w:rsid w:val="00C61C08"/>
    <w:rsid w:val="00CB6E35"/>
    <w:rsid w:val="00CE1A46"/>
    <w:rsid w:val="00CF253F"/>
    <w:rsid w:val="00CF2D54"/>
    <w:rsid w:val="00CF56B4"/>
    <w:rsid w:val="00D20F09"/>
    <w:rsid w:val="00D22636"/>
    <w:rsid w:val="00D40FD9"/>
    <w:rsid w:val="00D53769"/>
    <w:rsid w:val="00D74AFC"/>
    <w:rsid w:val="00D85C13"/>
    <w:rsid w:val="00D91BE3"/>
    <w:rsid w:val="00D94AFC"/>
    <w:rsid w:val="00DA7BDC"/>
    <w:rsid w:val="00DB70AE"/>
    <w:rsid w:val="00DB7231"/>
    <w:rsid w:val="00DC3C33"/>
    <w:rsid w:val="00DD5071"/>
    <w:rsid w:val="00DD5C39"/>
    <w:rsid w:val="00DE26AF"/>
    <w:rsid w:val="00DE582D"/>
    <w:rsid w:val="00DE7DB7"/>
    <w:rsid w:val="00DF0231"/>
    <w:rsid w:val="00DF3870"/>
    <w:rsid w:val="00DF72EE"/>
    <w:rsid w:val="00E00A0A"/>
    <w:rsid w:val="00E07F57"/>
    <w:rsid w:val="00E32098"/>
    <w:rsid w:val="00E333C1"/>
    <w:rsid w:val="00E37E1E"/>
    <w:rsid w:val="00E50BCE"/>
    <w:rsid w:val="00E51376"/>
    <w:rsid w:val="00E61292"/>
    <w:rsid w:val="00E76309"/>
    <w:rsid w:val="00E77C4D"/>
    <w:rsid w:val="00E81D01"/>
    <w:rsid w:val="00E943B7"/>
    <w:rsid w:val="00ED0846"/>
    <w:rsid w:val="00EE45D8"/>
    <w:rsid w:val="00F004CD"/>
    <w:rsid w:val="00F22EDA"/>
    <w:rsid w:val="00F27E26"/>
    <w:rsid w:val="00F33E0E"/>
    <w:rsid w:val="00F41153"/>
    <w:rsid w:val="00F44EF3"/>
    <w:rsid w:val="00F92C21"/>
    <w:rsid w:val="00FA5644"/>
    <w:rsid w:val="00FB7E80"/>
    <w:rsid w:val="00FC28B0"/>
    <w:rsid w:val="00FE3C37"/>
    <w:rsid w:val="00FE7FCA"/>
    <w:rsid w:val="00FF33E0"/>
    <w:rsid w:val="00FF45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05432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3209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1650</Words>
  <Characters>8101</Characters>
  <Application>Microsoft Office Word</Application>
  <DocSecurity>0</DocSecurity>
  <Lines>67</Lines>
  <Paragraphs>19</Paragraphs>
  <ScaleCrop>false</ScaleCrop>
  <Company/>
  <LinksUpToDate>false</LinksUpToDate>
  <CharactersWithSpaces>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2018-10-03T11:46:00Z</dcterms:created>
  <dcterms:modified xsi:type="dcterms:W3CDTF">2018-10-03T11:46:00Z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