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745C" w:rsidRDefault="00C0745C" w:rsidP="00C0745C">
      <w:pPr>
        <w:jc w:val="center"/>
        <w:rPr>
          <w:rFonts w:ascii="Book Antiqua" w:hAnsi="Book Antiqua" w:cs="Arial"/>
          <w:color w:val="000000"/>
        </w:rPr>
      </w:pPr>
      <w:r>
        <w:rPr>
          <w:noProof/>
        </w:rPr>
        <w:drawing>
          <wp:inline distT="0" distB="0" distL="0" distR="0">
            <wp:extent cx="1493520" cy="1137920"/>
            <wp:effectExtent l="25400" t="0" r="508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44226B" w:rsidRPr="00F97703" w:rsidRDefault="0044226B" w:rsidP="0044226B">
      <w:pPr>
        <w:rPr>
          <w:rFonts w:ascii="Book Antiqua" w:hAnsi="Book Antiqua" w:cs="Arial"/>
          <w:color w:val="000000"/>
          <w:sz w:val="16"/>
          <w:szCs w:val="16"/>
        </w:rPr>
      </w:pPr>
    </w:p>
    <w:p w:rsidR="00C0745C" w:rsidRPr="00F97703" w:rsidRDefault="00C0745C" w:rsidP="00C0745C">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C0745C" w:rsidRDefault="00C0745C" w:rsidP="00C0745C">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Hlk520121070"/>
      <w:bookmarkStart w:id="1" w:name="_GoBack"/>
      <w:r w:rsidR="003356A1">
        <w:rPr>
          <w:rFonts w:ascii="Book Antiqua" w:hAnsi="Book Antiqua" w:cs="Arial"/>
          <w:caps/>
          <w:color w:val="000000"/>
        </w:rPr>
        <w:t>IA/01829/2016</w:t>
      </w:r>
      <w:r>
        <w:rPr>
          <w:rFonts w:ascii="Book Antiqua" w:hAnsi="Book Antiqua" w:cs="Arial"/>
          <w:caps/>
          <w:color w:val="000000"/>
        </w:rPr>
        <w:t xml:space="preserve"> </w:t>
      </w:r>
      <w:bookmarkEnd w:id="0"/>
      <w:bookmarkEnd w:id="1"/>
    </w:p>
    <w:p w:rsidR="00C0745C" w:rsidRPr="00F97703" w:rsidRDefault="00C0745C" w:rsidP="00C0745C">
      <w:pPr>
        <w:jc w:val="center"/>
        <w:rPr>
          <w:rFonts w:ascii="Book Antiqua" w:hAnsi="Book Antiqua" w:cs="Arial"/>
          <w:color w:val="000000"/>
        </w:rPr>
      </w:pPr>
    </w:p>
    <w:p w:rsidR="0044226B" w:rsidRDefault="0044226B" w:rsidP="00C0745C">
      <w:pPr>
        <w:jc w:val="center"/>
        <w:rPr>
          <w:rFonts w:ascii="Book Antiqua" w:hAnsi="Book Antiqua" w:cs="Arial"/>
          <w:b/>
          <w:color w:val="000000"/>
          <w:u w:val="single"/>
        </w:rPr>
      </w:pPr>
    </w:p>
    <w:p w:rsidR="00C0745C" w:rsidRDefault="00C0745C" w:rsidP="00C0745C">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44226B" w:rsidRPr="00F97703" w:rsidRDefault="0044226B" w:rsidP="00C0745C">
      <w:pPr>
        <w:jc w:val="center"/>
        <w:rPr>
          <w:rFonts w:ascii="Book Antiqua" w:hAnsi="Book Antiqua" w:cs="Arial"/>
          <w:b/>
          <w:color w:val="000000"/>
          <w:u w:val="single"/>
        </w:rPr>
      </w:pPr>
    </w:p>
    <w:p w:rsidR="00C0745C" w:rsidRPr="00F97703" w:rsidRDefault="00C0745C" w:rsidP="00C0745C">
      <w:pPr>
        <w:jc w:val="center"/>
        <w:rPr>
          <w:rFonts w:ascii="Book Antiqua" w:hAnsi="Book Antiqua" w:cs="Arial"/>
          <w:b/>
          <w:u w:val="single"/>
        </w:rPr>
      </w:pPr>
    </w:p>
    <w:tbl>
      <w:tblPr>
        <w:tblW w:w="0" w:type="auto"/>
        <w:tblLook w:val="01E0" w:firstRow="1" w:lastRow="1" w:firstColumn="1" w:lastColumn="1" w:noHBand="0" w:noVBand="0"/>
      </w:tblPr>
      <w:tblGrid>
        <w:gridCol w:w="4237"/>
        <w:gridCol w:w="748"/>
        <w:gridCol w:w="3315"/>
      </w:tblGrid>
      <w:tr w:rsidR="00C0745C" w:rsidRPr="00B22334" w:rsidTr="005C58A6">
        <w:tc>
          <w:tcPr>
            <w:tcW w:w="4361" w:type="dxa"/>
          </w:tcPr>
          <w:p w:rsidR="00C0745C" w:rsidRPr="00B22334" w:rsidRDefault="00C0745C" w:rsidP="003356A1">
            <w:pPr>
              <w:jc w:val="both"/>
              <w:rPr>
                <w:rFonts w:ascii="Book Antiqua" w:hAnsi="Book Antiqua" w:cs="Arial"/>
                <w:b/>
              </w:rPr>
            </w:pPr>
            <w:r w:rsidRPr="00B22334">
              <w:rPr>
                <w:rFonts w:ascii="Book Antiqua" w:hAnsi="Book Antiqua" w:cs="Arial"/>
                <w:b/>
              </w:rPr>
              <w:t xml:space="preserve">Heard at </w:t>
            </w:r>
            <w:r w:rsidR="003356A1">
              <w:rPr>
                <w:rFonts w:ascii="Book Antiqua" w:hAnsi="Book Antiqua" w:cs="Arial"/>
                <w:b/>
              </w:rPr>
              <w:t>Field House</w:t>
            </w:r>
          </w:p>
        </w:tc>
        <w:tc>
          <w:tcPr>
            <w:tcW w:w="4155" w:type="dxa"/>
            <w:gridSpan w:val="2"/>
          </w:tcPr>
          <w:p w:rsidR="00C0745C" w:rsidRPr="00B22334" w:rsidRDefault="005C58A6" w:rsidP="0078297B">
            <w:pPr>
              <w:jc w:val="both"/>
              <w:rPr>
                <w:rFonts w:ascii="Book Antiqua" w:hAnsi="Book Antiqua" w:cs="Arial"/>
                <w:b/>
                <w:color w:val="000000"/>
              </w:rPr>
            </w:pPr>
            <w:r>
              <w:rPr>
                <w:rFonts w:ascii="Book Antiqua" w:hAnsi="Book Antiqua" w:cs="Arial"/>
                <w:b/>
                <w:color w:val="000000"/>
              </w:rPr>
              <w:t xml:space="preserve">Decision and Reasons Promulgated </w:t>
            </w:r>
          </w:p>
        </w:tc>
      </w:tr>
      <w:tr w:rsidR="00C0745C" w:rsidRPr="00B22334" w:rsidTr="005C58A6">
        <w:tc>
          <w:tcPr>
            <w:tcW w:w="4361" w:type="dxa"/>
          </w:tcPr>
          <w:p w:rsidR="00C0745C" w:rsidRPr="00B22334" w:rsidRDefault="00C0745C" w:rsidP="0078297B">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2</w:t>
            </w:r>
            <w:r w:rsidR="003356A1">
              <w:rPr>
                <w:rFonts w:ascii="Book Antiqua" w:hAnsi="Book Antiqua" w:cs="Arial"/>
                <w:b/>
              </w:rPr>
              <w:t>9</w:t>
            </w:r>
            <w:r>
              <w:rPr>
                <w:rFonts w:ascii="Book Antiqua" w:hAnsi="Book Antiqua" w:cs="Arial"/>
                <w:b/>
              </w:rPr>
              <w:t xml:space="preserve"> June 2018</w:t>
            </w:r>
          </w:p>
        </w:tc>
        <w:tc>
          <w:tcPr>
            <w:tcW w:w="4155" w:type="dxa"/>
            <w:gridSpan w:val="2"/>
          </w:tcPr>
          <w:p w:rsidR="00C0745C" w:rsidRPr="00B22334" w:rsidRDefault="00C0745C" w:rsidP="0078297B">
            <w:pPr>
              <w:jc w:val="both"/>
              <w:rPr>
                <w:rFonts w:ascii="Book Antiqua" w:hAnsi="Book Antiqua" w:cs="Arial"/>
                <w:b/>
              </w:rPr>
            </w:pPr>
            <w:r>
              <w:rPr>
                <w:rFonts w:ascii="Book Antiqua" w:hAnsi="Book Antiqua" w:cs="Arial"/>
                <w:b/>
              </w:rPr>
              <w:t xml:space="preserve"> </w:t>
            </w:r>
            <w:r w:rsidR="005C58A6">
              <w:rPr>
                <w:rFonts w:ascii="Book Antiqua" w:hAnsi="Book Antiqua" w:cs="Arial"/>
                <w:b/>
              </w:rPr>
              <w:t xml:space="preserve">On 27 July 2018 </w:t>
            </w:r>
          </w:p>
        </w:tc>
      </w:tr>
      <w:tr w:rsidR="00C0745C" w:rsidRPr="00B22334" w:rsidTr="005C58A6">
        <w:tc>
          <w:tcPr>
            <w:tcW w:w="5124" w:type="dxa"/>
            <w:gridSpan w:val="2"/>
          </w:tcPr>
          <w:p w:rsidR="00C0745C" w:rsidRPr="00B22334" w:rsidRDefault="00C0745C" w:rsidP="0078297B">
            <w:pPr>
              <w:jc w:val="both"/>
              <w:rPr>
                <w:rFonts w:ascii="Book Antiqua" w:hAnsi="Book Antiqua" w:cs="Arial"/>
                <w:b/>
              </w:rPr>
            </w:pPr>
          </w:p>
        </w:tc>
        <w:tc>
          <w:tcPr>
            <w:tcW w:w="3392" w:type="dxa"/>
          </w:tcPr>
          <w:p w:rsidR="00C0745C" w:rsidRPr="00B22334" w:rsidRDefault="00C0745C" w:rsidP="0078297B">
            <w:pPr>
              <w:jc w:val="both"/>
              <w:rPr>
                <w:rFonts w:ascii="Book Antiqua" w:hAnsi="Book Antiqua" w:cs="Arial"/>
                <w:b/>
              </w:rPr>
            </w:pPr>
          </w:p>
        </w:tc>
      </w:tr>
    </w:tbl>
    <w:p w:rsidR="00C0745C" w:rsidRPr="00F97703" w:rsidRDefault="00C0745C" w:rsidP="00C0745C">
      <w:pPr>
        <w:jc w:val="center"/>
        <w:rPr>
          <w:rFonts w:ascii="Book Antiqua" w:hAnsi="Book Antiqua" w:cs="Arial"/>
        </w:rPr>
      </w:pPr>
    </w:p>
    <w:p w:rsidR="00C0745C" w:rsidRPr="00F97703" w:rsidRDefault="00C0745C" w:rsidP="00C0745C">
      <w:pPr>
        <w:jc w:val="center"/>
        <w:rPr>
          <w:rFonts w:ascii="Book Antiqua" w:hAnsi="Book Antiqua" w:cs="Arial"/>
          <w:b/>
        </w:rPr>
      </w:pPr>
      <w:r w:rsidRPr="00F97703">
        <w:rPr>
          <w:rFonts w:ascii="Book Antiqua" w:hAnsi="Book Antiqua" w:cs="Arial"/>
          <w:b/>
        </w:rPr>
        <w:t>Before</w:t>
      </w:r>
    </w:p>
    <w:p w:rsidR="00C0745C" w:rsidRPr="00F97703" w:rsidRDefault="00C0745C" w:rsidP="00C0745C">
      <w:pPr>
        <w:jc w:val="center"/>
        <w:rPr>
          <w:rFonts w:ascii="Book Antiqua" w:hAnsi="Book Antiqua" w:cs="Arial"/>
          <w:b/>
        </w:rPr>
      </w:pPr>
    </w:p>
    <w:p w:rsidR="00C0745C" w:rsidRDefault="00C0745C" w:rsidP="00C0745C">
      <w:pPr>
        <w:jc w:val="center"/>
        <w:rPr>
          <w:rFonts w:ascii="Book Antiqua" w:hAnsi="Book Antiqua" w:cs="Arial"/>
          <w:b/>
          <w:color w:val="000000"/>
        </w:rPr>
      </w:pPr>
      <w:r>
        <w:rPr>
          <w:rFonts w:ascii="Book Antiqua" w:hAnsi="Book Antiqua" w:cs="Arial"/>
          <w:b/>
          <w:color w:val="000000"/>
        </w:rPr>
        <w:t>DEPUTY UPPER TRIBUNAL JUDGE CHAPMAN</w:t>
      </w:r>
    </w:p>
    <w:p w:rsidR="00C0745C" w:rsidRDefault="00C0745C" w:rsidP="00C0745C">
      <w:pPr>
        <w:jc w:val="center"/>
        <w:rPr>
          <w:rFonts w:ascii="Book Antiqua" w:hAnsi="Book Antiqua" w:cs="Arial"/>
          <w:b/>
        </w:rPr>
      </w:pPr>
    </w:p>
    <w:p w:rsidR="0044226B" w:rsidRPr="00F97703" w:rsidRDefault="0044226B" w:rsidP="00C0745C">
      <w:pPr>
        <w:jc w:val="center"/>
        <w:rPr>
          <w:rFonts w:ascii="Book Antiqua" w:hAnsi="Book Antiqua" w:cs="Arial"/>
          <w:b/>
        </w:rPr>
      </w:pPr>
    </w:p>
    <w:p w:rsidR="00C0745C" w:rsidRDefault="00C0745C" w:rsidP="00C0745C">
      <w:pPr>
        <w:jc w:val="center"/>
        <w:rPr>
          <w:rFonts w:ascii="Book Antiqua" w:hAnsi="Book Antiqua" w:cs="Arial"/>
          <w:b/>
        </w:rPr>
      </w:pPr>
      <w:r w:rsidRPr="00F97703">
        <w:rPr>
          <w:rFonts w:ascii="Book Antiqua" w:hAnsi="Book Antiqua" w:cs="Arial"/>
          <w:b/>
        </w:rPr>
        <w:t>Between</w:t>
      </w:r>
    </w:p>
    <w:p w:rsidR="00C0745C" w:rsidRDefault="00C0745C" w:rsidP="00C0745C">
      <w:pPr>
        <w:jc w:val="center"/>
        <w:rPr>
          <w:rFonts w:ascii="Book Antiqua" w:hAnsi="Book Antiqua" w:cs="Arial"/>
          <w:b/>
        </w:rPr>
      </w:pPr>
    </w:p>
    <w:p w:rsidR="00C0745C" w:rsidRDefault="00404A83" w:rsidP="00C0745C">
      <w:pPr>
        <w:jc w:val="center"/>
        <w:rPr>
          <w:rFonts w:ascii="Book Antiqua" w:hAnsi="Book Antiqua" w:cs="Arial"/>
          <w:b/>
        </w:rPr>
      </w:pPr>
      <w:r>
        <w:rPr>
          <w:rFonts w:ascii="Book Antiqua" w:hAnsi="Book Antiqua" w:cs="Arial"/>
          <w:b/>
        </w:rPr>
        <w:t>MR</w:t>
      </w:r>
      <w:r w:rsidR="00C0745C">
        <w:rPr>
          <w:rFonts w:ascii="Book Antiqua" w:hAnsi="Book Antiqua" w:cs="Arial"/>
          <w:b/>
        </w:rPr>
        <w:t xml:space="preserve"> </w:t>
      </w:r>
      <w:r w:rsidR="003356A1">
        <w:rPr>
          <w:rFonts w:ascii="Book Antiqua" w:hAnsi="Book Antiqua" w:cs="Arial"/>
          <w:b/>
        </w:rPr>
        <w:t>SYED KASHIF RAZA</w:t>
      </w:r>
    </w:p>
    <w:p w:rsidR="005C58A6" w:rsidRDefault="005C58A6" w:rsidP="00C0745C">
      <w:pPr>
        <w:jc w:val="center"/>
        <w:rPr>
          <w:rFonts w:ascii="Book Antiqua" w:hAnsi="Book Antiqua" w:cs="Arial"/>
          <w:b/>
        </w:rPr>
      </w:pPr>
      <w:r>
        <w:rPr>
          <w:rFonts w:ascii="Book Antiqua" w:hAnsi="Book Antiqua" w:cs="Arial"/>
          <w:b/>
        </w:rPr>
        <w:t xml:space="preserve">(anonymity direction not made) </w:t>
      </w:r>
    </w:p>
    <w:p w:rsidR="00C0745C" w:rsidRPr="00F97703" w:rsidRDefault="00C0745C" w:rsidP="00C0745C">
      <w:pPr>
        <w:jc w:val="center"/>
        <w:rPr>
          <w:rFonts w:ascii="Book Antiqua" w:hAnsi="Book Antiqua" w:cs="Arial"/>
          <w:u w:val="single"/>
        </w:rPr>
      </w:pP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F97703">
        <w:rPr>
          <w:rFonts w:ascii="Book Antiqua" w:hAnsi="Book Antiqua" w:cs="Arial"/>
          <w:u w:val="single"/>
        </w:rPr>
        <w:t>Appellant</w:t>
      </w:r>
    </w:p>
    <w:p w:rsidR="00C0745C" w:rsidRPr="00F97703" w:rsidRDefault="00C0745C" w:rsidP="00C0745C">
      <w:pPr>
        <w:jc w:val="center"/>
        <w:rPr>
          <w:rFonts w:ascii="Book Antiqua" w:hAnsi="Book Antiqua" w:cs="Arial"/>
          <w:b/>
        </w:rPr>
      </w:pPr>
      <w:r>
        <w:rPr>
          <w:rFonts w:ascii="Book Antiqua" w:hAnsi="Book Antiqua" w:cs="Arial"/>
          <w:b/>
        </w:rPr>
        <w:t>v</w:t>
      </w:r>
    </w:p>
    <w:p w:rsidR="00C0745C" w:rsidRPr="00F97703" w:rsidRDefault="00C0745C" w:rsidP="00C0745C">
      <w:pPr>
        <w:jc w:val="center"/>
        <w:rPr>
          <w:rFonts w:ascii="Book Antiqua" w:hAnsi="Book Antiqua" w:cs="Arial"/>
          <w:b/>
        </w:rPr>
      </w:pPr>
    </w:p>
    <w:p w:rsidR="00C0745C" w:rsidRPr="00F97703" w:rsidRDefault="00100E44" w:rsidP="00C0745C">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00C0745C"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00C0745C">
        <w:rPr>
          <w:rFonts w:ascii="Book Antiqua" w:hAnsi="Book Antiqua" w:cs="Arial"/>
          <w:b/>
          <w:noProof/>
        </w:rPr>
        <w:t>THE SECRETARY OF STATE FOR THE HOME DEPARTMENT</w:t>
      </w:r>
      <w:r w:rsidRPr="00F97703">
        <w:rPr>
          <w:rFonts w:ascii="Book Antiqua" w:hAnsi="Book Antiqua" w:cs="Arial"/>
          <w:b/>
        </w:rPr>
        <w:fldChar w:fldCharType="end"/>
      </w:r>
      <w:bookmarkEnd w:id="2"/>
    </w:p>
    <w:p w:rsidR="00C0745C" w:rsidRPr="00F97703" w:rsidRDefault="00C0745C" w:rsidP="00C0745C">
      <w:pPr>
        <w:jc w:val="right"/>
        <w:rPr>
          <w:rFonts w:ascii="Book Antiqua" w:hAnsi="Book Antiqua" w:cs="Arial"/>
          <w:u w:val="single"/>
        </w:rPr>
      </w:pPr>
      <w:r w:rsidRPr="00F97703">
        <w:rPr>
          <w:rFonts w:ascii="Book Antiqua" w:hAnsi="Book Antiqua" w:cs="Arial"/>
          <w:u w:val="single"/>
        </w:rPr>
        <w:t>Respondent</w:t>
      </w:r>
    </w:p>
    <w:p w:rsidR="0044226B" w:rsidRDefault="0044226B" w:rsidP="00C0745C">
      <w:pPr>
        <w:rPr>
          <w:rFonts w:ascii="Book Antiqua" w:hAnsi="Book Antiqua" w:cs="Arial"/>
          <w:b/>
          <w:u w:val="single"/>
        </w:rPr>
      </w:pPr>
    </w:p>
    <w:p w:rsidR="0044226B" w:rsidRDefault="0044226B" w:rsidP="00C0745C">
      <w:pPr>
        <w:rPr>
          <w:rFonts w:ascii="Book Antiqua" w:hAnsi="Book Antiqua" w:cs="Arial"/>
          <w:b/>
          <w:u w:val="single"/>
        </w:rPr>
      </w:pPr>
    </w:p>
    <w:p w:rsidR="00C0745C" w:rsidRPr="00F97703" w:rsidRDefault="00C0745C" w:rsidP="00C0745C">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C0745C" w:rsidRDefault="00C0745C" w:rsidP="00C0745C">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3356A1">
        <w:rPr>
          <w:rFonts w:ascii="Book Antiqua" w:hAnsi="Book Antiqua" w:cs="Arial"/>
        </w:rPr>
        <w:t>No appearance</w:t>
      </w:r>
    </w:p>
    <w:p w:rsidR="00C0745C" w:rsidRPr="00F97703" w:rsidRDefault="00C0745C" w:rsidP="00C0745C">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3356A1">
        <w:rPr>
          <w:rFonts w:ascii="Book Antiqua" w:hAnsi="Book Antiqua" w:cs="Arial"/>
        </w:rPr>
        <w:t>Mr. N. Bramble</w:t>
      </w:r>
      <w:r>
        <w:rPr>
          <w:rFonts w:ascii="Book Antiqua" w:hAnsi="Book Antiqua" w:cs="Arial"/>
        </w:rPr>
        <w:t xml:space="preserve">, Senior Home Office Presenting </w:t>
      </w:r>
      <w:r w:rsidR="003356A1">
        <w:rPr>
          <w:rFonts w:ascii="Book Antiqua" w:hAnsi="Book Antiqua" w:cs="Arial"/>
        </w:rPr>
        <w:tab/>
      </w:r>
      <w:r>
        <w:rPr>
          <w:rFonts w:ascii="Book Antiqua" w:hAnsi="Book Antiqua" w:cs="Arial"/>
        </w:rPr>
        <w:t>Officer</w:t>
      </w:r>
    </w:p>
    <w:p w:rsidR="00C0745C" w:rsidRDefault="00C0745C" w:rsidP="00C0745C"/>
    <w:p w:rsidR="00C0745C" w:rsidRDefault="00C0745C" w:rsidP="00C0745C">
      <w:r>
        <w:tab/>
      </w:r>
      <w:r>
        <w:tab/>
      </w:r>
      <w:r>
        <w:tab/>
        <w:t>____________________________________________</w:t>
      </w:r>
    </w:p>
    <w:p w:rsidR="00C0745C" w:rsidRDefault="00C0745C" w:rsidP="00C0745C"/>
    <w:p w:rsidR="00C0745C" w:rsidRPr="00726454" w:rsidRDefault="00C0745C" w:rsidP="00C0745C">
      <w:pPr>
        <w:rPr>
          <w:rFonts w:ascii="Book Antiqua" w:hAnsi="Book Antiqua"/>
          <w:b/>
        </w:rPr>
      </w:pPr>
      <w:r>
        <w:tab/>
      </w:r>
      <w:r>
        <w:tab/>
      </w:r>
      <w:r>
        <w:tab/>
        <w:t xml:space="preserve">        </w:t>
      </w:r>
      <w:r w:rsidRPr="00726454">
        <w:rPr>
          <w:rFonts w:ascii="Book Antiqua" w:hAnsi="Book Antiqua"/>
          <w:b/>
        </w:rPr>
        <w:t>DECISION AND REASONS</w:t>
      </w:r>
    </w:p>
    <w:p w:rsidR="00C0745C" w:rsidRDefault="00C0745C" w:rsidP="00C0745C">
      <w:pPr>
        <w:rPr>
          <w:rFonts w:ascii="Book Antiqua" w:hAnsi="Book Antiqua"/>
        </w:rPr>
      </w:pPr>
      <w:r>
        <w:rPr>
          <w:rFonts w:ascii="Book Antiqua" w:hAnsi="Book Antiqua"/>
        </w:rPr>
        <w:tab/>
      </w:r>
      <w:r>
        <w:rPr>
          <w:rFonts w:ascii="Book Antiqua" w:hAnsi="Book Antiqua"/>
        </w:rPr>
        <w:tab/>
      </w:r>
      <w:r>
        <w:rPr>
          <w:rFonts w:ascii="Book Antiqua" w:hAnsi="Book Antiqua"/>
        </w:rPr>
        <w:tab/>
        <w:t>________________________________</w:t>
      </w:r>
    </w:p>
    <w:p w:rsidR="003356A1" w:rsidRDefault="003356A1"/>
    <w:p w:rsidR="0078297B" w:rsidRDefault="003356A1">
      <w:pPr>
        <w:rPr>
          <w:rFonts w:ascii="Book Antiqua" w:hAnsi="Book Antiqua"/>
        </w:rPr>
      </w:pPr>
      <w:r>
        <w:rPr>
          <w:rFonts w:ascii="Book Antiqua" w:hAnsi="Book Antiqua"/>
        </w:rPr>
        <w:t>1. The Appellant is a national of Pakistan, born on 26 October 1990. He arrived in the United Kingdom on 9 May 2011 with entry clearance as a Tier 4 student</w:t>
      </w:r>
      <w:r w:rsidR="0081726A">
        <w:rPr>
          <w:rFonts w:ascii="Book Antiqua" w:hAnsi="Book Antiqua"/>
        </w:rPr>
        <w:t>,</w:t>
      </w:r>
      <w:r>
        <w:rPr>
          <w:rFonts w:ascii="Book Antiqua" w:hAnsi="Book Antiqua"/>
        </w:rPr>
        <w:t xml:space="preserve"> which was subsequently extended until 14 August 2014. </w:t>
      </w:r>
      <w:r w:rsidR="0078297B">
        <w:rPr>
          <w:rFonts w:ascii="Book Antiqua" w:hAnsi="Book Antiqua"/>
        </w:rPr>
        <w:t xml:space="preserve">He made an </w:t>
      </w:r>
      <w:r w:rsidR="0078297B">
        <w:rPr>
          <w:rFonts w:ascii="Book Antiqua" w:hAnsi="Book Antiqua"/>
        </w:rPr>
        <w:lastRenderedPageBreak/>
        <w:t xml:space="preserve">time application to extend his leave, which was refused in a decision dated 24 March 2016, on the basis that no CAS had been assigned to him. </w:t>
      </w:r>
    </w:p>
    <w:p w:rsidR="0078297B" w:rsidRDefault="0078297B">
      <w:pPr>
        <w:rPr>
          <w:rFonts w:ascii="Book Antiqua" w:hAnsi="Book Antiqua"/>
        </w:rPr>
      </w:pPr>
    </w:p>
    <w:p w:rsidR="008A171F" w:rsidRDefault="0078297B">
      <w:pPr>
        <w:rPr>
          <w:rFonts w:ascii="Book Antiqua" w:hAnsi="Book Antiqua"/>
        </w:rPr>
      </w:pPr>
      <w:r>
        <w:rPr>
          <w:rFonts w:ascii="Book Antiqua" w:hAnsi="Book Antiqua"/>
        </w:rPr>
        <w:t xml:space="preserve">2. The Appellant appealed against this decision and his appeal came before First tier Tribunal Judge Bennett for hearing on 25 August 2017. The Judge noted at [6] that notice of hearing had been sent to the Appellant but the notice had been returned by the Post Office on the basis that the Appellant was not known at that address. The Judge then proceeded with the appeal on the basis that it was in the interests of justice </w:t>
      </w:r>
      <w:r w:rsidR="00B264E5">
        <w:rPr>
          <w:rFonts w:ascii="Book Antiqua" w:hAnsi="Book Antiqua"/>
        </w:rPr>
        <w:t>to determine the appeal in the absence of the appellant</w:t>
      </w:r>
      <w:r w:rsidR="0081726A">
        <w:rPr>
          <w:rFonts w:ascii="Book Antiqua" w:hAnsi="Book Antiqua"/>
        </w:rPr>
        <w:t xml:space="preserve"> [9] bearing in mind he had not provided a CAS and so was unable to meet the requirements of Appendix A of paragraph 245ZX of the Rules.</w:t>
      </w:r>
    </w:p>
    <w:p w:rsidR="008A171F" w:rsidRDefault="008A171F">
      <w:pPr>
        <w:rPr>
          <w:rFonts w:ascii="Book Antiqua" w:hAnsi="Book Antiqua"/>
        </w:rPr>
      </w:pPr>
    </w:p>
    <w:p w:rsidR="00FF7C3E" w:rsidRDefault="008A171F">
      <w:pPr>
        <w:rPr>
          <w:rFonts w:ascii="Book Antiqua" w:hAnsi="Book Antiqua"/>
        </w:rPr>
      </w:pPr>
      <w:r>
        <w:rPr>
          <w:rFonts w:ascii="Book Antiqua" w:hAnsi="Book Antiqua"/>
        </w:rPr>
        <w:t>3.</w:t>
      </w:r>
      <w:r w:rsidR="00F77817">
        <w:rPr>
          <w:rFonts w:ascii="Book Antiqua" w:hAnsi="Book Antiqua"/>
        </w:rPr>
        <w:t xml:space="preserve"> </w:t>
      </w:r>
      <w:r w:rsidR="00FF7C3E">
        <w:rPr>
          <w:rFonts w:ascii="Book Antiqua" w:hAnsi="Book Antiqua"/>
        </w:rPr>
        <w:t xml:space="preserve">In a decision and reasons promulgated on 6 September 2017, the Judge dismissed the appeal. Permission to appeal was sought, out of time, on the basis that the Judge erred in proceeding with the appeal, given that the notice of hearing had been sent to the wrong address. </w:t>
      </w:r>
    </w:p>
    <w:p w:rsidR="00FF7C3E" w:rsidRDefault="00FF7C3E">
      <w:pPr>
        <w:rPr>
          <w:rFonts w:ascii="Book Antiqua" w:hAnsi="Book Antiqua"/>
        </w:rPr>
      </w:pPr>
    </w:p>
    <w:p w:rsidR="008A171F" w:rsidRDefault="00FF7C3E">
      <w:pPr>
        <w:rPr>
          <w:rFonts w:ascii="Book Antiqua" w:hAnsi="Book Antiqua"/>
        </w:rPr>
      </w:pPr>
      <w:r>
        <w:rPr>
          <w:rFonts w:ascii="Book Antiqua" w:hAnsi="Book Antiqua"/>
        </w:rPr>
        <w:t>4. In a decision dated 3 May 2018, First tier Tribunal Judge Lambert granted permission to appeal and time was extended to admit the application out of time, on the basis that service of the decision and reasons had been to the wrong address.</w:t>
      </w:r>
    </w:p>
    <w:p w:rsidR="008A171F" w:rsidRDefault="008A171F">
      <w:pPr>
        <w:rPr>
          <w:rFonts w:ascii="Book Antiqua" w:hAnsi="Book Antiqua"/>
        </w:rPr>
      </w:pPr>
    </w:p>
    <w:p w:rsidR="008A171F" w:rsidRDefault="008A171F">
      <w:pPr>
        <w:rPr>
          <w:rFonts w:ascii="Book Antiqua" w:hAnsi="Book Antiqua"/>
        </w:rPr>
      </w:pPr>
      <w:r>
        <w:rPr>
          <w:rFonts w:ascii="Book Antiqua" w:hAnsi="Book Antiqua"/>
          <w:i/>
        </w:rPr>
        <w:t>Hearing</w:t>
      </w:r>
    </w:p>
    <w:p w:rsidR="008A171F" w:rsidRDefault="008A171F">
      <w:pPr>
        <w:rPr>
          <w:rFonts w:ascii="Book Antiqua" w:hAnsi="Book Antiqua"/>
        </w:rPr>
      </w:pPr>
    </w:p>
    <w:p w:rsidR="008A171F" w:rsidRDefault="008A171F" w:rsidP="008A171F">
      <w:pPr>
        <w:rPr>
          <w:rFonts w:ascii="Book Antiqua" w:hAnsi="Book Antiqua"/>
        </w:rPr>
      </w:pPr>
      <w:r>
        <w:rPr>
          <w:rFonts w:ascii="Book Antiqua" w:hAnsi="Book Antiqua"/>
        </w:rPr>
        <w:t xml:space="preserve">5. </w:t>
      </w:r>
      <w:r w:rsidR="00F77817">
        <w:rPr>
          <w:rFonts w:ascii="Book Antiqua" w:hAnsi="Book Antiqua"/>
        </w:rPr>
        <w:t>At the hearing before me, there was n</w:t>
      </w:r>
      <w:r>
        <w:rPr>
          <w:rFonts w:ascii="Book Antiqua" w:hAnsi="Book Antiqua"/>
        </w:rPr>
        <w:t>o appearance by or on behalf of the A</w:t>
      </w:r>
      <w:r w:rsidR="00F77817">
        <w:rPr>
          <w:rFonts w:ascii="Book Antiqua" w:hAnsi="Book Antiqua"/>
        </w:rPr>
        <w:t>ppellant. His</w:t>
      </w:r>
      <w:r>
        <w:rPr>
          <w:rFonts w:ascii="Book Antiqua" w:hAnsi="Book Antiqua"/>
        </w:rPr>
        <w:t xml:space="preserve"> sol</w:t>
      </w:r>
      <w:r w:rsidR="00F77817">
        <w:rPr>
          <w:rFonts w:ascii="Book Antiqua" w:hAnsi="Book Antiqua"/>
        </w:rPr>
        <w:t>icitor</w:t>
      </w:r>
      <w:r>
        <w:rPr>
          <w:rFonts w:ascii="Book Antiqua" w:hAnsi="Book Antiqua"/>
        </w:rPr>
        <w:t xml:space="preserve">s </w:t>
      </w:r>
      <w:r w:rsidR="00F77817">
        <w:rPr>
          <w:rFonts w:ascii="Book Antiqua" w:hAnsi="Book Antiqua"/>
        </w:rPr>
        <w:t>sent a letter dated 12 June 20</w:t>
      </w:r>
      <w:r>
        <w:rPr>
          <w:rFonts w:ascii="Book Antiqua" w:hAnsi="Book Antiqua"/>
        </w:rPr>
        <w:t xml:space="preserve">18 asking for </w:t>
      </w:r>
      <w:r w:rsidR="00F77817">
        <w:rPr>
          <w:rFonts w:ascii="Book Antiqua" w:hAnsi="Book Antiqua"/>
        </w:rPr>
        <w:t xml:space="preserve">the appeal to be considered </w:t>
      </w:r>
      <w:r>
        <w:rPr>
          <w:rFonts w:ascii="Book Antiqua" w:hAnsi="Book Antiqua"/>
        </w:rPr>
        <w:t>on the papers.</w:t>
      </w:r>
    </w:p>
    <w:p w:rsidR="008A171F" w:rsidRDefault="008A171F" w:rsidP="008A171F">
      <w:pPr>
        <w:rPr>
          <w:rFonts w:ascii="Book Antiqua" w:hAnsi="Book Antiqua"/>
        </w:rPr>
      </w:pPr>
    </w:p>
    <w:p w:rsidR="008A171F" w:rsidRDefault="00FF7C3E" w:rsidP="008A171F">
      <w:pPr>
        <w:rPr>
          <w:rFonts w:ascii="Book Antiqua" w:hAnsi="Book Antiqua"/>
        </w:rPr>
      </w:pPr>
      <w:r>
        <w:rPr>
          <w:rFonts w:ascii="Book Antiqua" w:hAnsi="Book Antiqua"/>
        </w:rPr>
        <w:t xml:space="preserve">6. Given that the appeal had been listed for hearing, albeit the Appellant’s solicitors had requested a decision on the papers, I heard submissions from </w:t>
      </w:r>
    </w:p>
    <w:p w:rsidR="008A171F" w:rsidRDefault="008A171F" w:rsidP="008A171F">
      <w:pPr>
        <w:rPr>
          <w:rFonts w:ascii="Book Antiqua" w:hAnsi="Book Antiqua"/>
        </w:rPr>
      </w:pPr>
      <w:r>
        <w:rPr>
          <w:rFonts w:ascii="Book Antiqua" w:hAnsi="Book Antiqua"/>
        </w:rPr>
        <w:t>Mr Bramble</w:t>
      </w:r>
      <w:r w:rsidR="00FF7C3E">
        <w:rPr>
          <w:rFonts w:ascii="Book Antiqua" w:hAnsi="Book Antiqua"/>
        </w:rPr>
        <w:t>. He submitted that there had been a p</w:t>
      </w:r>
      <w:r>
        <w:rPr>
          <w:rFonts w:ascii="Book Antiqua" w:hAnsi="Book Antiqua"/>
        </w:rPr>
        <w:t>rocedural error re</w:t>
      </w:r>
      <w:r w:rsidR="00FF7C3E">
        <w:rPr>
          <w:rFonts w:ascii="Book Antiqua" w:hAnsi="Book Antiqua"/>
        </w:rPr>
        <w:t>garding the Appellant’s</w:t>
      </w:r>
      <w:r>
        <w:rPr>
          <w:rFonts w:ascii="Book Antiqua" w:hAnsi="Book Antiqua"/>
        </w:rPr>
        <w:t xml:space="preserve"> address and notification </w:t>
      </w:r>
      <w:r w:rsidR="00FF7C3E">
        <w:rPr>
          <w:rFonts w:ascii="Book Antiqua" w:hAnsi="Book Antiqua"/>
        </w:rPr>
        <w:t xml:space="preserve">of the hearing date, </w:t>
      </w:r>
      <w:r>
        <w:rPr>
          <w:rFonts w:ascii="Book Antiqua" w:hAnsi="Book Antiqua"/>
        </w:rPr>
        <w:t xml:space="preserve">however </w:t>
      </w:r>
      <w:r w:rsidR="00FF7C3E">
        <w:rPr>
          <w:rFonts w:ascii="Book Antiqua" w:hAnsi="Book Antiqua"/>
        </w:rPr>
        <w:t xml:space="preserve">this was </w:t>
      </w:r>
      <w:r>
        <w:rPr>
          <w:rFonts w:ascii="Book Antiqua" w:hAnsi="Book Antiqua"/>
        </w:rPr>
        <w:t xml:space="preserve">not material as the Judge had documents giving sufficient details to determine the appeal. </w:t>
      </w:r>
      <w:r w:rsidR="00FF7C3E">
        <w:rPr>
          <w:rFonts w:ascii="Book Antiqua" w:hAnsi="Book Antiqua"/>
        </w:rPr>
        <w:t xml:space="preserve">The </w:t>
      </w:r>
      <w:r>
        <w:rPr>
          <w:rFonts w:ascii="Book Antiqua" w:hAnsi="Book Antiqua"/>
        </w:rPr>
        <w:t xml:space="preserve">Judge at [8] found </w:t>
      </w:r>
      <w:r w:rsidR="00FF7C3E">
        <w:rPr>
          <w:rFonts w:ascii="Book Antiqua" w:hAnsi="Book Antiqua"/>
        </w:rPr>
        <w:t>it was a “</w:t>
      </w:r>
      <w:r>
        <w:rPr>
          <w:rFonts w:ascii="Book Antiqua" w:hAnsi="Book Antiqua"/>
        </w:rPr>
        <w:t>new style</w:t>
      </w:r>
      <w:r w:rsidR="00FF7C3E">
        <w:rPr>
          <w:rFonts w:ascii="Book Antiqua" w:hAnsi="Book Antiqua"/>
        </w:rPr>
        <w:t>” appeal but it was</w:t>
      </w:r>
      <w:r>
        <w:rPr>
          <w:rFonts w:ascii="Book Antiqua" w:hAnsi="Book Antiqua"/>
        </w:rPr>
        <w:t xml:space="preserve"> open to him to consider whether the decision was not in accordance with the Rules</w:t>
      </w:r>
      <w:r w:rsidR="00FF7C3E">
        <w:rPr>
          <w:rFonts w:ascii="Book Antiqua" w:hAnsi="Book Antiqua"/>
        </w:rPr>
        <w:t>,</w:t>
      </w:r>
      <w:r>
        <w:rPr>
          <w:rFonts w:ascii="Book Antiqua" w:hAnsi="Book Antiqua"/>
        </w:rPr>
        <w:t xml:space="preserve"> due to </w:t>
      </w:r>
      <w:r w:rsidR="00FF7C3E">
        <w:rPr>
          <w:rFonts w:ascii="Book Antiqua" w:hAnsi="Book Antiqua"/>
        </w:rPr>
        <w:t xml:space="preserve">the </w:t>
      </w:r>
      <w:r>
        <w:rPr>
          <w:rFonts w:ascii="Book Antiqua" w:hAnsi="Book Antiqua"/>
        </w:rPr>
        <w:t>dates of application and decision.</w:t>
      </w:r>
    </w:p>
    <w:p w:rsidR="008A171F" w:rsidRDefault="008A171F" w:rsidP="008A171F">
      <w:pPr>
        <w:rPr>
          <w:rFonts w:ascii="Book Antiqua" w:hAnsi="Book Antiqua"/>
        </w:rPr>
      </w:pPr>
    </w:p>
    <w:p w:rsidR="008A171F" w:rsidRDefault="00FF7C3E" w:rsidP="008A171F">
      <w:pPr>
        <w:rPr>
          <w:rFonts w:ascii="Book Antiqua" w:hAnsi="Book Antiqua"/>
        </w:rPr>
      </w:pPr>
      <w:r>
        <w:rPr>
          <w:rFonts w:ascii="Book Antiqua" w:hAnsi="Book Antiqua"/>
        </w:rPr>
        <w:t xml:space="preserve">7. </w:t>
      </w:r>
      <w:r w:rsidR="00D97CE9">
        <w:rPr>
          <w:rFonts w:ascii="Book Antiqua" w:hAnsi="Book Antiqua"/>
        </w:rPr>
        <w:t xml:space="preserve">He submitted that the </w:t>
      </w:r>
      <w:r w:rsidR="008A171F">
        <w:rPr>
          <w:rFonts w:ascii="Book Antiqua" w:hAnsi="Book Antiqua"/>
        </w:rPr>
        <w:t>Judge went on to consider the issue of the CAS at [16] and found he did not qualify under the Rules. He did consider the case under Art</w:t>
      </w:r>
      <w:r w:rsidR="00D97CE9">
        <w:rPr>
          <w:rFonts w:ascii="Book Antiqua" w:hAnsi="Book Antiqua"/>
        </w:rPr>
        <w:t>icle</w:t>
      </w:r>
      <w:r w:rsidR="008A171F">
        <w:rPr>
          <w:rFonts w:ascii="Book Antiqua" w:hAnsi="Book Antiqua"/>
        </w:rPr>
        <w:t xml:space="preserve"> 8 and this is not challenged in the grounds of appeal.</w:t>
      </w:r>
    </w:p>
    <w:p w:rsidR="00404A83" w:rsidRDefault="008A171F" w:rsidP="008A171F">
      <w:pPr>
        <w:rPr>
          <w:rFonts w:ascii="Book Antiqua" w:hAnsi="Book Antiqua"/>
        </w:rPr>
      </w:pPr>
      <w:r>
        <w:rPr>
          <w:rFonts w:ascii="Book Antiqua" w:hAnsi="Book Antiqua"/>
        </w:rPr>
        <w:t>With regards to Art</w:t>
      </w:r>
      <w:r w:rsidR="00D97CE9">
        <w:rPr>
          <w:rFonts w:ascii="Book Antiqua" w:hAnsi="Book Antiqua"/>
        </w:rPr>
        <w:t>icle</w:t>
      </w:r>
      <w:r>
        <w:rPr>
          <w:rFonts w:ascii="Book Antiqua" w:hAnsi="Book Antiqua"/>
        </w:rPr>
        <w:t xml:space="preserve"> 8</w:t>
      </w:r>
      <w:r w:rsidR="00D97CE9">
        <w:rPr>
          <w:rFonts w:ascii="Book Antiqua" w:hAnsi="Book Antiqua"/>
        </w:rPr>
        <w:t>, there was nothing new, in that, although there was a</w:t>
      </w:r>
      <w:r>
        <w:rPr>
          <w:rFonts w:ascii="Book Antiqua" w:hAnsi="Book Antiqua"/>
        </w:rPr>
        <w:t xml:space="preserve"> bundle from </w:t>
      </w:r>
      <w:r w:rsidR="00D97CE9">
        <w:rPr>
          <w:rFonts w:ascii="Book Antiqua" w:hAnsi="Book Antiqua"/>
        </w:rPr>
        <w:t xml:space="preserve">the </w:t>
      </w:r>
      <w:r>
        <w:rPr>
          <w:rFonts w:ascii="Book Antiqua" w:hAnsi="Book Antiqua"/>
        </w:rPr>
        <w:t>A</w:t>
      </w:r>
      <w:r w:rsidR="00D97CE9">
        <w:rPr>
          <w:rFonts w:ascii="Book Antiqua" w:hAnsi="Book Antiqua"/>
        </w:rPr>
        <w:t>ppellant</w:t>
      </w:r>
      <w:r>
        <w:rPr>
          <w:rFonts w:ascii="Book Antiqua" w:hAnsi="Book Antiqua"/>
        </w:rPr>
        <w:t>’s sol</w:t>
      </w:r>
      <w:r w:rsidR="00D97CE9">
        <w:rPr>
          <w:rFonts w:ascii="Book Antiqua" w:hAnsi="Book Antiqua"/>
        </w:rPr>
        <w:t>icitors, there is</w:t>
      </w:r>
      <w:r>
        <w:rPr>
          <w:rFonts w:ascii="Book Antiqua" w:hAnsi="Book Antiqua"/>
        </w:rPr>
        <w:t xml:space="preserve"> nothing </w:t>
      </w:r>
      <w:r w:rsidR="00D97CE9">
        <w:rPr>
          <w:rFonts w:ascii="Book Antiqua" w:hAnsi="Book Antiqua"/>
        </w:rPr>
        <w:t>in there concerning</w:t>
      </w:r>
      <w:r>
        <w:rPr>
          <w:rFonts w:ascii="Book Antiqua" w:hAnsi="Book Antiqua"/>
        </w:rPr>
        <w:t xml:space="preserve"> art</w:t>
      </w:r>
      <w:r w:rsidR="00D97CE9">
        <w:rPr>
          <w:rFonts w:ascii="Book Antiqua" w:hAnsi="Book Antiqua"/>
        </w:rPr>
        <w:t>icle 8. Thus, he submitted, there is n</w:t>
      </w:r>
      <w:r>
        <w:rPr>
          <w:rFonts w:ascii="Book Antiqua" w:hAnsi="Book Antiqua"/>
        </w:rPr>
        <w:t xml:space="preserve">o point </w:t>
      </w:r>
      <w:r w:rsidR="00D97CE9">
        <w:rPr>
          <w:rFonts w:ascii="Book Antiqua" w:hAnsi="Book Antiqua"/>
        </w:rPr>
        <w:t xml:space="preserve">in </w:t>
      </w:r>
      <w:r>
        <w:rPr>
          <w:rFonts w:ascii="Book Antiqua" w:hAnsi="Book Antiqua"/>
        </w:rPr>
        <w:t xml:space="preserve">sending </w:t>
      </w:r>
      <w:r w:rsidR="00D97CE9">
        <w:rPr>
          <w:rFonts w:ascii="Book Antiqua" w:hAnsi="Book Antiqua"/>
        </w:rPr>
        <w:t>the appeal back to the First tier Tribunal. The</w:t>
      </w:r>
      <w:r>
        <w:rPr>
          <w:rFonts w:ascii="Book Antiqua" w:hAnsi="Book Antiqua"/>
        </w:rPr>
        <w:t xml:space="preserve"> A</w:t>
      </w:r>
      <w:r w:rsidR="00D97CE9">
        <w:rPr>
          <w:rFonts w:ascii="Book Antiqua" w:hAnsi="Book Antiqua"/>
        </w:rPr>
        <w:t>ppellant</w:t>
      </w:r>
      <w:r>
        <w:rPr>
          <w:rFonts w:ascii="Book Antiqua" w:hAnsi="Book Antiqua"/>
        </w:rPr>
        <w:t xml:space="preserve"> through his sol</w:t>
      </w:r>
      <w:r w:rsidR="00D97CE9">
        <w:rPr>
          <w:rFonts w:ascii="Book Antiqua" w:hAnsi="Book Antiqua"/>
        </w:rPr>
        <w:t>icitor</w:t>
      </w:r>
      <w:r>
        <w:rPr>
          <w:rFonts w:ascii="Book Antiqua" w:hAnsi="Book Antiqua"/>
        </w:rPr>
        <w:t>s requested that the ap</w:t>
      </w:r>
      <w:r w:rsidR="00D97CE9">
        <w:rPr>
          <w:rFonts w:ascii="Book Antiqua" w:hAnsi="Book Antiqua"/>
        </w:rPr>
        <w:t>peal be decided on the papers and n</w:t>
      </w:r>
      <w:r>
        <w:rPr>
          <w:rFonts w:ascii="Book Antiqua" w:hAnsi="Book Antiqua"/>
        </w:rPr>
        <w:t xml:space="preserve">either </w:t>
      </w:r>
      <w:r w:rsidR="00D97CE9">
        <w:rPr>
          <w:rFonts w:ascii="Book Antiqua" w:hAnsi="Book Antiqua"/>
        </w:rPr>
        <w:t xml:space="preserve">the </w:t>
      </w:r>
      <w:r>
        <w:rPr>
          <w:rFonts w:ascii="Book Antiqua" w:hAnsi="Book Antiqua"/>
        </w:rPr>
        <w:t>A</w:t>
      </w:r>
      <w:r w:rsidR="00D97CE9">
        <w:rPr>
          <w:rFonts w:ascii="Book Antiqua" w:hAnsi="Book Antiqua"/>
        </w:rPr>
        <w:t>ppellant</w:t>
      </w:r>
      <w:r>
        <w:rPr>
          <w:rFonts w:ascii="Book Antiqua" w:hAnsi="Book Antiqua"/>
        </w:rPr>
        <w:t xml:space="preserve"> nor his sol</w:t>
      </w:r>
      <w:r w:rsidR="00D97CE9">
        <w:rPr>
          <w:rFonts w:ascii="Book Antiqua" w:hAnsi="Book Antiqua"/>
        </w:rPr>
        <w:t>icitor</w:t>
      </w:r>
      <w:r>
        <w:rPr>
          <w:rFonts w:ascii="Book Antiqua" w:hAnsi="Book Antiqua"/>
        </w:rPr>
        <w:t xml:space="preserve">s </w:t>
      </w:r>
      <w:r>
        <w:rPr>
          <w:rFonts w:ascii="Book Antiqua" w:hAnsi="Book Antiqua"/>
        </w:rPr>
        <w:lastRenderedPageBreak/>
        <w:t>attended</w:t>
      </w:r>
      <w:r w:rsidR="00D97CE9">
        <w:rPr>
          <w:rFonts w:ascii="Book Antiqua" w:hAnsi="Book Antiqua"/>
        </w:rPr>
        <w:t xml:space="preserve"> the hearing </w:t>
      </w:r>
      <w:r w:rsidR="00404A83">
        <w:rPr>
          <w:rFonts w:ascii="Book Antiqua" w:hAnsi="Book Antiqua"/>
        </w:rPr>
        <w:t xml:space="preserve">today </w:t>
      </w:r>
      <w:r w:rsidR="00D97CE9">
        <w:rPr>
          <w:rFonts w:ascii="Book Antiqua" w:hAnsi="Book Antiqua"/>
        </w:rPr>
        <w:t>before the Upper Tribunal</w:t>
      </w:r>
      <w:r w:rsidR="00404A83">
        <w:rPr>
          <w:rFonts w:ascii="Book Antiqua" w:hAnsi="Book Antiqua"/>
        </w:rPr>
        <w:t>, although they were clearly on notice of it.</w:t>
      </w:r>
    </w:p>
    <w:p w:rsidR="00404A83" w:rsidRDefault="00404A83" w:rsidP="008A171F">
      <w:pPr>
        <w:rPr>
          <w:rFonts w:ascii="Book Antiqua" w:hAnsi="Book Antiqua"/>
        </w:rPr>
      </w:pPr>
      <w:r>
        <w:rPr>
          <w:rFonts w:ascii="Book Antiqua" w:hAnsi="Book Antiqua"/>
          <w:i/>
        </w:rPr>
        <w:t>Findings</w:t>
      </w:r>
    </w:p>
    <w:p w:rsidR="00404A83" w:rsidRDefault="00404A83" w:rsidP="008A171F">
      <w:pPr>
        <w:rPr>
          <w:rFonts w:ascii="Book Antiqua" w:hAnsi="Book Antiqua"/>
        </w:rPr>
      </w:pPr>
    </w:p>
    <w:p w:rsidR="000002D1" w:rsidRDefault="00404A83" w:rsidP="008A171F">
      <w:pPr>
        <w:rPr>
          <w:rFonts w:ascii="Book Antiqua" w:hAnsi="Book Antiqua"/>
        </w:rPr>
      </w:pPr>
      <w:r>
        <w:rPr>
          <w:rFonts w:ascii="Book Antiqua" w:hAnsi="Book Antiqua"/>
        </w:rPr>
        <w:t xml:space="preserve">8. </w:t>
      </w:r>
      <w:r w:rsidR="008A171F">
        <w:rPr>
          <w:rFonts w:ascii="Book Antiqua" w:hAnsi="Book Antiqua"/>
        </w:rPr>
        <w:t xml:space="preserve"> </w:t>
      </w:r>
      <w:r w:rsidR="001F36E4">
        <w:rPr>
          <w:rFonts w:ascii="Book Antiqua" w:hAnsi="Book Antiqua"/>
        </w:rPr>
        <w:t>I have</w:t>
      </w:r>
      <w:r w:rsidR="00DE2398">
        <w:rPr>
          <w:rFonts w:ascii="Book Antiqua" w:hAnsi="Book Antiqua"/>
        </w:rPr>
        <w:t xml:space="preserve"> concluded that the decision of the First tier Tribunal should be set aside on the basis that it was procedurally unfair as the Appellant did not receive the notice of hearing because, due to administrative error, it was sent to the wrong address. I have reached this conclusion reluctantly because the standard directions which were sent to the parties on 14 May 2018 </w:t>
      </w:r>
      <w:r w:rsidR="000002D1">
        <w:rPr>
          <w:rFonts w:ascii="Book Antiqua" w:hAnsi="Book Antiqua"/>
        </w:rPr>
        <w:t>provide at [4] that “</w:t>
      </w:r>
      <w:r w:rsidR="000002D1" w:rsidRPr="000002D1">
        <w:rPr>
          <w:rFonts w:ascii="Book Antiqua" w:hAnsi="Book Antiqua"/>
          <w:i/>
        </w:rPr>
        <w:t xml:space="preserve">there is a presumption that, in the event of the Tribunal deciding that the decision of the </w:t>
      </w:r>
      <w:proofErr w:type="spellStart"/>
      <w:r w:rsidR="000002D1" w:rsidRPr="000002D1">
        <w:rPr>
          <w:rFonts w:ascii="Book Antiqua" w:hAnsi="Book Antiqua"/>
          <w:i/>
        </w:rPr>
        <w:t>FtT</w:t>
      </w:r>
      <w:proofErr w:type="spellEnd"/>
      <w:r w:rsidR="000002D1" w:rsidRPr="000002D1">
        <w:rPr>
          <w:rFonts w:ascii="Book Antiqua" w:hAnsi="Book Antiqua"/>
          <w:i/>
        </w:rPr>
        <w:t xml:space="preserve"> is to be set aside as erroneous in law, the re-making of the decision will take place at the same hearing</w:t>
      </w:r>
      <w:r w:rsidR="000002D1">
        <w:rPr>
          <w:rFonts w:ascii="Book Antiqua" w:hAnsi="Book Antiqua"/>
        </w:rPr>
        <w:t xml:space="preserve">.” Despite the fact that there is no reason why the Appellant and his solicitors should not have received these directions, the Upper Tribunal was requested to consider the appeal on the papers. </w:t>
      </w:r>
    </w:p>
    <w:p w:rsidR="000002D1" w:rsidRDefault="000002D1" w:rsidP="008A171F">
      <w:pPr>
        <w:rPr>
          <w:rFonts w:ascii="Book Antiqua" w:hAnsi="Book Antiqua"/>
        </w:rPr>
      </w:pPr>
    </w:p>
    <w:p w:rsidR="00794ED0" w:rsidRDefault="000002D1" w:rsidP="009D13E3">
      <w:pPr>
        <w:spacing w:after="240"/>
        <w:rPr>
          <w:rFonts w:ascii="Book Antiqua" w:hAnsi="Book Antiqua"/>
        </w:rPr>
      </w:pPr>
      <w:r>
        <w:rPr>
          <w:rFonts w:ascii="Book Antiqua" w:hAnsi="Book Antiqua"/>
        </w:rPr>
        <w:t xml:space="preserve">9. However, I have borne in mind the </w:t>
      </w:r>
      <w:r w:rsidR="00794ED0">
        <w:rPr>
          <w:rFonts w:ascii="Book Antiqua" w:hAnsi="Book Antiqua"/>
        </w:rPr>
        <w:t>revised Practice Statements in respect of this chamber of the Tribunal, which provides:</w:t>
      </w:r>
    </w:p>
    <w:p w:rsidR="00794ED0" w:rsidRPr="00794ED0" w:rsidRDefault="00794ED0" w:rsidP="009D13E3">
      <w:pPr>
        <w:pStyle w:val="NormalWeb"/>
        <w:spacing w:before="2" w:after="2"/>
        <w:ind w:left="567"/>
        <w:rPr>
          <w:rFonts w:ascii="Book Antiqua" w:hAnsi="Book Antiqua"/>
          <w:i/>
        </w:rPr>
      </w:pPr>
      <w:r w:rsidRPr="00794ED0">
        <w:rPr>
          <w:rFonts w:ascii="Book Antiqua" w:hAnsi="Book Antiqua"/>
          <w:b/>
          <w:bCs/>
          <w:i/>
          <w:iCs/>
          <w:sz w:val="24"/>
          <w:szCs w:val="24"/>
        </w:rPr>
        <w:t xml:space="preserve">“7. Disposal of appeals in Upper Tribunal </w:t>
      </w:r>
    </w:p>
    <w:p w:rsidR="009D13E3" w:rsidRDefault="009D13E3" w:rsidP="009D13E3">
      <w:pPr>
        <w:pStyle w:val="NormalWeb"/>
        <w:tabs>
          <w:tab w:val="left" w:pos="1134"/>
        </w:tabs>
        <w:spacing w:before="2" w:after="2"/>
        <w:ind w:left="567"/>
        <w:rPr>
          <w:rFonts w:ascii="Book Antiqua" w:hAnsi="Book Antiqua"/>
          <w:i/>
          <w:sz w:val="24"/>
          <w:szCs w:val="24"/>
        </w:rPr>
      </w:pPr>
    </w:p>
    <w:p w:rsidR="00794ED0" w:rsidRPr="00794ED0" w:rsidRDefault="00794ED0" w:rsidP="009D13E3">
      <w:pPr>
        <w:pStyle w:val="NormalWeb"/>
        <w:tabs>
          <w:tab w:val="left" w:pos="1134"/>
        </w:tabs>
        <w:spacing w:before="2" w:after="2"/>
        <w:ind w:left="567"/>
        <w:rPr>
          <w:rFonts w:ascii="Book Antiqua" w:hAnsi="Book Antiqua"/>
          <w:i/>
        </w:rPr>
      </w:pPr>
      <w:r w:rsidRPr="00794ED0">
        <w:rPr>
          <w:rFonts w:ascii="Book Antiqua" w:hAnsi="Book Antiqua"/>
          <w:i/>
          <w:sz w:val="24"/>
          <w:szCs w:val="24"/>
        </w:rPr>
        <w:t>7.1.</w:t>
      </w:r>
      <w:r w:rsidR="009D13E3">
        <w:rPr>
          <w:rFonts w:ascii="Book Antiqua" w:hAnsi="Book Antiqua"/>
          <w:i/>
          <w:sz w:val="24"/>
          <w:szCs w:val="24"/>
        </w:rPr>
        <w:tab/>
      </w:r>
      <w:r w:rsidRPr="00794ED0">
        <w:rPr>
          <w:rFonts w:ascii="Book Antiqua" w:hAnsi="Book Antiqua"/>
          <w:i/>
          <w:sz w:val="24"/>
          <w:szCs w:val="24"/>
        </w:rPr>
        <w:t>Where under section 12(1) of the 2007 Act (proceedings on appeal to the Upper Tribunal) the Upper Tribunal finds that the making of the decision concerned involved the making of an error on a point of law, the Upper Tribunal may set aside the decision and, if it does so, must either remit the case to the First-tier Tribunal under section 12(2)(b)(</w:t>
      </w:r>
      <w:proofErr w:type="spellStart"/>
      <w:r w:rsidRPr="00794ED0">
        <w:rPr>
          <w:rFonts w:ascii="Book Antiqua" w:hAnsi="Book Antiqua"/>
          <w:i/>
          <w:sz w:val="24"/>
          <w:szCs w:val="24"/>
        </w:rPr>
        <w:t>i</w:t>
      </w:r>
      <w:proofErr w:type="spellEnd"/>
      <w:r w:rsidRPr="00794ED0">
        <w:rPr>
          <w:rFonts w:ascii="Book Antiqua" w:hAnsi="Book Antiqua"/>
          <w:i/>
          <w:sz w:val="24"/>
          <w:szCs w:val="24"/>
        </w:rPr>
        <w:t xml:space="preserve">) or proceed (in accordance with relevant Practice Directions) to re- make the decision under section 12(2)(b)(ii). </w:t>
      </w:r>
    </w:p>
    <w:p w:rsidR="00794ED0" w:rsidRPr="00794ED0" w:rsidRDefault="00794ED0" w:rsidP="009D13E3">
      <w:pPr>
        <w:pStyle w:val="NormalWeb"/>
        <w:spacing w:before="2" w:after="2"/>
        <w:ind w:left="567"/>
        <w:rPr>
          <w:rFonts w:ascii="Book Antiqua" w:hAnsi="Book Antiqua"/>
          <w:i/>
        </w:rPr>
      </w:pPr>
    </w:p>
    <w:p w:rsidR="00794ED0" w:rsidRPr="00794ED0" w:rsidRDefault="00794ED0" w:rsidP="009D13E3">
      <w:pPr>
        <w:pStyle w:val="NormalWeb"/>
        <w:tabs>
          <w:tab w:val="left" w:pos="1134"/>
        </w:tabs>
        <w:spacing w:before="2" w:after="2"/>
        <w:ind w:left="567"/>
        <w:rPr>
          <w:rFonts w:ascii="Book Antiqua" w:hAnsi="Book Antiqua"/>
          <w:i/>
        </w:rPr>
      </w:pPr>
      <w:r w:rsidRPr="00794ED0">
        <w:rPr>
          <w:rFonts w:ascii="Book Antiqua" w:hAnsi="Book Antiqua"/>
          <w:i/>
          <w:sz w:val="24"/>
          <w:szCs w:val="24"/>
        </w:rPr>
        <w:t>7.2.</w:t>
      </w:r>
      <w:r w:rsidR="009D13E3">
        <w:rPr>
          <w:rFonts w:ascii="Book Antiqua" w:hAnsi="Book Antiqua"/>
          <w:i/>
          <w:sz w:val="24"/>
          <w:szCs w:val="24"/>
        </w:rPr>
        <w:tab/>
      </w:r>
      <w:r w:rsidRPr="00794ED0">
        <w:rPr>
          <w:rFonts w:ascii="Book Antiqua" w:hAnsi="Book Antiqua"/>
          <w:i/>
          <w:sz w:val="24"/>
          <w:szCs w:val="24"/>
        </w:rPr>
        <w:t xml:space="preserve">The Upper Tribunal is likely on each such occasion to proceed to remake the decision, instead of remitting the case to the First-tier Tribunal, unless the Upper Tribunal is satisfied that: </w:t>
      </w:r>
    </w:p>
    <w:p w:rsidR="00794ED0" w:rsidRPr="00794ED0" w:rsidRDefault="00794ED0" w:rsidP="009D13E3">
      <w:pPr>
        <w:pStyle w:val="NormalWeb"/>
        <w:tabs>
          <w:tab w:val="left" w:pos="1701"/>
        </w:tabs>
        <w:spacing w:before="2" w:after="2"/>
        <w:ind w:left="1134"/>
        <w:rPr>
          <w:rFonts w:ascii="Book Antiqua" w:hAnsi="Book Antiqua"/>
          <w:i/>
        </w:rPr>
      </w:pPr>
    </w:p>
    <w:p w:rsidR="00794ED0" w:rsidRPr="00794ED0" w:rsidRDefault="00794ED0" w:rsidP="009D13E3">
      <w:pPr>
        <w:pStyle w:val="NormalWeb"/>
        <w:tabs>
          <w:tab w:val="left" w:pos="1701"/>
        </w:tabs>
        <w:spacing w:before="2" w:after="2"/>
        <w:ind w:left="1134"/>
        <w:rPr>
          <w:rFonts w:ascii="Book Antiqua" w:hAnsi="Book Antiqua"/>
          <w:i/>
        </w:rPr>
      </w:pPr>
      <w:r w:rsidRPr="00794ED0">
        <w:rPr>
          <w:rFonts w:ascii="Book Antiqua" w:hAnsi="Book Antiqua"/>
          <w:i/>
          <w:sz w:val="24"/>
          <w:szCs w:val="24"/>
        </w:rPr>
        <w:t>(a)</w:t>
      </w:r>
      <w:r w:rsidR="009D13E3">
        <w:rPr>
          <w:rFonts w:ascii="Book Antiqua" w:hAnsi="Book Antiqua"/>
          <w:i/>
          <w:sz w:val="24"/>
          <w:szCs w:val="24"/>
        </w:rPr>
        <w:tab/>
      </w:r>
      <w:r w:rsidRPr="00794ED0">
        <w:rPr>
          <w:rFonts w:ascii="Book Antiqua" w:hAnsi="Book Antiqua"/>
          <w:i/>
          <w:sz w:val="24"/>
          <w:szCs w:val="24"/>
        </w:rPr>
        <w:t xml:space="preserve">the effect of the error has been to deprive a party before the First-tier Tribunal of a fair hearing or other opportunity for that party’s case to be put to and considered by the First-tier Tribunal; or </w:t>
      </w:r>
    </w:p>
    <w:p w:rsidR="00794ED0" w:rsidRPr="00794ED0" w:rsidRDefault="00794ED0" w:rsidP="009D13E3">
      <w:pPr>
        <w:pStyle w:val="NormalWeb"/>
        <w:tabs>
          <w:tab w:val="left" w:pos="1701"/>
        </w:tabs>
        <w:spacing w:before="2" w:after="2"/>
        <w:ind w:left="1134"/>
        <w:rPr>
          <w:rFonts w:ascii="Book Antiqua" w:hAnsi="Book Antiqua"/>
          <w:i/>
        </w:rPr>
      </w:pPr>
    </w:p>
    <w:p w:rsidR="00794ED0" w:rsidRPr="00794ED0" w:rsidRDefault="00794ED0" w:rsidP="009D13E3">
      <w:pPr>
        <w:pStyle w:val="NormalWeb"/>
        <w:tabs>
          <w:tab w:val="left" w:pos="1701"/>
        </w:tabs>
        <w:spacing w:before="2" w:after="2"/>
        <w:ind w:left="1134"/>
        <w:rPr>
          <w:rFonts w:ascii="Book Antiqua" w:hAnsi="Book Antiqua"/>
          <w:i/>
        </w:rPr>
      </w:pPr>
      <w:r w:rsidRPr="00794ED0">
        <w:rPr>
          <w:rFonts w:ascii="Book Antiqua" w:hAnsi="Book Antiqua"/>
          <w:i/>
          <w:sz w:val="24"/>
          <w:szCs w:val="24"/>
        </w:rPr>
        <w:t>(b)</w:t>
      </w:r>
      <w:r w:rsidR="009D13E3">
        <w:rPr>
          <w:rFonts w:ascii="Book Antiqua" w:hAnsi="Book Antiqua"/>
          <w:i/>
          <w:sz w:val="24"/>
          <w:szCs w:val="24"/>
        </w:rPr>
        <w:tab/>
      </w:r>
      <w:r w:rsidRPr="00794ED0">
        <w:rPr>
          <w:rFonts w:ascii="Book Antiqua" w:hAnsi="Book Antiqua"/>
          <w:i/>
          <w:sz w:val="24"/>
          <w:szCs w:val="24"/>
        </w:rPr>
        <w:t>the nature or extent of any judicial fact finding which is necessary in order for the decision in the appeal to be re-made is such that, having regard to the overriding objective in rule 2, it is appropriate to remit the case to the First-tier Tribunal. “</w:t>
      </w:r>
    </w:p>
    <w:p w:rsidR="00794ED0" w:rsidRPr="00794ED0" w:rsidRDefault="00794ED0" w:rsidP="009D13E3">
      <w:pPr>
        <w:spacing w:before="240"/>
        <w:rPr>
          <w:rFonts w:ascii="Book Antiqua" w:hAnsi="Book Antiqua"/>
        </w:rPr>
      </w:pPr>
      <w:r>
        <w:rPr>
          <w:rFonts w:ascii="Book Antiqua" w:hAnsi="Book Antiqua"/>
        </w:rPr>
        <w:t>10. I find that the effect of the error has been to deprive the Appellant of a fair hearing in the First tier Tribunal. I make this finding not only in light of the fact that neither the Appellant nor any representative attended the hearing on 25 August 2017</w:t>
      </w:r>
      <w:r w:rsidR="001F36E4">
        <w:rPr>
          <w:rFonts w:ascii="Book Antiqua" w:hAnsi="Book Antiqua"/>
        </w:rPr>
        <w:t>,</w:t>
      </w:r>
      <w:r>
        <w:rPr>
          <w:rFonts w:ascii="Book Antiqua" w:hAnsi="Book Antiqua"/>
        </w:rPr>
        <w:t xml:space="preserve"> because the notice of hearing was sent to the wrong address, but also because there was no Respondent’s bundle before the Judge</w:t>
      </w:r>
      <w:r w:rsidR="001F36E4">
        <w:rPr>
          <w:rFonts w:ascii="Book Antiqua" w:hAnsi="Book Antiqua"/>
        </w:rPr>
        <w:t>. I</w:t>
      </w:r>
      <w:r>
        <w:rPr>
          <w:rFonts w:ascii="Book Antiqua" w:hAnsi="Book Antiqua"/>
        </w:rPr>
        <w:t>t is</w:t>
      </w:r>
      <w:r w:rsidR="001F36E4">
        <w:rPr>
          <w:rFonts w:ascii="Book Antiqua" w:hAnsi="Book Antiqua"/>
        </w:rPr>
        <w:t xml:space="preserve"> thus</w:t>
      </w:r>
      <w:r>
        <w:rPr>
          <w:rFonts w:ascii="Book Antiqua" w:hAnsi="Book Antiqua"/>
        </w:rPr>
        <w:t xml:space="preserve"> unclear what documents were before him when he reached his findings and he did not have the benefit of evidence from the Appellant on key issues in </w:t>
      </w:r>
      <w:r>
        <w:rPr>
          <w:rFonts w:ascii="Book Antiqua" w:hAnsi="Book Antiqua"/>
        </w:rPr>
        <w:lastRenderedPageBreak/>
        <w:t xml:space="preserve">the appeal </w:t>
      </w:r>
      <w:r>
        <w:rPr>
          <w:rFonts w:ascii="Book Antiqua" w:hAnsi="Book Antiqua"/>
          <w:i/>
        </w:rPr>
        <w:t xml:space="preserve">viz </w:t>
      </w:r>
      <w:r>
        <w:rPr>
          <w:rFonts w:ascii="Book Antiqua" w:hAnsi="Book Antiqua"/>
        </w:rPr>
        <w:t>steps he took to obtain a CAS between August 2014 and 24 March 2016 or to take an English language test and the extent of any private life he may have developed in the United Kingdom since his arrival on 9 May 2011.</w:t>
      </w:r>
    </w:p>
    <w:p w:rsidR="00794ED0" w:rsidRDefault="00794ED0" w:rsidP="008A171F">
      <w:pPr>
        <w:rPr>
          <w:rFonts w:ascii="Book Antiqua" w:hAnsi="Book Antiqua"/>
        </w:rPr>
      </w:pPr>
      <w:r>
        <w:rPr>
          <w:rFonts w:ascii="Book Antiqua" w:hAnsi="Book Antiqua"/>
        </w:rPr>
        <w:t xml:space="preserve"> </w:t>
      </w:r>
    </w:p>
    <w:p w:rsidR="001F36E4" w:rsidRDefault="00794ED0">
      <w:pPr>
        <w:rPr>
          <w:rFonts w:ascii="Book Antiqua" w:hAnsi="Book Antiqua"/>
        </w:rPr>
      </w:pPr>
      <w:r>
        <w:rPr>
          <w:rFonts w:ascii="Book Antiqua" w:hAnsi="Book Antiqua"/>
        </w:rPr>
        <w:t xml:space="preserve">11. Consequently, I set aside the decision of First tier Tribunal Judge Bennett and remit </w:t>
      </w:r>
      <w:r w:rsidR="00DE2398">
        <w:rPr>
          <w:rFonts w:ascii="Book Antiqua" w:hAnsi="Book Antiqua"/>
        </w:rPr>
        <w:t>the appeal</w:t>
      </w:r>
      <w:r>
        <w:rPr>
          <w:rFonts w:ascii="Book Antiqua" w:hAnsi="Book Antiqua"/>
        </w:rPr>
        <w:t xml:space="preserve"> </w:t>
      </w:r>
      <w:r w:rsidR="00DE2398">
        <w:rPr>
          <w:rFonts w:ascii="Book Antiqua" w:hAnsi="Book Antiqua"/>
        </w:rPr>
        <w:t xml:space="preserve">for a hearing </w:t>
      </w:r>
      <w:r w:rsidR="00DE2398">
        <w:rPr>
          <w:rFonts w:ascii="Book Antiqua" w:hAnsi="Book Antiqua"/>
          <w:i/>
        </w:rPr>
        <w:t>de novo</w:t>
      </w:r>
      <w:r>
        <w:rPr>
          <w:rFonts w:ascii="Book Antiqua" w:hAnsi="Book Antiqua"/>
        </w:rPr>
        <w:t xml:space="preserve"> before the First tier Tribunal. </w:t>
      </w:r>
      <w:r w:rsidR="001F36E4">
        <w:rPr>
          <w:rFonts w:ascii="Book Antiqua" w:hAnsi="Book Antiqua"/>
        </w:rPr>
        <w:t>The Appellant’s presence will be required at that hearing in order to assist the fair determination of the issues set out at [10] above and if he chooses not to attend it is likely that his appeal will be determined in a summary fashion.</w:t>
      </w:r>
    </w:p>
    <w:p w:rsidR="001F36E4" w:rsidRDefault="001F36E4">
      <w:pPr>
        <w:rPr>
          <w:rFonts w:ascii="Book Antiqua" w:hAnsi="Book Antiqua"/>
        </w:rPr>
      </w:pPr>
    </w:p>
    <w:p w:rsidR="001F36E4" w:rsidRDefault="001F36E4">
      <w:pPr>
        <w:rPr>
          <w:rFonts w:ascii="Book Antiqua" w:hAnsi="Book Antiqua"/>
        </w:rPr>
      </w:pPr>
    </w:p>
    <w:p w:rsidR="001F36E4" w:rsidRPr="001F36E4" w:rsidRDefault="001F36E4">
      <w:pPr>
        <w:rPr>
          <w:rFonts w:ascii="Lucida Calligraphy" w:hAnsi="Lucida Calligraphy"/>
        </w:rPr>
      </w:pPr>
      <w:r>
        <w:rPr>
          <w:rFonts w:ascii="Lucida Calligraphy" w:hAnsi="Lucida Calligraphy"/>
        </w:rPr>
        <w:t>Rebecca Chapman</w:t>
      </w:r>
    </w:p>
    <w:p w:rsidR="001F36E4" w:rsidRDefault="001F36E4">
      <w:pPr>
        <w:rPr>
          <w:rFonts w:ascii="Book Antiqua" w:hAnsi="Book Antiqua"/>
        </w:rPr>
      </w:pPr>
    </w:p>
    <w:p w:rsidR="0081726A" w:rsidRPr="008A171F" w:rsidRDefault="001F36E4">
      <w:pPr>
        <w:rPr>
          <w:rFonts w:ascii="Book Antiqua" w:hAnsi="Book Antiqua"/>
        </w:rPr>
      </w:pPr>
      <w:r>
        <w:rPr>
          <w:rFonts w:ascii="Book Antiqua" w:hAnsi="Book Antiqua"/>
        </w:rPr>
        <w:t xml:space="preserve">Deputy </w:t>
      </w:r>
      <w:r w:rsidR="005C58A6">
        <w:rPr>
          <w:rFonts w:ascii="Book Antiqua" w:hAnsi="Book Antiqua"/>
        </w:rPr>
        <w:t>Upper Tribunal Judge Chapman</w:t>
      </w:r>
      <w:r w:rsidR="005C58A6">
        <w:rPr>
          <w:rFonts w:ascii="Book Antiqua" w:hAnsi="Book Antiqua"/>
        </w:rPr>
        <w:tab/>
      </w:r>
      <w:r w:rsidR="005C58A6">
        <w:rPr>
          <w:rFonts w:ascii="Book Antiqua" w:hAnsi="Book Antiqua"/>
        </w:rPr>
        <w:tab/>
        <w:t xml:space="preserve">dated </w:t>
      </w:r>
      <w:r>
        <w:rPr>
          <w:rFonts w:ascii="Book Antiqua" w:hAnsi="Book Antiqua"/>
        </w:rPr>
        <w:t>20 July 2018</w:t>
      </w:r>
    </w:p>
    <w:p w:rsidR="0078297B" w:rsidRDefault="0078297B">
      <w:pPr>
        <w:rPr>
          <w:rFonts w:ascii="Book Antiqua" w:hAnsi="Book Antiqua"/>
        </w:rPr>
      </w:pPr>
    </w:p>
    <w:sectPr w:rsidR="0078297B" w:rsidSect="004955C0">
      <w:headerReference w:type="default" r:id="rId8"/>
      <w:footerReference w:type="even" r:id="rId9"/>
      <w:footerReference w:type="default" r:id="rId10"/>
      <w:footerReference w:type="first" r:id="rId11"/>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70D4" w:rsidRDefault="002070D4">
      <w:r>
        <w:separator/>
      </w:r>
    </w:p>
  </w:endnote>
  <w:endnote w:type="continuationSeparator" w:id="0">
    <w:p w:rsidR="002070D4" w:rsidRDefault="00207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ED0" w:rsidRDefault="00794ED0" w:rsidP="007829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4ED0" w:rsidRDefault="00794E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310142"/>
      <w:docPartObj>
        <w:docPartGallery w:val="Page Numbers (Bottom of Page)"/>
        <w:docPartUnique/>
      </w:docPartObj>
    </w:sdtPr>
    <w:sdtEndPr>
      <w:rPr>
        <w:noProof/>
      </w:rPr>
    </w:sdtEndPr>
    <w:sdtContent>
      <w:p w:rsidR="004955C0" w:rsidRDefault="004955C0">
        <w:pPr>
          <w:pStyle w:val="Footer"/>
          <w:jc w:val="center"/>
        </w:pPr>
        <w:r>
          <w:fldChar w:fldCharType="begin"/>
        </w:r>
        <w:r>
          <w:instrText xml:space="preserve"> PAGE   \* MERGEFORMAT </w:instrText>
        </w:r>
        <w:r>
          <w:fldChar w:fldCharType="separate"/>
        </w:r>
        <w:r w:rsidR="00C5183B">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5C0" w:rsidRPr="0044226B" w:rsidRDefault="004955C0" w:rsidP="004955C0">
    <w:pPr>
      <w:pStyle w:val="Footer"/>
      <w:jc w:val="center"/>
      <w:rPr>
        <w:b/>
      </w:rPr>
    </w:pPr>
    <w:r w:rsidRPr="0044226B">
      <w:rPr>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70D4" w:rsidRDefault="002070D4">
      <w:r>
        <w:separator/>
      </w:r>
    </w:p>
  </w:footnote>
  <w:footnote w:type="continuationSeparator" w:id="0">
    <w:p w:rsidR="002070D4" w:rsidRDefault="00207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5C0" w:rsidRPr="004955C0" w:rsidRDefault="005C58A6" w:rsidP="004955C0">
    <w:pPr>
      <w:pStyle w:val="Header"/>
      <w:jc w:val="right"/>
      <w:rPr>
        <w:sz w:val="20"/>
        <w:szCs w:val="20"/>
      </w:rPr>
    </w:pPr>
    <w:r>
      <w:rPr>
        <w:sz w:val="20"/>
        <w:szCs w:val="20"/>
      </w:rPr>
      <w:t xml:space="preserve">Appeal number: </w:t>
    </w:r>
    <w:r w:rsidR="004955C0" w:rsidRPr="004955C0">
      <w:rPr>
        <w:sz w:val="20"/>
        <w:szCs w:val="20"/>
      </w:rPr>
      <w:t>IA/01829/2016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0335F"/>
    <w:multiLevelType w:val="multilevel"/>
    <w:tmpl w:val="9F1EE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5C"/>
    <w:rsid w:val="000002D1"/>
    <w:rsid w:val="00100E44"/>
    <w:rsid w:val="001F36E4"/>
    <w:rsid w:val="002070D4"/>
    <w:rsid w:val="003356A1"/>
    <w:rsid w:val="00404A83"/>
    <w:rsid w:val="0044226B"/>
    <w:rsid w:val="004955C0"/>
    <w:rsid w:val="005C58A6"/>
    <w:rsid w:val="006912DB"/>
    <w:rsid w:val="0078297B"/>
    <w:rsid w:val="00794ED0"/>
    <w:rsid w:val="0081726A"/>
    <w:rsid w:val="008A171F"/>
    <w:rsid w:val="009D13E3"/>
    <w:rsid w:val="00A54560"/>
    <w:rsid w:val="00B264E5"/>
    <w:rsid w:val="00C0745C"/>
    <w:rsid w:val="00C5183B"/>
    <w:rsid w:val="00D97CE9"/>
    <w:rsid w:val="00DE2398"/>
    <w:rsid w:val="00F77817"/>
    <w:rsid w:val="00FF7C3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A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745C"/>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56A1"/>
    <w:pPr>
      <w:tabs>
        <w:tab w:val="center" w:pos="4320"/>
        <w:tab w:val="right" w:pos="8640"/>
      </w:tabs>
    </w:pPr>
  </w:style>
  <w:style w:type="character" w:customStyle="1" w:styleId="FooterChar">
    <w:name w:val="Footer Char"/>
    <w:basedOn w:val="DefaultParagraphFont"/>
    <w:link w:val="Footer"/>
    <w:uiPriority w:val="99"/>
    <w:rsid w:val="003356A1"/>
    <w:rPr>
      <w:rFonts w:ascii="Cambria" w:eastAsia="Cambria" w:hAnsi="Cambria" w:cs="Times New Roman"/>
    </w:rPr>
  </w:style>
  <w:style w:type="character" w:styleId="PageNumber">
    <w:name w:val="page number"/>
    <w:basedOn w:val="DefaultParagraphFont"/>
    <w:uiPriority w:val="99"/>
    <w:semiHidden/>
    <w:unhideWhenUsed/>
    <w:rsid w:val="003356A1"/>
  </w:style>
  <w:style w:type="paragraph" w:styleId="NormalWeb">
    <w:name w:val="Normal (Web)"/>
    <w:basedOn w:val="Normal"/>
    <w:uiPriority w:val="99"/>
    <w:rsid w:val="00794ED0"/>
    <w:pPr>
      <w:spacing w:beforeLines="1" w:afterLines="1"/>
    </w:pPr>
    <w:rPr>
      <w:rFonts w:ascii="Times" w:eastAsiaTheme="minorHAnsi" w:hAnsi="Times"/>
      <w:sz w:val="20"/>
      <w:szCs w:val="20"/>
      <w:lang w:val="en-GB"/>
    </w:rPr>
  </w:style>
  <w:style w:type="paragraph" w:styleId="Header">
    <w:name w:val="header"/>
    <w:basedOn w:val="Normal"/>
    <w:link w:val="HeaderChar"/>
    <w:uiPriority w:val="99"/>
    <w:unhideWhenUsed/>
    <w:rsid w:val="004955C0"/>
    <w:pPr>
      <w:tabs>
        <w:tab w:val="center" w:pos="4513"/>
        <w:tab w:val="right" w:pos="9026"/>
      </w:tabs>
    </w:pPr>
  </w:style>
  <w:style w:type="character" w:customStyle="1" w:styleId="HeaderChar">
    <w:name w:val="Header Char"/>
    <w:basedOn w:val="DefaultParagraphFont"/>
    <w:link w:val="Header"/>
    <w:uiPriority w:val="99"/>
    <w:rsid w:val="004955C0"/>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926365">
      <w:bodyDiv w:val="1"/>
      <w:marLeft w:val="0"/>
      <w:marRight w:val="0"/>
      <w:marTop w:val="0"/>
      <w:marBottom w:val="0"/>
      <w:divBdr>
        <w:top w:val="none" w:sz="0" w:space="0" w:color="auto"/>
        <w:left w:val="none" w:sz="0" w:space="0" w:color="auto"/>
        <w:bottom w:val="none" w:sz="0" w:space="0" w:color="auto"/>
        <w:right w:val="none" w:sz="0" w:space="0" w:color="auto"/>
      </w:divBdr>
      <w:divsChild>
        <w:div w:id="457913372">
          <w:marLeft w:val="0"/>
          <w:marRight w:val="0"/>
          <w:marTop w:val="0"/>
          <w:marBottom w:val="0"/>
          <w:divBdr>
            <w:top w:val="none" w:sz="0" w:space="0" w:color="auto"/>
            <w:left w:val="none" w:sz="0" w:space="0" w:color="auto"/>
            <w:bottom w:val="none" w:sz="0" w:space="0" w:color="auto"/>
            <w:right w:val="none" w:sz="0" w:space="0" w:color="auto"/>
          </w:divBdr>
          <w:divsChild>
            <w:div w:id="690183695">
              <w:marLeft w:val="0"/>
              <w:marRight w:val="0"/>
              <w:marTop w:val="0"/>
              <w:marBottom w:val="0"/>
              <w:divBdr>
                <w:top w:val="none" w:sz="0" w:space="0" w:color="auto"/>
                <w:left w:val="none" w:sz="0" w:space="0" w:color="auto"/>
                <w:bottom w:val="none" w:sz="0" w:space="0" w:color="auto"/>
                <w:right w:val="none" w:sz="0" w:space="0" w:color="auto"/>
              </w:divBdr>
              <w:divsChild>
                <w:div w:id="251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2018-08-10T14:05:00Z</dcterms:created>
  <dcterms:modified xsi:type="dcterms:W3CDTF">2018-08-10T14:06:00Z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