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68615" w14:textId="77777777" w:rsidR="00D94AFC" w:rsidRPr="007F7FED" w:rsidRDefault="008F4C86" w:rsidP="007F7FED">
      <w:pPr>
        <w:jc w:val="center"/>
        <w:rPr>
          <w:rFonts w:ascii="Book Antiqua" w:hAnsi="Book Antiqua" w:cs="Arial"/>
          <w:sz w:val="16"/>
          <w:szCs w:val="16"/>
        </w:rPr>
      </w:pPr>
      <w:r>
        <w:rPr>
          <w:noProof/>
        </w:rPr>
        <w:drawing>
          <wp:inline distT="0" distB="0" distL="0" distR="0" wp14:anchorId="457482C5" wp14:editId="00EFAA79">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57A27C64"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0F8ADAFA" w14:textId="49507326" w:rsidR="007B0824" w:rsidRPr="00926789"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926789">
        <w:rPr>
          <w:rFonts w:ascii="Book Antiqua" w:hAnsi="Book Antiqua" w:cs="Arial"/>
          <w:b/>
        </w:rPr>
        <w:t xml:space="preserve">   </w:t>
      </w:r>
      <w:proofErr w:type="gramEnd"/>
      <w:r w:rsidR="00926789">
        <w:rPr>
          <w:rFonts w:ascii="Book Antiqua" w:hAnsi="Book Antiqua" w:cs="Arial"/>
          <w:b/>
        </w:rPr>
        <w:t xml:space="preserve">                    </w:t>
      </w:r>
      <w:r w:rsidR="00B3524D" w:rsidRPr="00926789">
        <w:rPr>
          <w:rFonts w:ascii="Book Antiqua" w:hAnsi="Book Antiqua" w:cs="Arial"/>
          <w:b/>
        </w:rPr>
        <w:t>Appeal Number</w:t>
      </w:r>
      <w:r w:rsidR="008E64B9" w:rsidRPr="00926789">
        <w:rPr>
          <w:rFonts w:ascii="Book Antiqua" w:hAnsi="Book Antiqua" w:cs="Arial"/>
          <w:b/>
        </w:rPr>
        <w:t>s</w:t>
      </w:r>
      <w:r w:rsidR="00D53769" w:rsidRPr="00926789">
        <w:rPr>
          <w:rFonts w:ascii="Book Antiqua" w:hAnsi="Book Antiqua" w:cs="Arial"/>
          <w:b/>
        </w:rPr>
        <w:t>:</w:t>
      </w:r>
      <w:r w:rsidR="00B3524D" w:rsidRPr="00926789">
        <w:rPr>
          <w:rFonts w:ascii="Book Antiqua" w:hAnsi="Book Antiqua" w:cs="Arial"/>
          <w:b/>
        </w:rPr>
        <w:t xml:space="preserve"> </w:t>
      </w:r>
      <w:r w:rsidR="00596221" w:rsidRPr="00926789">
        <w:rPr>
          <w:rFonts w:ascii="Book Antiqua" w:hAnsi="Book Antiqua" w:cs="Arial"/>
          <w:b/>
          <w:caps/>
        </w:rPr>
        <w:t>IA/02267/2016</w:t>
      </w:r>
    </w:p>
    <w:p w14:paraId="5CFF69B5" w14:textId="6B4740EA" w:rsidR="00596221" w:rsidRPr="00926789" w:rsidRDefault="00926789" w:rsidP="00926789">
      <w:pPr>
        <w:tabs>
          <w:tab w:val="right" w:pos="9639"/>
        </w:tabs>
        <w:jc w:val="center"/>
        <w:rPr>
          <w:rFonts w:ascii="Book Antiqua" w:hAnsi="Book Antiqua" w:cs="Arial"/>
          <w:b/>
        </w:rPr>
      </w:pPr>
      <w:r>
        <w:rPr>
          <w:rFonts w:ascii="Book Antiqua" w:hAnsi="Book Antiqua" w:cs="Arial"/>
          <w:b/>
          <w:caps/>
        </w:rPr>
        <w:t xml:space="preserve">                                                                                                               </w:t>
      </w:r>
      <w:r w:rsidR="00596221" w:rsidRPr="00926789">
        <w:rPr>
          <w:rFonts w:ascii="Book Antiqua" w:hAnsi="Book Antiqua" w:cs="Arial"/>
          <w:b/>
          <w:caps/>
        </w:rPr>
        <w:t>IA/02268/2016</w:t>
      </w:r>
    </w:p>
    <w:p w14:paraId="4D872A22" w14:textId="77777777" w:rsidR="00C345E1" w:rsidRPr="00F5664C" w:rsidRDefault="00C345E1" w:rsidP="00C345E1">
      <w:pPr>
        <w:jc w:val="center"/>
        <w:rPr>
          <w:rFonts w:ascii="Book Antiqua" w:hAnsi="Book Antiqua" w:cs="Arial"/>
        </w:rPr>
      </w:pPr>
    </w:p>
    <w:p w14:paraId="18457D62"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3CE7D3CC"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661"/>
        <w:gridCol w:w="3960"/>
      </w:tblGrid>
      <w:tr w:rsidR="00D22636" w:rsidRPr="00F5664C" w14:paraId="33E49E09" w14:textId="77777777" w:rsidTr="00926789">
        <w:tc>
          <w:tcPr>
            <w:tcW w:w="5387" w:type="dxa"/>
          </w:tcPr>
          <w:p w14:paraId="4EBF2751" w14:textId="3BDC628A"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596221">
              <w:rPr>
                <w:rFonts w:ascii="Book Antiqua" w:hAnsi="Book Antiqua" w:cs="Arial"/>
                <w:b/>
              </w:rPr>
              <w:t>Field House</w:t>
            </w:r>
          </w:p>
        </w:tc>
        <w:tc>
          <w:tcPr>
            <w:tcW w:w="4621" w:type="dxa"/>
            <w:gridSpan w:val="2"/>
          </w:tcPr>
          <w:p w14:paraId="16541CE1" w14:textId="77777777" w:rsidR="00D22636" w:rsidRPr="00F5664C" w:rsidRDefault="009F518E"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523CAA20" w14:textId="77777777" w:rsidTr="00926789">
        <w:tc>
          <w:tcPr>
            <w:tcW w:w="5387" w:type="dxa"/>
          </w:tcPr>
          <w:p w14:paraId="648F7EE2" w14:textId="21356D0C"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596221">
              <w:rPr>
                <w:rFonts w:ascii="Book Antiqua" w:hAnsi="Book Antiqua" w:cs="Arial"/>
                <w:b/>
              </w:rPr>
              <w:t>7</w:t>
            </w:r>
            <w:bookmarkStart w:id="0" w:name="_GoBack"/>
            <w:bookmarkEnd w:id="0"/>
            <w:r w:rsidR="00596221">
              <w:rPr>
                <w:rFonts w:ascii="Book Antiqua" w:hAnsi="Book Antiqua" w:cs="Arial"/>
                <w:b/>
              </w:rPr>
              <w:t xml:space="preserve"> June 2018</w:t>
            </w:r>
          </w:p>
        </w:tc>
        <w:tc>
          <w:tcPr>
            <w:tcW w:w="4621" w:type="dxa"/>
            <w:gridSpan w:val="2"/>
          </w:tcPr>
          <w:p w14:paraId="7003861B" w14:textId="77777777" w:rsidR="00D22636" w:rsidRPr="00F5664C" w:rsidRDefault="00E86D5C" w:rsidP="004A1848">
            <w:pPr>
              <w:jc w:val="both"/>
              <w:rPr>
                <w:rFonts w:ascii="Book Antiqua" w:hAnsi="Book Antiqua" w:cs="Arial"/>
                <w:b/>
              </w:rPr>
            </w:pPr>
            <w:r w:rsidRPr="00E86D5C">
              <w:rPr>
                <w:rFonts w:ascii="Book Antiqua" w:hAnsi="Book Antiqua" w:cs="Arial"/>
                <w:b/>
              </w:rPr>
              <w:t>On 22 June 2018</w:t>
            </w:r>
          </w:p>
        </w:tc>
      </w:tr>
      <w:tr w:rsidR="00D22636" w:rsidRPr="00F5664C" w14:paraId="0A3C34B7" w14:textId="77777777" w:rsidTr="009F518E">
        <w:tc>
          <w:tcPr>
            <w:tcW w:w="6048" w:type="dxa"/>
            <w:gridSpan w:val="2"/>
          </w:tcPr>
          <w:p w14:paraId="7C577240" w14:textId="77777777" w:rsidR="00D22636" w:rsidRPr="00F5664C" w:rsidRDefault="00D22636" w:rsidP="004A1848">
            <w:pPr>
              <w:jc w:val="both"/>
              <w:rPr>
                <w:rFonts w:ascii="Book Antiqua" w:hAnsi="Book Antiqua" w:cs="Arial"/>
                <w:b/>
              </w:rPr>
            </w:pPr>
          </w:p>
        </w:tc>
        <w:tc>
          <w:tcPr>
            <w:tcW w:w="3960" w:type="dxa"/>
          </w:tcPr>
          <w:p w14:paraId="41C6FF48" w14:textId="77777777" w:rsidR="00D22636" w:rsidRPr="00F5664C" w:rsidRDefault="00D22636" w:rsidP="004A1848">
            <w:pPr>
              <w:jc w:val="both"/>
              <w:rPr>
                <w:rFonts w:ascii="Book Antiqua" w:hAnsi="Book Antiqua" w:cs="Arial"/>
                <w:b/>
              </w:rPr>
            </w:pPr>
          </w:p>
        </w:tc>
      </w:tr>
    </w:tbl>
    <w:p w14:paraId="42BF15DD" w14:textId="77777777" w:rsidR="00A15234" w:rsidRPr="00F5664C" w:rsidRDefault="00A15234" w:rsidP="00A15234">
      <w:pPr>
        <w:jc w:val="center"/>
        <w:rPr>
          <w:rFonts w:ascii="Book Antiqua" w:hAnsi="Book Antiqua" w:cs="Arial"/>
        </w:rPr>
      </w:pPr>
    </w:p>
    <w:p w14:paraId="37B6A0C5" w14:textId="77777777" w:rsidR="00A15234" w:rsidRPr="00F5664C" w:rsidRDefault="00A15234" w:rsidP="00A15234">
      <w:pPr>
        <w:jc w:val="center"/>
        <w:rPr>
          <w:rFonts w:ascii="Book Antiqua" w:hAnsi="Book Antiqua" w:cs="Arial"/>
        </w:rPr>
      </w:pPr>
    </w:p>
    <w:p w14:paraId="7442651A"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322D97D9" w14:textId="77777777" w:rsidR="00A15234" w:rsidRPr="00F5664C" w:rsidRDefault="00A15234" w:rsidP="00A15234">
      <w:pPr>
        <w:jc w:val="center"/>
        <w:rPr>
          <w:rFonts w:ascii="Book Antiqua" w:hAnsi="Book Antiqua" w:cs="Arial"/>
          <w:b/>
        </w:rPr>
      </w:pPr>
    </w:p>
    <w:p w14:paraId="1A272DFC"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 G MACDONALD</w:t>
      </w:r>
    </w:p>
    <w:p w14:paraId="6C1BE154" w14:textId="77777777" w:rsidR="00B16F58" w:rsidRDefault="00B16F58" w:rsidP="00A15234">
      <w:pPr>
        <w:jc w:val="center"/>
        <w:rPr>
          <w:rFonts w:ascii="Book Antiqua" w:hAnsi="Book Antiqua" w:cs="Arial"/>
          <w:b/>
        </w:rPr>
      </w:pPr>
    </w:p>
    <w:p w14:paraId="1442DC68" w14:textId="0965E5CE" w:rsidR="00A845DC" w:rsidRDefault="00A845DC" w:rsidP="00A15234">
      <w:pPr>
        <w:jc w:val="center"/>
        <w:rPr>
          <w:rFonts w:ascii="Book Antiqua" w:hAnsi="Book Antiqua" w:cs="Arial"/>
          <w:b/>
        </w:rPr>
      </w:pPr>
      <w:r w:rsidRPr="00F5664C">
        <w:rPr>
          <w:rFonts w:ascii="Book Antiqua" w:hAnsi="Book Antiqua" w:cs="Arial"/>
          <w:b/>
        </w:rPr>
        <w:t>Between</w:t>
      </w:r>
    </w:p>
    <w:p w14:paraId="252DD093" w14:textId="77777777" w:rsidR="00926789" w:rsidRPr="00F5664C" w:rsidRDefault="00926789" w:rsidP="00A15234">
      <w:pPr>
        <w:jc w:val="center"/>
        <w:rPr>
          <w:rFonts w:ascii="Book Antiqua" w:hAnsi="Book Antiqua" w:cs="Arial"/>
          <w:b/>
        </w:rPr>
      </w:pPr>
    </w:p>
    <w:p w14:paraId="640E3A6D" w14:textId="4680E437" w:rsidR="00A845DC" w:rsidRDefault="00926789" w:rsidP="00A15234">
      <w:pPr>
        <w:jc w:val="center"/>
        <w:rPr>
          <w:rFonts w:ascii="Book Antiqua" w:hAnsi="Book Antiqua" w:cs="Arial"/>
          <w:b/>
        </w:rPr>
      </w:pPr>
      <w:r>
        <w:rPr>
          <w:rFonts w:ascii="Book Antiqua" w:hAnsi="Book Antiqua" w:cs="Arial"/>
          <w:b/>
        </w:rPr>
        <w:t>THE SECRETARY OF STATE FOR THE HOME DEPARTMENT</w:t>
      </w:r>
    </w:p>
    <w:p w14:paraId="2186A227"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596221">
        <w:rPr>
          <w:rFonts w:ascii="Book Antiqua" w:hAnsi="Book Antiqua" w:cs="Arial"/>
          <w:u w:val="single"/>
        </w:rPr>
        <w:t>s</w:t>
      </w:r>
    </w:p>
    <w:p w14:paraId="450773E1" w14:textId="77777777" w:rsidR="006D1DFA" w:rsidRPr="00F5664C" w:rsidRDefault="006D1DFA" w:rsidP="00704B61">
      <w:pPr>
        <w:jc w:val="center"/>
        <w:rPr>
          <w:rFonts w:ascii="Book Antiqua" w:hAnsi="Book Antiqua" w:cs="Arial"/>
          <w:b/>
        </w:rPr>
      </w:pPr>
    </w:p>
    <w:p w14:paraId="49F5640B"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660BC3A6" w14:textId="77777777" w:rsidR="00DD5071" w:rsidRPr="00F5664C" w:rsidRDefault="00DD5071" w:rsidP="00704B61">
      <w:pPr>
        <w:jc w:val="center"/>
        <w:rPr>
          <w:rFonts w:ascii="Book Antiqua" w:hAnsi="Book Antiqua" w:cs="Arial"/>
          <w:b/>
        </w:rPr>
      </w:pPr>
    </w:p>
    <w:p w14:paraId="6C5DA659" w14:textId="77777777" w:rsidR="00596221" w:rsidRDefault="00A51536" w:rsidP="00596221">
      <w:pPr>
        <w:jc w:val="center"/>
        <w:rPr>
          <w:rFonts w:ascii="Book Antiqua" w:hAnsi="Book Antiqua" w:cs="Arial"/>
          <w:b/>
          <w:caps/>
        </w:rPr>
      </w:pPr>
      <w:r>
        <w:rPr>
          <w:rFonts w:ascii="Book Antiqua" w:hAnsi="Book Antiqua" w:cs="Arial"/>
          <w:b/>
          <w:caps/>
        </w:rPr>
        <w:t xml:space="preserve">mr </w:t>
      </w:r>
      <w:r w:rsidR="00596221" w:rsidRPr="00596221">
        <w:rPr>
          <w:rFonts w:ascii="Book Antiqua" w:hAnsi="Book Antiqua" w:cs="Arial"/>
          <w:b/>
          <w:caps/>
        </w:rPr>
        <w:t>Nisargkumar Ghanshyambhai</w:t>
      </w:r>
      <w:r w:rsidR="00596221">
        <w:rPr>
          <w:rFonts w:ascii="Book Antiqua" w:hAnsi="Book Antiqua" w:cs="Arial"/>
          <w:b/>
          <w:caps/>
        </w:rPr>
        <w:t xml:space="preserve"> patel (first appellant)</w:t>
      </w:r>
    </w:p>
    <w:p w14:paraId="5FC38583" w14:textId="77777777" w:rsidR="00596221" w:rsidRDefault="00A51536" w:rsidP="00596221">
      <w:pPr>
        <w:jc w:val="center"/>
        <w:rPr>
          <w:rFonts w:ascii="Book Antiqua" w:hAnsi="Book Antiqua" w:cs="Arial"/>
          <w:b/>
          <w:caps/>
        </w:rPr>
      </w:pPr>
      <w:r>
        <w:rPr>
          <w:rFonts w:ascii="Book Antiqua" w:hAnsi="Book Antiqua" w:cs="Arial"/>
          <w:b/>
          <w:caps/>
        </w:rPr>
        <w:t xml:space="preserve">ms </w:t>
      </w:r>
      <w:r w:rsidR="00596221" w:rsidRPr="00596221">
        <w:rPr>
          <w:rFonts w:ascii="Book Antiqua" w:hAnsi="Book Antiqua" w:cs="Arial"/>
          <w:b/>
          <w:caps/>
        </w:rPr>
        <w:t>Mikishabe Chandrakanthbhai</w:t>
      </w:r>
      <w:r w:rsidR="00596221">
        <w:rPr>
          <w:rFonts w:ascii="Book Antiqua" w:hAnsi="Book Antiqua" w:cs="Arial"/>
          <w:b/>
          <w:caps/>
        </w:rPr>
        <w:t xml:space="preserve"> </w:t>
      </w:r>
      <w:r>
        <w:rPr>
          <w:rFonts w:ascii="Book Antiqua" w:hAnsi="Book Antiqua" w:cs="Arial"/>
          <w:b/>
          <w:caps/>
        </w:rPr>
        <w:t xml:space="preserve">PATEL </w:t>
      </w:r>
      <w:r w:rsidR="00596221">
        <w:rPr>
          <w:rFonts w:ascii="Book Antiqua" w:hAnsi="Book Antiqua" w:cs="Arial"/>
          <w:b/>
          <w:caps/>
        </w:rPr>
        <w:t>(second appellant)</w:t>
      </w:r>
    </w:p>
    <w:p w14:paraId="6AE5E30E" w14:textId="77777777" w:rsidR="00596221" w:rsidRPr="00926789" w:rsidRDefault="00596221" w:rsidP="00596221">
      <w:pPr>
        <w:jc w:val="center"/>
        <w:rPr>
          <w:rFonts w:ascii="Book Antiqua" w:hAnsi="Book Antiqua" w:cs="Arial"/>
          <w:caps/>
        </w:rPr>
      </w:pPr>
      <w:r w:rsidRPr="00926789">
        <w:rPr>
          <w:rFonts w:ascii="Book Antiqua" w:hAnsi="Book Antiqua" w:cs="Arial"/>
          <w:caps/>
        </w:rPr>
        <w:t xml:space="preserve">(ANONYMITY order </w:t>
      </w:r>
      <w:r w:rsidR="008D2858" w:rsidRPr="00926789">
        <w:rPr>
          <w:rFonts w:ascii="Book Antiqua" w:hAnsi="Book Antiqua" w:cs="Arial"/>
          <w:caps/>
        </w:rPr>
        <w:t>not made</w:t>
      </w:r>
      <w:r w:rsidRPr="00926789">
        <w:rPr>
          <w:rFonts w:ascii="Book Antiqua" w:hAnsi="Book Antiqua" w:cs="Arial"/>
          <w:caps/>
        </w:rPr>
        <w:t>)</w:t>
      </w:r>
    </w:p>
    <w:p w14:paraId="10448294" w14:textId="77777777" w:rsidR="00DD5071" w:rsidRPr="00926789" w:rsidRDefault="00DD5071" w:rsidP="00596221">
      <w:pPr>
        <w:rPr>
          <w:rFonts w:ascii="Book Antiqua" w:hAnsi="Book Antiqua" w:cs="Arial"/>
        </w:rPr>
      </w:pPr>
    </w:p>
    <w:p w14:paraId="2F523039" w14:textId="77777777" w:rsidR="00DD5071" w:rsidRPr="00F5664C" w:rsidRDefault="00DD5071" w:rsidP="00596221">
      <w:pPr>
        <w:jc w:val="right"/>
        <w:rPr>
          <w:rFonts w:ascii="Book Antiqua" w:hAnsi="Book Antiqua" w:cs="Arial"/>
          <w:u w:val="single"/>
        </w:rPr>
      </w:pPr>
      <w:r w:rsidRPr="00F5664C">
        <w:rPr>
          <w:rFonts w:ascii="Book Antiqua" w:hAnsi="Book Antiqua" w:cs="Arial"/>
          <w:u w:val="single"/>
        </w:rPr>
        <w:t>Respondent</w:t>
      </w:r>
    </w:p>
    <w:p w14:paraId="7F10C6FB"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41AE87F0" w14:textId="77777777" w:rsidR="00DE7DB7" w:rsidRPr="00F5664C" w:rsidRDefault="00DE7DB7" w:rsidP="00DD5071">
      <w:pPr>
        <w:rPr>
          <w:rFonts w:ascii="Book Antiqua" w:hAnsi="Book Antiqua" w:cs="Arial"/>
        </w:rPr>
      </w:pPr>
    </w:p>
    <w:p w14:paraId="5FA1ECA9"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008E64B9">
        <w:rPr>
          <w:rFonts w:ascii="Book Antiqua" w:hAnsi="Book Antiqua" w:cs="Arial"/>
        </w:rPr>
        <w:t>s</w:t>
      </w:r>
      <w:r w:rsidRPr="00F5664C">
        <w:rPr>
          <w:rFonts w:ascii="Book Antiqua" w:hAnsi="Book Antiqua" w:cs="Arial"/>
        </w:rPr>
        <w:t>:</w:t>
      </w:r>
      <w:r w:rsidRPr="00F5664C">
        <w:rPr>
          <w:rFonts w:ascii="Book Antiqua" w:hAnsi="Book Antiqua" w:cs="Arial"/>
        </w:rPr>
        <w:tab/>
      </w:r>
      <w:r w:rsidR="00596221">
        <w:rPr>
          <w:rFonts w:ascii="Book Antiqua" w:hAnsi="Book Antiqua" w:cs="Arial"/>
        </w:rPr>
        <w:t>Mr C Howells, Senior Home Office Presenting Officer</w:t>
      </w:r>
    </w:p>
    <w:p w14:paraId="6200ED81"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596221">
        <w:rPr>
          <w:rFonts w:ascii="Book Antiqua" w:hAnsi="Book Antiqua" w:cs="Arial"/>
        </w:rPr>
        <w:t>M</w:t>
      </w:r>
      <w:r w:rsidR="008E64B9">
        <w:rPr>
          <w:rFonts w:ascii="Book Antiqua" w:hAnsi="Book Antiqua" w:cs="Arial"/>
        </w:rPr>
        <w:t>r</w:t>
      </w:r>
      <w:r w:rsidR="00596221">
        <w:rPr>
          <w:rFonts w:ascii="Book Antiqua" w:hAnsi="Book Antiqua" w:cs="Arial"/>
        </w:rPr>
        <w:t xml:space="preserve"> A </w:t>
      </w:r>
      <w:proofErr w:type="spellStart"/>
      <w:r w:rsidR="00596221">
        <w:rPr>
          <w:rFonts w:ascii="Book Antiqua" w:hAnsi="Book Antiqua" w:cs="Arial"/>
        </w:rPr>
        <w:t>Chohan</w:t>
      </w:r>
      <w:proofErr w:type="spellEnd"/>
      <w:r w:rsidR="00596221">
        <w:rPr>
          <w:rFonts w:ascii="Book Antiqua" w:hAnsi="Book Antiqua" w:cs="Arial"/>
        </w:rPr>
        <w:t xml:space="preserve">, </w:t>
      </w:r>
      <w:r w:rsidR="008E64B9">
        <w:rPr>
          <w:rFonts w:ascii="Book Antiqua" w:hAnsi="Book Antiqua" w:cs="Arial"/>
        </w:rPr>
        <w:t xml:space="preserve">Counsel instructed by </w:t>
      </w:r>
      <w:r w:rsidR="00596221">
        <w:rPr>
          <w:rFonts w:ascii="Book Antiqua" w:hAnsi="Book Antiqua" w:cs="Arial"/>
        </w:rPr>
        <w:t>S.Z. Solicitors</w:t>
      </w:r>
    </w:p>
    <w:p w14:paraId="58A44D19" w14:textId="77777777" w:rsidR="00DE7DB7" w:rsidRPr="00F5664C" w:rsidRDefault="00DE7DB7" w:rsidP="00402B9E">
      <w:pPr>
        <w:tabs>
          <w:tab w:val="left" w:pos="2520"/>
        </w:tabs>
        <w:jc w:val="center"/>
        <w:rPr>
          <w:rFonts w:ascii="Book Antiqua" w:hAnsi="Book Antiqua" w:cs="Arial"/>
        </w:rPr>
      </w:pPr>
    </w:p>
    <w:p w14:paraId="322E8CC1" w14:textId="77777777" w:rsidR="00DE7DB7" w:rsidRPr="00F5664C" w:rsidRDefault="00DE7DB7" w:rsidP="00402B9E">
      <w:pPr>
        <w:tabs>
          <w:tab w:val="left" w:pos="2520"/>
        </w:tabs>
        <w:jc w:val="center"/>
        <w:rPr>
          <w:rFonts w:ascii="Book Antiqua" w:hAnsi="Book Antiqua" w:cs="Arial"/>
        </w:rPr>
      </w:pPr>
    </w:p>
    <w:p w14:paraId="3EDA8555" w14:textId="77777777"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6039D0B7" w14:textId="77777777" w:rsidR="00B626FA" w:rsidRDefault="00B626FA" w:rsidP="00402B9E">
      <w:pPr>
        <w:tabs>
          <w:tab w:val="left" w:pos="2520"/>
        </w:tabs>
        <w:jc w:val="both"/>
        <w:rPr>
          <w:rFonts w:ascii="Book Antiqua" w:hAnsi="Book Antiqua" w:cs="Arial"/>
        </w:rPr>
      </w:pPr>
    </w:p>
    <w:p w14:paraId="2508D738" w14:textId="77777777" w:rsidR="00596221" w:rsidRDefault="00596221" w:rsidP="00B52A42">
      <w:pPr>
        <w:numPr>
          <w:ilvl w:val="0"/>
          <w:numId w:val="3"/>
        </w:numPr>
        <w:spacing w:before="240"/>
        <w:jc w:val="both"/>
        <w:rPr>
          <w:rFonts w:ascii="Book Antiqua" w:hAnsi="Book Antiqua" w:cs="Arial"/>
        </w:rPr>
      </w:pPr>
      <w:r>
        <w:rPr>
          <w:rFonts w:ascii="Book Antiqua" w:hAnsi="Book Antiqua" w:cs="Arial"/>
        </w:rPr>
        <w:t>For convenience I shall employ the</w:t>
      </w:r>
      <w:r w:rsidR="009168AC">
        <w:rPr>
          <w:rFonts w:ascii="Book Antiqua" w:hAnsi="Book Antiqua" w:cs="Arial"/>
        </w:rPr>
        <w:t xml:space="preserve"> appellations </w:t>
      </w:r>
      <w:r>
        <w:rPr>
          <w:rFonts w:ascii="Book Antiqua" w:hAnsi="Book Antiqua" w:cs="Arial"/>
        </w:rPr>
        <w:t>“</w:t>
      </w:r>
      <w:r w:rsidR="00A86239">
        <w:rPr>
          <w:rFonts w:ascii="Book Antiqua" w:hAnsi="Book Antiqua" w:cs="Arial"/>
        </w:rPr>
        <w:t>Appellants” and “</w:t>
      </w:r>
      <w:r>
        <w:rPr>
          <w:rFonts w:ascii="Book Antiqua" w:hAnsi="Book Antiqua" w:cs="Arial"/>
        </w:rPr>
        <w:t xml:space="preserve">Respondent” as at first instance. </w:t>
      </w:r>
    </w:p>
    <w:p w14:paraId="5F3557E8" w14:textId="77777777" w:rsidR="00B52A42" w:rsidRDefault="00596221" w:rsidP="00B52A42">
      <w:pPr>
        <w:numPr>
          <w:ilvl w:val="0"/>
          <w:numId w:val="3"/>
        </w:numPr>
        <w:spacing w:before="240"/>
        <w:jc w:val="both"/>
        <w:rPr>
          <w:rFonts w:ascii="Book Antiqua" w:hAnsi="Book Antiqua" w:cs="Arial"/>
        </w:rPr>
      </w:pPr>
      <w:r>
        <w:rPr>
          <w:rFonts w:ascii="Book Antiqua" w:hAnsi="Book Antiqua" w:cs="Arial"/>
        </w:rPr>
        <w:t>The Appellants are nationals of India who made an application for leave to remain here as a Tier 1 (Entrepreneur) Migrant with the second Appellant being the dependant on the first Appellant.  Their application</w:t>
      </w:r>
      <w:r w:rsidR="00A86239">
        <w:rPr>
          <w:rFonts w:ascii="Book Antiqua" w:hAnsi="Book Antiqua" w:cs="Arial"/>
        </w:rPr>
        <w:t>s</w:t>
      </w:r>
      <w:r>
        <w:rPr>
          <w:rFonts w:ascii="Book Antiqua" w:hAnsi="Book Antiqua" w:cs="Arial"/>
        </w:rPr>
        <w:t xml:space="preserve"> were refused by the Secretary of State and their appeal heard by First-tier Tribunal Judge Davey (in the absence of the </w:t>
      </w:r>
      <w:r>
        <w:rPr>
          <w:rFonts w:ascii="Book Antiqua" w:hAnsi="Book Antiqua" w:cs="Arial"/>
        </w:rPr>
        <w:lastRenderedPageBreak/>
        <w:t xml:space="preserve">Respondent) on </w:t>
      </w:r>
      <w:r w:rsidR="00F87611">
        <w:rPr>
          <w:rFonts w:ascii="Book Antiqua" w:hAnsi="Book Antiqua" w:cs="Arial"/>
        </w:rPr>
        <w:t>25</w:t>
      </w:r>
      <w:r w:rsidR="00F87611" w:rsidRPr="00F87611">
        <w:rPr>
          <w:rFonts w:ascii="Book Antiqua" w:hAnsi="Book Antiqua" w:cs="Arial"/>
          <w:vertAlign w:val="superscript"/>
        </w:rPr>
        <w:t>th</w:t>
      </w:r>
      <w:r w:rsidR="00F87611">
        <w:rPr>
          <w:rFonts w:ascii="Book Antiqua" w:hAnsi="Book Antiqua" w:cs="Arial"/>
        </w:rPr>
        <w:t xml:space="preserve"> October 2017 and a subsequent decision allowing the appeal on Article 8 ECHR grounds promulgated on 28</w:t>
      </w:r>
      <w:r w:rsidR="00F87611" w:rsidRPr="00F87611">
        <w:rPr>
          <w:rFonts w:ascii="Book Antiqua" w:hAnsi="Book Antiqua" w:cs="Arial"/>
          <w:vertAlign w:val="superscript"/>
        </w:rPr>
        <w:t>th</w:t>
      </w:r>
      <w:r w:rsidR="00F87611">
        <w:rPr>
          <w:rFonts w:ascii="Book Antiqua" w:hAnsi="Book Antiqua" w:cs="Arial"/>
        </w:rPr>
        <w:t xml:space="preserve"> November 2017.  </w:t>
      </w:r>
    </w:p>
    <w:p w14:paraId="1C7A53F2" w14:textId="77777777" w:rsidR="00F87611" w:rsidRDefault="00F87611" w:rsidP="00B52A42">
      <w:pPr>
        <w:numPr>
          <w:ilvl w:val="0"/>
          <w:numId w:val="3"/>
        </w:numPr>
        <w:spacing w:before="240"/>
        <w:jc w:val="both"/>
        <w:rPr>
          <w:rFonts w:ascii="Book Antiqua" w:hAnsi="Book Antiqua" w:cs="Arial"/>
        </w:rPr>
      </w:pPr>
      <w:r>
        <w:rPr>
          <w:rFonts w:ascii="Book Antiqua" w:hAnsi="Book Antiqua" w:cs="Arial"/>
        </w:rPr>
        <w:t>Grounds of application were lodged by the Secretary of State.  Ground 1 states that the judge appears to have proceeded on the basis that the appeal was captured by the new provisions of Section 84 and 85 of the Nationality, Immigration and Asylum Act 2002</w:t>
      </w:r>
      <w:r w:rsidR="00A86239">
        <w:rPr>
          <w:rFonts w:ascii="Book Antiqua" w:hAnsi="Book Antiqua" w:cs="Arial"/>
        </w:rPr>
        <w:t xml:space="preserve"> as </w:t>
      </w:r>
      <w:r>
        <w:rPr>
          <w:rFonts w:ascii="Book Antiqua" w:hAnsi="Book Antiqua" w:cs="Arial"/>
        </w:rPr>
        <w:t xml:space="preserve">amended by Section 15 of the Immigration Act 2014.  However, although the decision in the appeal </w:t>
      </w:r>
      <w:r w:rsidR="00ED2C4B">
        <w:rPr>
          <w:rFonts w:ascii="Book Antiqua" w:hAnsi="Book Antiqua" w:cs="Arial"/>
        </w:rPr>
        <w:t>post-dated</w:t>
      </w:r>
      <w:r>
        <w:rPr>
          <w:rFonts w:ascii="Book Antiqua" w:hAnsi="Book Antiqua" w:cs="Arial"/>
        </w:rPr>
        <w:t xml:space="preserve"> the change made by the Immigration Act 2014 the appeal was one which was squarely covered by the previous appeal regime prior to the changes.  Reference is made to the Immigration Act 2014 (Commencement </w:t>
      </w:r>
      <w:r w:rsidR="00A86239">
        <w:rPr>
          <w:rFonts w:ascii="Book Antiqua" w:hAnsi="Book Antiqua" w:cs="Arial"/>
        </w:rPr>
        <w:t>No.</w:t>
      </w:r>
      <w:r>
        <w:rPr>
          <w:rFonts w:ascii="Book Antiqua" w:hAnsi="Book Antiqua" w:cs="Arial"/>
        </w:rPr>
        <w:t xml:space="preserve"> </w:t>
      </w:r>
      <w:r w:rsidR="00A86239">
        <w:rPr>
          <w:rFonts w:ascii="Book Antiqua" w:hAnsi="Book Antiqua" w:cs="Arial"/>
        </w:rPr>
        <w:t>4</w:t>
      </w:r>
      <w:r>
        <w:rPr>
          <w:rFonts w:ascii="Book Antiqua" w:hAnsi="Book Antiqua" w:cs="Arial"/>
        </w:rPr>
        <w:t xml:space="preserve">, Transitional and Saving Provisions and Amendment) Order 2015.  The second ground is that having proceeded on </w:t>
      </w:r>
      <w:r w:rsidR="0094403D">
        <w:rPr>
          <w:rFonts w:ascii="Book Antiqua" w:hAnsi="Book Antiqua" w:cs="Arial"/>
        </w:rPr>
        <w:t xml:space="preserve">the </w:t>
      </w:r>
      <w:r>
        <w:rPr>
          <w:rFonts w:ascii="Book Antiqua" w:hAnsi="Book Antiqua" w:cs="Arial"/>
        </w:rPr>
        <w:t xml:space="preserve">incorrect statutory basis the judge failed to apply the relevant provision of the Nationality, Immigration and Asylum Act 2002 namely Section 85A dealing with new evidence.  It was said that in relying on the </w:t>
      </w:r>
      <w:r w:rsidR="00ED2C4B">
        <w:rPr>
          <w:rFonts w:ascii="Book Antiqua" w:hAnsi="Book Antiqua" w:cs="Arial"/>
        </w:rPr>
        <w:t>post-dated</w:t>
      </w:r>
      <w:r>
        <w:rPr>
          <w:rFonts w:ascii="Book Antiqua" w:hAnsi="Book Antiqua" w:cs="Arial"/>
        </w:rPr>
        <w:t xml:space="preserve"> evidence the judge had made a procedural error.   Ground 3 observes that the judge made no findings of fact in relation to whether or not the Appellant met the Immigration Rules at the date of decision.  Ground 4 says that the judge could have adjourned the case for the matter to be addressed </w:t>
      </w:r>
      <w:r w:rsidR="00A86239">
        <w:rPr>
          <w:rFonts w:ascii="Book Antiqua" w:hAnsi="Book Antiqua" w:cs="Arial"/>
        </w:rPr>
        <w:t>ensuring</w:t>
      </w:r>
      <w:r>
        <w:rPr>
          <w:rFonts w:ascii="Book Antiqua" w:hAnsi="Book Antiqua" w:cs="Arial"/>
        </w:rPr>
        <w:t xml:space="preserve"> fairness to all p</w:t>
      </w:r>
      <w:r w:rsidR="0048288D">
        <w:rPr>
          <w:rFonts w:ascii="Book Antiqua" w:hAnsi="Book Antiqua" w:cs="Arial"/>
        </w:rPr>
        <w:t xml:space="preserve">arties.  As such Ground 5 says </w:t>
      </w:r>
      <w:r>
        <w:rPr>
          <w:rFonts w:ascii="Book Antiqua" w:hAnsi="Book Antiqua" w:cs="Arial"/>
        </w:rPr>
        <w:t>that given the issues identified</w:t>
      </w:r>
      <w:r w:rsidR="0094403D">
        <w:rPr>
          <w:rFonts w:ascii="Book Antiqua" w:hAnsi="Book Antiqua" w:cs="Arial"/>
        </w:rPr>
        <w:t>,</w:t>
      </w:r>
      <w:r>
        <w:rPr>
          <w:rFonts w:ascii="Book Antiqua" w:hAnsi="Book Antiqua" w:cs="Arial"/>
        </w:rPr>
        <w:t xml:space="preserve"> the assessment of Article 8 ECHR outside the Rules cannot stand as it is based on </w:t>
      </w:r>
      <w:r w:rsidR="00A86239">
        <w:rPr>
          <w:rFonts w:ascii="Book Antiqua" w:hAnsi="Book Antiqua" w:cs="Arial"/>
        </w:rPr>
        <w:t xml:space="preserve">a </w:t>
      </w:r>
      <w:r>
        <w:rPr>
          <w:rFonts w:ascii="Book Antiqua" w:hAnsi="Book Antiqua" w:cs="Arial"/>
        </w:rPr>
        <w:t xml:space="preserve">multiplicity of errors of law.  </w:t>
      </w:r>
    </w:p>
    <w:p w14:paraId="1BF33DA3" w14:textId="77777777" w:rsidR="00F87611" w:rsidRDefault="00F87611" w:rsidP="00B52A42">
      <w:pPr>
        <w:numPr>
          <w:ilvl w:val="0"/>
          <w:numId w:val="3"/>
        </w:numPr>
        <w:spacing w:before="240"/>
        <w:jc w:val="both"/>
        <w:rPr>
          <w:rFonts w:ascii="Book Antiqua" w:hAnsi="Book Antiqua" w:cs="Arial"/>
        </w:rPr>
      </w:pPr>
      <w:r>
        <w:rPr>
          <w:rFonts w:ascii="Book Antiqua" w:hAnsi="Book Antiqua" w:cs="Arial"/>
        </w:rPr>
        <w:t xml:space="preserve">Permission to appeal was granted and thus the matter came before me on the above date.  For the Home Office Mr Howells said that the judge had not applied the correct law and had he done so the appeal would have been dismissed under the Immigration Rules.  As such the decision should be set aside and remitted for a fresh hearing. </w:t>
      </w:r>
    </w:p>
    <w:p w14:paraId="5D905E12" w14:textId="77777777" w:rsidR="00F87611" w:rsidRDefault="00F87611" w:rsidP="00B52A42">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Chohan</w:t>
      </w:r>
      <w:proofErr w:type="spellEnd"/>
      <w:r>
        <w:rPr>
          <w:rFonts w:ascii="Book Antiqua" w:hAnsi="Book Antiqua" w:cs="Arial"/>
        </w:rPr>
        <w:t xml:space="preserve"> indicated that the judge had no requirement placed on him to adjourn the case to ensure fairness as there was nothing to say why the Home Office did not attend on the due date.  While the Home Office might well be correct in their assessment of the statutory provisions the fact of the matter was that the judge had listened to the </w:t>
      </w:r>
      <w:r w:rsidR="00CD46D0">
        <w:rPr>
          <w:rFonts w:ascii="Book Antiqua" w:hAnsi="Book Antiqua" w:cs="Arial"/>
        </w:rPr>
        <w:t>evidence and found that the appeal</w:t>
      </w:r>
      <w:r>
        <w:rPr>
          <w:rFonts w:ascii="Book Antiqua" w:hAnsi="Book Antiqua" w:cs="Arial"/>
        </w:rPr>
        <w:t xml:space="preserve"> should be granted under Article 8 ECHR and therefore there was no error in law. </w:t>
      </w:r>
    </w:p>
    <w:p w14:paraId="0675B9CD" w14:textId="77777777" w:rsidR="00F87611" w:rsidRDefault="00A86239" w:rsidP="00F87611">
      <w:pPr>
        <w:numPr>
          <w:ilvl w:val="0"/>
          <w:numId w:val="3"/>
        </w:numPr>
        <w:spacing w:before="240"/>
        <w:jc w:val="both"/>
        <w:rPr>
          <w:rFonts w:ascii="Book Antiqua" w:hAnsi="Book Antiqua" w:cs="Arial"/>
        </w:rPr>
      </w:pPr>
      <w:r>
        <w:rPr>
          <w:rFonts w:ascii="Book Antiqua" w:hAnsi="Book Antiqua" w:cs="Arial"/>
        </w:rPr>
        <w:t>I reserve</w:t>
      </w:r>
      <w:r w:rsidR="00ED2C4B">
        <w:rPr>
          <w:rFonts w:ascii="Book Antiqua" w:hAnsi="Book Antiqua" w:cs="Arial"/>
        </w:rPr>
        <w:t>d</w:t>
      </w:r>
      <w:r w:rsidR="00F87611">
        <w:rPr>
          <w:rFonts w:ascii="Book Antiqua" w:hAnsi="Book Antiqua" w:cs="Arial"/>
        </w:rPr>
        <w:t xml:space="preserve"> my decision. </w:t>
      </w:r>
    </w:p>
    <w:p w14:paraId="6D65981B" w14:textId="77777777" w:rsidR="00F87611" w:rsidRPr="00F87611" w:rsidRDefault="00F87611" w:rsidP="00F87611">
      <w:pPr>
        <w:spacing w:before="240"/>
        <w:jc w:val="both"/>
        <w:rPr>
          <w:rFonts w:ascii="Book Antiqua" w:hAnsi="Book Antiqua" w:cs="Arial"/>
          <w:b/>
          <w:u w:val="single"/>
        </w:rPr>
      </w:pPr>
      <w:r w:rsidRPr="00F87611">
        <w:rPr>
          <w:rFonts w:ascii="Book Antiqua" w:hAnsi="Book Antiqua" w:cs="Arial"/>
          <w:b/>
          <w:u w:val="single"/>
        </w:rPr>
        <w:t>Conclusions</w:t>
      </w:r>
    </w:p>
    <w:p w14:paraId="6D892B35" w14:textId="77777777" w:rsidR="00F87611" w:rsidRDefault="00F87611" w:rsidP="00F87611">
      <w:pPr>
        <w:numPr>
          <w:ilvl w:val="0"/>
          <w:numId w:val="3"/>
        </w:numPr>
        <w:spacing w:before="240"/>
        <w:jc w:val="both"/>
        <w:rPr>
          <w:rFonts w:ascii="Book Antiqua" w:hAnsi="Book Antiqua" w:cs="Arial"/>
        </w:rPr>
      </w:pPr>
      <w:r>
        <w:rPr>
          <w:rFonts w:ascii="Book Antiqua" w:hAnsi="Book Antiqua" w:cs="Arial"/>
        </w:rPr>
        <w:t>The</w:t>
      </w:r>
      <w:r w:rsidRPr="00F87611">
        <w:rPr>
          <w:rFonts w:ascii="Book Antiqua" w:hAnsi="Book Antiqua" w:cs="Arial"/>
        </w:rPr>
        <w:t xml:space="preserve"> </w:t>
      </w:r>
      <w:r>
        <w:rPr>
          <w:rFonts w:ascii="Book Antiqua" w:hAnsi="Book Antiqua" w:cs="Arial"/>
        </w:rPr>
        <w:t>judge noted that there was no cause show</w:t>
      </w:r>
      <w:r w:rsidR="003E4E17">
        <w:rPr>
          <w:rFonts w:ascii="Book Antiqua" w:hAnsi="Book Antiqua" w:cs="Arial"/>
        </w:rPr>
        <w:t>n</w:t>
      </w:r>
      <w:r>
        <w:rPr>
          <w:rFonts w:ascii="Book Antiqua" w:hAnsi="Book Antiqua" w:cs="Arial"/>
        </w:rPr>
        <w:t xml:space="preserve"> why the Respondent did not attend the hearing.  He had no idea </w:t>
      </w:r>
      <w:r w:rsidR="00ED2C4B">
        <w:rPr>
          <w:rFonts w:ascii="Book Antiqua" w:hAnsi="Book Antiqua" w:cs="Arial"/>
        </w:rPr>
        <w:t>considering</w:t>
      </w:r>
      <w:r>
        <w:rPr>
          <w:rFonts w:ascii="Book Antiqua" w:hAnsi="Book Antiqua" w:cs="Arial"/>
        </w:rPr>
        <w:t xml:space="preserve"> the Respondent’s stance what, </w:t>
      </w:r>
      <w:r w:rsidR="0067618E">
        <w:rPr>
          <w:rFonts w:ascii="Book Antiqua" w:hAnsi="Book Antiqua" w:cs="Arial"/>
        </w:rPr>
        <w:t xml:space="preserve">if any, </w:t>
      </w:r>
      <w:r w:rsidR="00226BFB">
        <w:rPr>
          <w:rFonts w:ascii="Book Antiqua" w:hAnsi="Book Antiqua" w:cs="Arial"/>
        </w:rPr>
        <w:t>questions they would had of that</w:t>
      </w:r>
      <w:r>
        <w:rPr>
          <w:rFonts w:ascii="Book Antiqua" w:hAnsi="Book Antiqua" w:cs="Arial"/>
        </w:rPr>
        <w:t xml:space="preserve"> evidence.  There was prejudice or unfairness in proceeding with the hearing in the absence of the Respondent and I did not understand this assessment by the judge to be </w:t>
      </w:r>
      <w:r w:rsidR="001259FC">
        <w:rPr>
          <w:rFonts w:ascii="Book Antiqua" w:hAnsi="Book Antiqua" w:cs="Arial"/>
        </w:rPr>
        <w:t xml:space="preserve">seriously challenged by Mr Howells.  </w:t>
      </w:r>
    </w:p>
    <w:p w14:paraId="424B8392" w14:textId="77777777" w:rsidR="001259FC" w:rsidRDefault="003E4E17" w:rsidP="001259FC">
      <w:pPr>
        <w:numPr>
          <w:ilvl w:val="0"/>
          <w:numId w:val="3"/>
        </w:numPr>
        <w:spacing w:before="240"/>
        <w:jc w:val="both"/>
        <w:rPr>
          <w:rFonts w:ascii="Book Antiqua" w:hAnsi="Book Antiqua" w:cs="Arial"/>
        </w:rPr>
      </w:pPr>
      <w:r>
        <w:rPr>
          <w:rFonts w:ascii="Book Antiqua" w:hAnsi="Book Antiqua" w:cs="Arial"/>
        </w:rPr>
        <w:t xml:space="preserve">The judge concluded that there </w:t>
      </w:r>
      <w:r w:rsidR="001259FC">
        <w:rPr>
          <w:rFonts w:ascii="Book Antiqua" w:hAnsi="Book Antiqua" w:cs="Arial"/>
        </w:rPr>
        <w:t>no criticism could be made to suggest that there was an element or</w:t>
      </w:r>
      <w:r>
        <w:rPr>
          <w:rFonts w:ascii="Book Antiqua" w:hAnsi="Book Antiqua" w:cs="Arial"/>
        </w:rPr>
        <w:t xml:space="preserve"> a scintilla</w:t>
      </w:r>
      <w:r w:rsidR="001259FC">
        <w:rPr>
          <w:rFonts w:ascii="Book Antiqua" w:hAnsi="Book Antiqua" w:cs="Arial"/>
        </w:rPr>
        <w:t xml:space="preserve"> of evidence to suggest bad faith on behalf of the first Appellant.  The judge found that the first Appellant had fairly, openly and properly disclosed the information as and when requested and required (paragraph 6).  He had </w:t>
      </w:r>
      <w:r w:rsidR="001259FC">
        <w:rPr>
          <w:rFonts w:ascii="Book Antiqua" w:hAnsi="Book Antiqua" w:cs="Arial"/>
        </w:rPr>
        <w:lastRenderedPageBreak/>
        <w:t>no concerns as to his personal integrity and honesty in dealing with the application.  The judge found that at the material time he had available funds.</w:t>
      </w:r>
    </w:p>
    <w:p w14:paraId="6603407E" w14:textId="77777777" w:rsidR="001259FC" w:rsidRDefault="001259FC" w:rsidP="001259FC">
      <w:pPr>
        <w:numPr>
          <w:ilvl w:val="0"/>
          <w:numId w:val="3"/>
        </w:numPr>
        <w:spacing w:before="240"/>
        <w:jc w:val="both"/>
        <w:rPr>
          <w:rFonts w:ascii="Book Antiqua" w:hAnsi="Book Antiqua" w:cs="Arial"/>
        </w:rPr>
      </w:pPr>
      <w:r>
        <w:rPr>
          <w:rFonts w:ascii="Book Antiqua" w:hAnsi="Book Antiqua" w:cs="Arial"/>
        </w:rPr>
        <w:t>The judge concluded in paragraph 8 that the evidence</w:t>
      </w:r>
      <w:r w:rsidR="00ED2C4B">
        <w:rPr>
          <w:rFonts w:ascii="Book Antiqua" w:hAnsi="Book Antiqua" w:cs="Arial"/>
        </w:rPr>
        <w:t xml:space="preserve"> did </w:t>
      </w:r>
      <w:r w:rsidR="003E4E17">
        <w:rPr>
          <w:rFonts w:ascii="Book Antiqua" w:hAnsi="Book Antiqua" w:cs="Arial"/>
        </w:rPr>
        <w:t>show</w:t>
      </w:r>
      <w:r>
        <w:rPr>
          <w:rFonts w:ascii="Book Antiqua" w:hAnsi="Book Antiqua" w:cs="Arial"/>
        </w:rPr>
        <w:t xml:space="preserve"> the Appellant met the £200,000 funding arrangements requirement.  He said that he had taken the documents which supported the funds relied upon into account</w:t>
      </w:r>
      <w:r w:rsidR="003E4E17">
        <w:rPr>
          <w:rFonts w:ascii="Book Antiqua" w:hAnsi="Book Antiqua" w:cs="Arial"/>
        </w:rPr>
        <w:t>,</w:t>
      </w:r>
      <w:r>
        <w:rPr>
          <w:rFonts w:ascii="Book Antiqua" w:hAnsi="Book Antiqua" w:cs="Arial"/>
        </w:rPr>
        <w:t xml:space="preserve"> noting that from the first Appellant himself, either in the UK or in India</w:t>
      </w:r>
      <w:r w:rsidR="003E4E17">
        <w:rPr>
          <w:rFonts w:ascii="Book Antiqua" w:hAnsi="Book Antiqua" w:cs="Arial"/>
        </w:rPr>
        <w:t>,</w:t>
      </w:r>
      <w:r>
        <w:rPr>
          <w:rFonts w:ascii="Book Antiqua" w:hAnsi="Book Antiqua" w:cs="Arial"/>
        </w:rPr>
        <w:t xml:space="preserve"> in his personal accounts he had a sum of £125,000.  There is funding from his mother-in-law in the sum of £35,000 and from a close </w:t>
      </w:r>
      <w:r w:rsidR="00ED2C4B">
        <w:rPr>
          <w:rFonts w:ascii="Book Antiqua" w:hAnsi="Book Antiqua" w:cs="Arial"/>
        </w:rPr>
        <w:t>friend</w:t>
      </w:r>
      <w:r>
        <w:rPr>
          <w:rFonts w:ascii="Book Antiqua" w:hAnsi="Book Antiqua" w:cs="Arial"/>
        </w:rPr>
        <w:t xml:space="preserve"> in the United </w:t>
      </w:r>
      <w:r w:rsidR="003E4E17">
        <w:rPr>
          <w:rFonts w:ascii="Book Antiqua" w:hAnsi="Book Antiqua" w:cs="Arial"/>
        </w:rPr>
        <w:t>States an</w:t>
      </w:r>
      <w:r>
        <w:rPr>
          <w:rFonts w:ascii="Book Antiqua" w:hAnsi="Book Antiqua" w:cs="Arial"/>
        </w:rPr>
        <w:t xml:space="preserve"> availability of £40,000.  The totals were rounded down to make up the total but it was comprehensively set out in the Appella</w:t>
      </w:r>
      <w:r w:rsidR="00226BFB">
        <w:rPr>
          <w:rFonts w:ascii="Book Antiqua" w:hAnsi="Book Antiqua" w:cs="Arial"/>
        </w:rPr>
        <w:t>nt’s statement and no purpose was</w:t>
      </w:r>
      <w:r>
        <w:rPr>
          <w:rFonts w:ascii="Book Antiqua" w:hAnsi="Book Antiqua" w:cs="Arial"/>
        </w:rPr>
        <w:t xml:space="preserve"> served in reciting the </w:t>
      </w:r>
      <w:r w:rsidR="00CD46D0">
        <w:rPr>
          <w:rFonts w:ascii="Book Antiqua" w:hAnsi="Book Antiqua" w:cs="Arial"/>
        </w:rPr>
        <w:t>minutiae</w:t>
      </w:r>
      <w:r>
        <w:rPr>
          <w:rFonts w:ascii="Book Antiqua" w:hAnsi="Book Antiqua" w:cs="Arial"/>
        </w:rPr>
        <w:t xml:space="preserve"> of those figures.  The judge indicated (paragraph 9) that he had </w:t>
      </w:r>
      <w:r w:rsidR="00CD46D0">
        <w:rPr>
          <w:rFonts w:ascii="Book Antiqua" w:hAnsi="Book Antiqua" w:cs="Arial"/>
        </w:rPr>
        <w:t xml:space="preserve">paid particular </w:t>
      </w:r>
      <w:r w:rsidR="00ED2C4B">
        <w:rPr>
          <w:rFonts w:ascii="Book Antiqua" w:hAnsi="Book Antiqua" w:cs="Arial"/>
        </w:rPr>
        <w:t>regard</w:t>
      </w:r>
      <w:r>
        <w:rPr>
          <w:rFonts w:ascii="Book Antiqua" w:hAnsi="Book Antiqua" w:cs="Arial"/>
        </w:rPr>
        <w:t xml:space="preserve"> in relation to numerous documents set out in the Appellant</w:t>
      </w:r>
      <w:r w:rsidR="0094403D">
        <w:rPr>
          <w:rFonts w:ascii="Book Antiqua" w:hAnsi="Book Antiqua" w:cs="Arial"/>
        </w:rPr>
        <w:t>s’</w:t>
      </w:r>
      <w:r>
        <w:rPr>
          <w:rFonts w:ascii="Book Antiqua" w:hAnsi="Book Antiqua" w:cs="Arial"/>
        </w:rPr>
        <w:t xml:space="preserve"> bundle. </w:t>
      </w:r>
    </w:p>
    <w:p w14:paraId="25CE146A" w14:textId="77777777" w:rsidR="001259FC" w:rsidRDefault="001259FC" w:rsidP="001259FC">
      <w:pPr>
        <w:numPr>
          <w:ilvl w:val="0"/>
          <w:numId w:val="3"/>
        </w:numPr>
        <w:spacing w:before="240"/>
        <w:jc w:val="both"/>
        <w:rPr>
          <w:rFonts w:ascii="Book Antiqua" w:hAnsi="Book Antiqua" w:cs="Arial"/>
        </w:rPr>
      </w:pPr>
      <w:r>
        <w:rPr>
          <w:rFonts w:ascii="Book Antiqua" w:hAnsi="Book Antiqua" w:cs="Arial"/>
        </w:rPr>
        <w:t xml:space="preserve">In paragraph 10 the judge said the position as of now was that the Appellant does clearly meet the Tier 1 provisions.  </w:t>
      </w:r>
    </w:p>
    <w:p w14:paraId="6DF1FCE6" w14:textId="77777777" w:rsidR="001259FC" w:rsidRDefault="001259FC" w:rsidP="001259FC">
      <w:pPr>
        <w:numPr>
          <w:ilvl w:val="0"/>
          <w:numId w:val="3"/>
        </w:numPr>
        <w:spacing w:before="240"/>
        <w:jc w:val="both"/>
        <w:rPr>
          <w:rFonts w:ascii="Book Antiqua" w:hAnsi="Book Antiqua" w:cs="Arial"/>
        </w:rPr>
      </w:pPr>
      <w:r>
        <w:rPr>
          <w:rFonts w:ascii="Book Antiqua" w:hAnsi="Book Antiqua" w:cs="Arial"/>
        </w:rPr>
        <w:t>The judge then went on to refer to well-known case law concluding that the appeal should be allowed under Article 8 ECHR</w:t>
      </w:r>
      <w:r w:rsidR="003E4E17">
        <w:rPr>
          <w:rFonts w:ascii="Book Antiqua" w:hAnsi="Book Antiqua" w:cs="Arial"/>
        </w:rPr>
        <w:t>,</w:t>
      </w:r>
      <w:r>
        <w:rPr>
          <w:rFonts w:ascii="Book Antiqua" w:hAnsi="Book Antiqua" w:cs="Arial"/>
        </w:rPr>
        <w:t xml:space="preserve"> finding, as he did, that there was largely unchallengeable and compelling evidence in showing the Respondent’s decision was disproportionate.  </w:t>
      </w:r>
    </w:p>
    <w:p w14:paraId="777FEDF3" w14:textId="77777777" w:rsidR="001259FC" w:rsidRDefault="008D2858" w:rsidP="001259FC">
      <w:pPr>
        <w:numPr>
          <w:ilvl w:val="0"/>
          <w:numId w:val="3"/>
        </w:numPr>
        <w:spacing w:before="240"/>
        <w:jc w:val="both"/>
        <w:rPr>
          <w:rFonts w:ascii="Book Antiqua" w:hAnsi="Book Antiqua" w:cs="Arial"/>
        </w:rPr>
      </w:pPr>
      <w:r>
        <w:rPr>
          <w:rFonts w:ascii="Book Antiqua" w:hAnsi="Book Antiqua" w:cs="Arial"/>
        </w:rPr>
        <w:t>Given that the Home Office were not present in the hearing</w:t>
      </w:r>
      <w:r w:rsidR="003E4E17">
        <w:rPr>
          <w:rFonts w:ascii="Book Antiqua" w:hAnsi="Book Antiqua" w:cs="Arial"/>
        </w:rPr>
        <w:t>,</w:t>
      </w:r>
      <w:r>
        <w:rPr>
          <w:rFonts w:ascii="Book Antiqua" w:hAnsi="Book Antiqua" w:cs="Arial"/>
        </w:rPr>
        <w:t xml:space="preserve"> it is understandable why the judge did not appreciate that the appeal was under the provisions set out in the grounds of application by the Secretary of State.  Mr </w:t>
      </w:r>
      <w:proofErr w:type="spellStart"/>
      <w:r>
        <w:rPr>
          <w:rFonts w:ascii="Book Antiqua" w:hAnsi="Book Antiqua" w:cs="Arial"/>
        </w:rPr>
        <w:t>Chohan</w:t>
      </w:r>
      <w:proofErr w:type="spellEnd"/>
      <w:r>
        <w:rPr>
          <w:rFonts w:ascii="Book Antiqua" w:hAnsi="Book Antiqua" w:cs="Arial"/>
        </w:rPr>
        <w:t xml:space="preserve"> did not disagree with the proposition that as at the date of the application the Appellant did not meet the Immigration Rules and therefore the judge could be said to be wrong in that regard when he said that the Immigration Rules were satisfied.  </w:t>
      </w:r>
    </w:p>
    <w:p w14:paraId="01D880C9" w14:textId="77777777" w:rsidR="008D2858" w:rsidRDefault="008D2858" w:rsidP="001259FC">
      <w:pPr>
        <w:numPr>
          <w:ilvl w:val="0"/>
          <w:numId w:val="3"/>
        </w:numPr>
        <w:spacing w:before="240"/>
        <w:jc w:val="both"/>
        <w:rPr>
          <w:rFonts w:ascii="Book Antiqua" w:hAnsi="Book Antiqua" w:cs="Arial"/>
        </w:rPr>
      </w:pPr>
      <w:r>
        <w:rPr>
          <w:rFonts w:ascii="Book Antiqua" w:hAnsi="Book Antiqua" w:cs="Arial"/>
        </w:rPr>
        <w:t xml:space="preserve">Nevertheless, there was one principal issue in this case, namely </w:t>
      </w:r>
      <w:r w:rsidR="00226BFB">
        <w:rPr>
          <w:rFonts w:ascii="Book Antiqua" w:hAnsi="Book Antiqua" w:cs="Arial"/>
        </w:rPr>
        <w:t>whether</w:t>
      </w:r>
      <w:r>
        <w:rPr>
          <w:rFonts w:ascii="Book Antiqua" w:hAnsi="Book Antiqua" w:cs="Arial"/>
        </w:rPr>
        <w:t xml:space="preserve"> the first Appellant met the £200,000 funding requirements. </w:t>
      </w:r>
      <w:r w:rsidR="00ED2C4B">
        <w:rPr>
          <w:rFonts w:ascii="Book Antiqua" w:hAnsi="Book Antiqua" w:cs="Arial"/>
        </w:rPr>
        <w:t xml:space="preserve">The factual matrix of the case has not changed with the passage of time. </w:t>
      </w:r>
      <w:r>
        <w:rPr>
          <w:rFonts w:ascii="Book Antiqua" w:hAnsi="Book Antiqua" w:cs="Arial"/>
        </w:rPr>
        <w:t xml:space="preserve"> The refusal letter set out the proposition that he did not meet those requirements but the judge has found otherwise and given considerable detail as to how that finding is justified.  It seems to me important that the Home Office </w:t>
      </w:r>
      <w:r w:rsidR="008E64B9">
        <w:rPr>
          <w:rFonts w:ascii="Book Antiqua" w:hAnsi="Book Antiqua" w:cs="Arial"/>
        </w:rPr>
        <w:t xml:space="preserve">do </w:t>
      </w:r>
      <w:r>
        <w:rPr>
          <w:rFonts w:ascii="Book Antiqua" w:hAnsi="Book Antiqua" w:cs="Arial"/>
        </w:rPr>
        <w:t>not challenge the proposition that as at the date of the hearing before the judge the Appellant did meet the financial requirements.  While the judge was wrong to say in paragraph 14 that he met the requirements of the Immigration Rules the fact of the matter is that at the time of the appeal hearing before him the Appellant did now meet those Rules and he was entitled to take that fact into account as at the date of the hearing before him.  He found the evidence of the first Appellant to be true and as he said “</w:t>
      </w:r>
      <w:r w:rsidR="009168AC">
        <w:rPr>
          <w:rFonts w:ascii="Book Antiqua" w:hAnsi="Book Antiqua" w:cs="Arial"/>
        </w:rPr>
        <w:t>unchallengeable</w:t>
      </w:r>
      <w:r>
        <w:rPr>
          <w:rFonts w:ascii="Book Antiqua" w:hAnsi="Book Antiqua" w:cs="Arial"/>
        </w:rPr>
        <w:t xml:space="preserve">”.  </w:t>
      </w:r>
    </w:p>
    <w:p w14:paraId="69D15C15" w14:textId="77777777" w:rsidR="008D2858" w:rsidRDefault="008D2858" w:rsidP="001259FC">
      <w:pPr>
        <w:numPr>
          <w:ilvl w:val="0"/>
          <w:numId w:val="3"/>
        </w:numPr>
        <w:spacing w:before="240"/>
        <w:jc w:val="both"/>
        <w:rPr>
          <w:rFonts w:ascii="Book Antiqua" w:hAnsi="Book Antiqua" w:cs="Arial"/>
        </w:rPr>
      </w:pPr>
      <w:r>
        <w:rPr>
          <w:rFonts w:ascii="Book Antiqua" w:hAnsi="Book Antiqua" w:cs="Arial"/>
        </w:rPr>
        <w:t>It is not disputed that the judge was entitled to make those findings as at the date of the hearing before him.  As such it seems to me that the proposition that the appeal should be allowed on human rights grounds under Article 8 ECHR was one that was certainly open to the judge and cannot</w:t>
      </w:r>
      <w:r w:rsidR="00226BFB">
        <w:rPr>
          <w:rFonts w:ascii="Book Antiqua" w:hAnsi="Book Antiqua" w:cs="Arial"/>
        </w:rPr>
        <w:t xml:space="preserve"> be said to be a material error of law.</w:t>
      </w:r>
      <w:r>
        <w:rPr>
          <w:rFonts w:ascii="Book Antiqua" w:hAnsi="Book Antiqua" w:cs="Arial"/>
        </w:rPr>
        <w:t xml:space="preserve">  </w:t>
      </w:r>
    </w:p>
    <w:p w14:paraId="1FC69342" w14:textId="77777777" w:rsidR="008D2858" w:rsidRDefault="008D2858" w:rsidP="008D2858">
      <w:pPr>
        <w:numPr>
          <w:ilvl w:val="0"/>
          <w:numId w:val="3"/>
        </w:numPr>
        <w:spacing w:before="240"/>
        <w:jc w:val="both"/>
        <w:rPr>
          <w:rFonts w:ascii="Book Antiqua" w:hAnsi="Book Antiqua" w:cs="Arial"/>
        </w:rPr>
      </w:pPr>
      <w:r>
        <w:rPr>
          <w:rFonts w:ascii="Book Antiqua" w:hAnsi="Book Antiqua" w:cs="Arial"/>
        </w:rPr>
        <w:lastRenderedPageBreak/>
        <w:t xml:space="preserve">Given that there </w:t>
      </w:r>
      <w:r w:rsidR="0094403D">
        <w:rPr>
          <w:rFonts w:ascii="Book Antiqua" w:hAnsi="Book Antiqua" w:cs="Arial"/>
        </w:rPr>
        <w:t>is no</w:t>
      </w:r>
      <w:r>
        <w:rPr>
          <w:rFonts w:ascii="Book Antiqua" w:hAnsi="Book Antiqua" w:cs="Arial"/>
        </w:rPr>
        <w:t xml:space="preserve"> material error of law in the judge’s decision it must stand. </w:t>
      </w:r>
    </w:p>
    <w:p w14:paraId="200C1E99" w14:textId="77777777" w:rsidR="00226BFB" w:rsidRDefault="00226BFB" w:rsidP="008D2858">
      <w:pPr>
        <w:spacing w:before="240"/>
        <w:jc w:val="both"/>
        <w:rPr>
          <w:rFonts w:ascii="Book Antiqua" w:hAnsi="Book Antiqua" w:cs="Arial"/>
          <w:b/>
          <w:u w:val="single"/>
        </w:rPr>
      </w:pPr>
    </w:p>
    <w:p w14:paraId="0BFEA256" w14:textId="77777777" w:rsidR="008D2858" w:rsidRPr="008D2858" w:rsidRDefault="008D2858" w:rsidP="008D2858">
      <w:pPr>
        <w:spacing w:before="240"/>
        <w:jc w:val="both"/>
        <w:rPr>
          <w:rFonts w:ascii="Book Antiqua" w:hAnsi="Book Antiqua" w:cs="Arial"/>
          <w:b/>
          <w:u w:val="single"/>
        </w:rPr>
      </w:pPr>
      <w:r w:rsidRPr="008D2858">
        <w:rPr>
          <w:rFonts w:ascii="Book Antiqua" w:hAnsi="Book Antiqua" w:cs="Arial"/>
          <w:b/>
          <w:u w:val="single"/>
        </w:rPr>
        <w:t>Notice of Decision</w:t>
      </w:r>
    </w:p>
    <w:p w14:paraId="42A66D0C" w14:textId="77777777" w:rsidR="008D2858" w:rsidRDefault="008D2858" w:rsidP="008D2858">
      <w:pPr>
        <w:numPr>
          <w:ilvl w:val="0"/>
          <w:numId w:val="3"/>
        </w:numPr>
        <w:spacing w:before="240"/>
        <w:jc w:val="both"/>
        <w:rPr>
          <w:rFonts w:ascii="Book Antiqua" w:hAnsi="Book Antiqua" w:cs="Arial"/>
        </w:rPr>
      </w:pPr>
      <w:r>
        <w:rPr>
          <w:rFonts w:ascii="Book Antiqua" w:hAnsi="Book Antiqua" w:cs="Arial"/>
        </w:rPr>
        <w:t xml:space="preserve">The making of the decision of the First-tier Tribunal did not involve the making of an error on a point of law.  </w:t>
      </w:r>
    </w:p>
    <w:p w14:paraId="05B23ADB" w14:textId="77777777" w:rsidR="008D2858" w:rsidRDefault="008D2858" w:rsidP="008D2858">
      <w:pPr>
        <w:numPr>
          <w:ilvl w:val="0"/>
          <w:numId w:val="3"/>
        </w:numPr>
        <w:spacing w:before="240"/>
        <w:jc w:val="both"/>
        <w:rPr>
          <w:rFonts w:ascii="Book Antiqua" w:hAnsi="Book Antiqua" w:cs="Arial"/>
        </w:rPr>
      </w:pPr>
      <w:r>
        <w:rPr>
          <w:rFonts w:ascii="Book Antiqua" w:hAnsi="Book Antiqua" w:cs="Arial"/>
        </w:rPr>
        <w:t xml:space="preserve">I do not set aside the decision.  </w:t>
      </w:r>
    </w:p>
    <w:p w14:paraId="2188A0B4" w14:textId="77777777" w:rsidR="008D2858" w:rsidRPr="008D2858" w:rsidRDefault="008D2858" w:rsidP="008D2858">
      <w:pPr>
        <w:numPr>
          <w:ilvl w:val="0"/>
          <w:numId w:val="3"/>
        </w:numPr>
        <w:spacing w:before="240"/>
        <w:jc w:val="both"/>
        <w:rPr>
          <w:rFonts w:ascii="Book Antiqua" w:hAnsi="Book Antiqua" w:cs="Arial"/>
        </w:rPr>
      </w:pPr>
      <w:r>
        <w:rPr>
          <w:rFonts w:ascii="Book Antiqua" w:hAnsi="Book Antiqua" w:cs="Arial"/>
        </w:rPr>
        <w:t>No anonymity order is made</w:t>
      </w:r>
      <w:r w:rsidR="00CD46D0">
        <w:rPr>
          <w:rFonts w:ascii="Book Antiqua" w:hAnsi="Book Antiqua" w:cs="Arial"/>
        </w:rPr>
        <w:t>.</w:t>
      </w:r>
    </w:p>
    <w:p w14:paraId="1189D543" w14:textId="77777777" w:rsidR="009F518E" w:rsidRPr="00F5664C" w:rsidRDefault="009F518E" w:rsidP="009F518E">
      <w:pPr>
        <w:tabs>
          <w:tab w:val="left" w:pos="2520"/>
        </w:tabs>
        <w:jc w:val="both"/>
        <w:rPr>
          <w:rFonts w:ascii="Book Antiqua" w:hAnsi="Book Antiqua" w:cs="Arial"/>
        </w:rPr>
      </w:pPr>
    </w:p>
    <w:p w14:paraId="6FC723D5" w14:textId="77777777" w:rsidR="00842418" w:rsidRPr="00F5664C" w:rsidRDefault="00842418" w:rsidP="000369F5">
      <w:pPr>
        <w:tabs>
          <w:tab w:val="left" w:pos="2520"/>
        </w:tabs>
        <w:jc w:val="both"/>
        <w:rPr>
          <w:rFonts w:ascii="Book Antiqua" w:hAnsi="Book Antiqua" w:cs="Arial"/>
        </w:rPr>
      </w:pPr>
    </w:p>
    <w:p w14:paraId="45B6A0EF" w14:textId="77777777" w:rsidR="000369F5" w:rsidRPr="00F5664C" w:rsidRDefault="000369F5" w:rsidP="000369F5">
      <w:pPr>
        <w:tabs>
          <w:tab w:val="left" w:pos="2520"/>
        </w:tabs>
        <w:jc w:val="both"/>
        <w:rPr>
          <w:rFonts w:ascii="Book Antiqua" w:hAnsi="Book Antiqua" w:cs="Arial"/>
        </w:rPr>
      </w:pPr>
    </w:p>
    <w:p w14:paraId="0A48C2B9" w14:textId="77777777" w:rsidR="000369F5" w:rsidRPr="00F5664C" w:rsidRDefault="000369F5" w:rsidP="000369F5">
      <w:pPr>
        <w:tabs>
          <w:tab w:val="left" w:pos="2520"/>
        </w:tabs>
        <w:jc w:val="both"/>
        <w:rPr>
          <w:rFonts w:ascii="Book Antiqua" w:hAnsi="Book Antiqua" w:cs="Arial"/>
        </w:rPr>
      </w:pPr>
    </w:p>
    <w:p w14:paraId="2462FB24"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A73F67">
        <w:rPr>
          <w:rFonts w:ascii="Book Antiqua" w:hAnsi="Book Antiqua" w:cs="Arial"/>
        </w:rPr>
        <w:t xml:space="preserve">    </w:t>
      </w:r>
      <w:r w:rsidR="00A73F67" w:rsidRPr="002572F5">
        <w:rPr>
          <w:rFonts w:ascii="Book Antiqua" w:hAnsi="Book Antiqua" w:cs="Arial"/>
          <w:i/>
        </w:rPr>
        <w:t>JG Macdonald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A73F67">
        <w:rPr>
          <w:rFonts w:ascii="Book Antiqua" w:hAnsi="Book Antiqua" w:cs="Arial"/>
        </w:rPr>
        <w:t xml:space="preserve">   21</w:t>
      </w:r>
      <w:r w:rsidR="00A73F67" w:rsidRPr="00A73F67">
        <w:rPr>
          <w:rFonts w:ascii="Book Antiqua" w:hAnsi="Book Antiqua" w:cs="Arial"/>
          <w:vertAlign w:val="superscript"/>
        </w:rPr>
        <w:t>st</w:t>
      </w:r>
      <w:r w:rsidR="00A73F67">
        <w:rPr>
          <w:rFonts w:ascii="Book Antiqua" w:hAnsi="Book Antiqua" w:cs="Arial"/>
        </w:rPr>
        <w:t xml:space="preserve"> June 2018</w:t>
      </w:r>
    </w:p>
    <w:p w14:paraId="044955F2" w14:textId="77777777" w:rsidR="001F2716" w:rsidRPr="00F5664C" w:rsidRDefault="001F2716" w:rsidP="000369F5">
      <w:pPr>
        <w:tabs>
          <w:tab w:val="left" w:pos="2520"/>
        </w:tabs>
        <w:jc w:val="both"/>
        <w:rPr>
          <w:rFonts w:ascii="Book Antiqua" w:hAnsi="Book Antiqua" w:cs="Arial"/>
        </w:rPr>
      </w:pPr>
    </w:p>
    <w:p w14:paraId="0C72CB6E" w14:textId="77777777" w:rsidR="001F2716" w:rsidRPr="00F5664C" w:rsidRDefault="001F2716" w:rsidP="000369F5">
      <w:pPr>
        <w:tabs>
          <w:tab w:val="left" w:pos="2520"/>
        </w:tabs>
        <w:jc w:val="both"/>
        <w:rPr>
          <w:rFonts w:ascii="Book Antiqua" w:hAnsi="Book Antiqua" w:cs="Arial"/>
        </w:rPr>
      </w:pPr>
    </w:p>
    <w:p w14:paraId="2AF2FC60" w14:textId="77777777"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93333B">
        <w:rPr>
          <w:rFonts w:ascii="Book Antiqua" w:hAnsi="Book Antiqua" w:cs="Arial"/>
        </w:rPr>
        <w:t>J G Macdonald</w:t>
      </w:r>
    </w:p>
    <w:p w14:paraId="46C8B84E" w14:textId="77777777" w:rsidR="005B7789" w:rsidRPr="00F5664C" w:rsidRDefault="005B7789" w:rsidP="000369F5">
      <w:pPr>
        <w:tabs>
          <w:tab w:val="left" w:pos="2520"/>
        </w:tabs>
        <w:jc w:val="both"/>
        <w:rPr>
          <w:rFonts w:ascii="Book Antiqua" w:hAnsi="Book Antiqua" w:cs="Arial"/>
        </w:rPr>
        <w:sectPr w:rsidR="005B7789" w:rsidRPr="00F5664C" w:rsidSect="00926789">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pPr>
    </w:p>
    <w:p w14:paraId="1D53627A" w14:textId="77777777" w:rsidR="005B7789" w:rsidRPr="00F5664C" w:rsidRDefault="005B7789" w:rsidP="005B7789">
      <w:pPr>
        <w:tabs>
          <w:tab w:val="left" w:pos="2520"/>
        </w:tabs>
        <w:ind w:left="540" w:hanging="540"/>
        <w:jc w:val="both"/>
        <w:rPr>
          <w:rFonts w:ascii="Book Antiqua" w:hAnsi="Book Antiqua" w:cs="Arial"/>
        </w:rPr>
      </w:pPr>
    </w:p>
    <w:p w14:paraId="22F5A981" w14:textId="77777777" w:rsidR="005B7789" w:rsidRPr="00F5664C" w:rsidRDefault="005B7789" w:rsidP="000369F5">
      <w:pPr>
        <w:tabs>
          <w:tab w:val="left" w:pos="2520"/>
        </w:tabs>
        <w:jc w:val="both"/>
        <w:rPr>
          <w:rFonts w:ascii="Book Antiqua" w:hAnsi="Book Antiqua" w:cs="Arial"/>
        </w:rPr>
      </w:pPr>
    </w:p>
    <w:sectPr w:rsidR="005B7789" w:rsidRPr="00F5664C" w:rsidSect="00502928">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F2F18" w14:textId="77777777" w:rsidR="00201C53" w:rsidRDefault="00201C53">
      <w:r>
        <w:separator/>
      </w:r>
    </w:p>
  </w:endnote>
  <w:endnote w:type="continuationSeparator" w:id="0">
    <w:p w14:paraId="67BF8300" w14:textId="77777777" w:rsidR="00201C53" w:rsidRDefault="00201C53">
      <w:r>
        <w:continuationSeparator/>
      </w:r>
    </w:p>
  </w:endnote>
  <w:endnote w:type="continuationNotice" w:id="1">
    <w:p w14:paraId="713ECA71" w14:textId="77777777" w:rsidR="00201C53" w:rsidRDefault="00201C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79531" w14:textId="17D96B8D" w:rsidR="00CD46D0" w:rsidRPr="00926789" w:rsidRDefault="00CD46D0" w:rsidP="00593795">
    <w:pPr>
      <w:pStyle w:val="Footer"/>
      <w:jc w:val="center"/>
      <w:rPr>
        <w:rFonts w:ascii="Book Antiqua" w:hAnsi="Book Antiqua" w:cs="Arial"/>
      </w:rPr>
    </w:pPr>
    <w:r w:rsidRPr="00926789">
      <w:rPr>
        <w:rStyle w:val="PageNumber"/>
        <w:rFonts w:ascii="Book Antiqua" w:hAnsi="Book Antiqua" w:cs="Arial"/>
      </w:rPr>
      <w:fldChar w:fldCharType="begin"/>
    </w:r>
    <w:r w:rsidRPr="00926789">
      <w:rPr>
        <w:rStyle w:val="PageNumber"/>
        <w:rFonts w:ascii="Book Antiqua" w:hAnsi="Book Antiqua" w:cs="Arial"/>
      </w:rPr>
      <w:instrText xml:space="preserve"> PAGE </w:instrText>
    </w:r>
    <w:r w:rsidRPr="00926789">
      <w:rPr>
        <w:rStyle w:val="PageNumber"/>
        <w:rFonts w:ascii="Book Antiqua" w:hAnsi="Book Antiqua" w:cs="Arial"/>
      </w:rPr>
      <w:fldChar w:fldCharType="separate"/>
    </w:r>
    <w:r w:rsidR="006009A8">
      <w:rPr>
        <w:rStyle w:val="PageNumber"/>
        <w:rFonts w:ascii="Book Antiqua" w:hAnsi="Book Antiqua" w:cs="Arial"/>
        <w:noProof/>
      </w:rPr>
      <w:t>4</w:t>
    </w:r>
    <w:r w:rsidRPr="0092678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1EF9F" w14:textId="77777777" w:rsidR="00CD46D0" w:rsidRPr="00F5664C" w:rsidRDefault="00CD46D0"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6CCE0" w14:textId="77777777" w:rsidR="00201C53" w:rsidRDefault="00201C53">
      <w:r>
        <w:separator/>
      </w:r>
    </w:p>
  </w:footnote>
  <w:footnote w:type="continuationSeparator" w:id="0">
    <w:p w14:paraId="644EFAA7" w14:textId="77777777" w:rsidR="00201C53" w:rsidRDefault="00201C53">
      <w:r>
        <w:continuationSeparator/>
      </w:r>
    </w:p>
  </w:footnote>
  <w:footnote w:type="continuationNotice" w:id="1">
    <w:p w14:paraId="30C1F3DA" w14:textId="77777777" w:rsidR="00201C53" w:rsidRDefault="00201C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B61B2" w14:textId="77777777" w:rsidR="00CD46D0" w:rsidRPr="00596221" w:rsidRDefault="00CD46D0" w:rsidP="00596221">
    <w:pPr>
      <w:tabs>
        <w:tab w:val="right" w:pos="9639"/>
      </w:tabs>
      <w:jc w:val="right"/>
      <w:rPr>
        <w:rFonts w:ascii="Book Antiqua" w:hAnsi="Book Antiqua" w:cs="Arial"/>
        <w:caps/>
        <w:sz w:val="16"/>
        <w:szCs w:val="16"/>
      </w:rPr>
    </w:pPr>
    <w:r w:rsidRPr="00596221">
      <w:rPr>
        <w:rFonts w:ascii="Book Antiqua" w:hAnsi="Book Antiqua" w:cs="Arial"/>
        <w:sz w:val="16"/>
        <w:szCs w:val="16"/>
      </w:rPr>
      <w:t>Appeal Number</w:t>
    </w:r>
    <w:r>
      <w:rPr>
        <w:rFonts w:ascii="Book Antiqua" w:hAnsi="Book Antiqua" w:cs="Arial"/>
        <w:sz w:val="16"/>
        <w:szCs w:val="16"/>
      </w:rPr>
      <w:t>s</w:t>
    </w:r>
    <w:r w:rsidRPr="00596221">
      <w:rPr>
        <w:rFonts w:ascii="Book Antiqua" w:hAnsi="Book Antiqua" w:cs="Arial"/>
        <w:sz w:val="16"/>
        <w:szCs w:val="16"/>
      </w:rPr>
      <w:t xml:space="preserve">: </w:t>
    </w:r>
    <w:r w:rsidRPr="00596221">
      <w:rPr>
        <w:rFonts w:ascii="Book Antiqua" w:hAnsi="Book Antiqua" w:cs="Arial"/>
        <w:caps/>
        <w:sz w:val="16"/>
        <w:szCs w:val="16"/>
      </w:rPr>
      <w:t>IA/02267/2016</w:t>
    </w:r>
  </w:p>
  <w:p w14:paraId="58DFC5F9" w14:textId="77777777" w:rsidR="00CD46D0" w:rsidRDefault="00CD46D0" w:rsidP="00596221">
    <w:pPr>
      <w:tabs>
        <w:tab w:val="right" w:pos="9639"/>
      </w:tabs>
      <w:jc w:val="right"/>
      <w:rPr>
        <w:rFonts w:ascii="Book Antiqua" w:hAnsi="Book Antiqua" w:cs="Arial"/>
        <w:caps/>
        <w:sz w:val="16"/>
        <w:szCs w:val="16"/>
      </w:rPr>
    </w:pPr>
    <w:r w:rsidRPr="00596221">
      <w:rPr>
        <w:rFonts w:ascii="Book Antiqua" w:hAnsi="Book Antiqua" w:cs="Arial"/>
        <w:caps/>
        <w:sz w:val="16"/>
        <w:szCs w:val="16"/>
      </w:rPr>
      <w:t>IA/02268/2016</w:t>
    </w:r>
  </w:p>
  <w:p w14:paraId="1BBAD945" w14:textId="77777777" w:rsidR="00CD46D0" w:rsidRPr="00596221" w:rsidRDefault="00CD46D0" w:rsidP="00596221">
    <w:pPr>
      <w:tabs>
        <w:tab w:val="right" w:pos="9639"/>
      </w:tabs>
      <w:jc w:val="right"/>
      <w:rPr>
        <w:rFonts w:ascii="Book Antiqua" w:hAnsi="Book Antiqua" w:cs="Arial"/>
        <w:sz w:val="16"/>
        <w:szCs w:val="16"/>
      </w:rPr>
    </w:pPr>
  </w:p>
  <w:p w14:paraId="6A2DF08C" w14:textId="77777777" w:rsidR="00CD46D0" w:rsidRPr="00F5664C" w:rsidRDefault="00CD46D0"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7B4F0" w14:textId="77777777" w:rsidR="00CD46D0" w:rsidRPr="00F5664C" w:rsidRDefault="00CD46D0">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1B5"/>
    <w:rsid w:val="00000621"/>
    <w:rsid w:val="000036C2"/>
    <w:rsid w:val="0001222B"/>
    <w:rsid w:val="00033D3D"/>
    <w:rsid w:val="000369F5"/>
    <w:rsid w:val="00071A7E"/>
    <w:rsid w:val="000746C0"/>
    <w:rsid w:val="00074D1D"/>
    <w:rsid w:val="00077227"/>
    <w:rsid w:val="00092580"/>
    <w:rsid w:val="000A5ADA"/>
    <w:rsid w:val="000D01C9"/>
    <w:rsid w:val="000D5D94"/>
    <w:rsid w:val="000E0CD7"/>
    <w:rsid w:val="00114F8B"/>
    <w:rsid w:val="001165A7"/>
    <w:rsid w:val="001259FC"/>
    <w:rsid w:val="00151BB7"/>
    <w:rsid w:val="00167D3A"/>
    <w:rsid w:val="00172A08"/>
    <w:rsid w:val="001A1E2C"/>
    <w:rsid w:val="001C107F"/>
    <w:rsid w:val="001E6D6D"/>
    <w:rsid w:val="001F2716"/>
    <w:rsid w:val="0020133A"/>
    <w:rsid w:val="00201C53"/>
    <w:rsid w:val="00207617"/>
    <w:rsid w:val="00226BFB"/>
    <w:rsid w:val="00236979"/>
    <w:rsid w:val="00255071"/>
    <w:rsid w:val="002572F5"/>
    <w:rsid w:val="00283659"/>
    <w:rsid w:val="002C4E73"/>
    <w:rsid w:val="002D5A7F"/>
    <w:rsid w:val="002D68BF"/>
    <w:rsid w:val="002E75DE"/>
    <w:rsid w:val="0030070F"/>
    <w:rsid w:val="00336CBF"/>
    <w:rsid w:val="003546C8"/>
    <w:rsid w:val="003A7CF2"/>
    <w:rsid w:val="003C5CE5"/>
    <w:rsid w:val="003E267B"/>
    <w:rsid w:val="003E4E17"/>
    <w:rsid w:val="003E7CD1"/>
    <w:rsid w:val="00402B9E"/>
    <w:rsid w:val="004061C2"/>
    <w:rsid w:val="0041360E"/>
    <w:rsid w:val="00423932"/>
    <w:rsid w:val="004249CB"/>
    <w:rsid w:val="0044127D"/>
    <w:rsid w:val="004448DB"/>
    <w:rsid w:val="00446C9A"/>
    <w:rsid w:val="00477193"/>
    <w:rsid w:val="0048288D"/>
    <w:rsid w:val="004A1848"/>
    <w:rsid w:val="00502928"/>
    <w:rsid w:val="00507FEC"/>
    <w:rsid w:val="00510F0E"/>
    <w:rsid w:val="00530B04"/>
    <w:rsid w:val="00532E7D"/>
    <w:rsid w:val="00542DB1"/>
    <w:rsid w:val="005479E1"/>
    <w:rsid w:val="005570FD"/>
    <w:rsid w:val="005575EA"/>
    <w:rsid w:val="0057790C"/>
    <w:rsid w:val="00593795"/>
    <w:rsid w:val="00596221"/>
    <w:rsid w:val="005A75FF"/>
    <w:rsid w:val="005B7789"/>
    <w:rsid w:val="006009A8"/>
    <w:rsid w:val="0065791C"/>
    <w:rsid w:val="0067618E"/>
    <w:rsid w:val="006803E1"/>
    <w:rsid w:val="00690B8A"/>
    <w:rsid w:val="006D1DFA"/>
    <w:rsid w:val="006D506B"/>
    <w:rsid w:val="006E3C90"/>
    <w:rsid w:val="006F1E04"/>
    <w:rsid w:val="00704B61"/>
    <w:rsid w:val="00707DB1"/>
    <w:rsid w:val="007353BB"/>
    <w:rsid w:val="00742A8D"/>
    <w:rsid w:val="007552A9"/>
    <w:rsid w:val="00761858"/>
    <w:rsid w:val="00767D59"/>
    <w:rsid w:val="00776E97"/>
    <w:rsid w:val="00780FD7"/>
    <w:rsid w:val="0078703A"/>
    <w:rsid w:val="007912AD"/>
    <w:rsid w:val="007A1F28"/>
    <w:rsid w:val="007B0824"/>
    <w:rsid w:val="007F7FED"/>
    <w:rsid w:val="008303B8"/>
    <w:rsid w:val="00833DCE"/>
    <w:rsid w:val="00842418"/>
    <w:rsid w:val="008533CF"/>
    <w:rsid w:val="008634DB"/>
    <w:rsid w:val="00871D34"/>
    <w:rsid w:val="008B270C"/>
    <w:rsid w:val="008C3D3D"/>
    <w:rsid w:val="008D2858"/>
    <w:rsid w:val="008D4131"/>
    <w:rsid w:val="008E64B9"/>
    <w:rsid w:val="008F1932"/>
    <w:rsid w:val="008F294D"/>
    <w:rsid w:val="008F4C86"/>
    <w:rsid w:val="009168AC"/>
    <w:rsid w:val="00921062"/>
    <w:rsid w:val="0092618D"/>
    <w:rsid w:val="00926789"/>
    <w:rsid w:val="0093083E"/>
    <w:rsid w:val="0093333B"/>
    <w:rsid w:val="0094403D"/>
    <w:rsid w:val="00966ECF"/>
    <w:rsid w:val="009727A3"/>
    <w:rsid w:val="00987774"/>
    <w:rsid w:val="009A11E8"/>
    <w:rsid w:val="009E4E62"/>
    <w:rsid w:val="009F0399"/>
    <w:rsid w:val="009F518E"/>
    <w:rsid w:val="009F5220"/>
    <w:rsid w:val="009F7C4D"/>
    <w:rsid w:val="00A15234"/>
    <w:rsid w:val="00A201AB"/>
    <w:rsid w:val="00A31C8B"/>
    <w:rsid w:val="00A51536"/>
    <w:rsid w:val="00A73F67"/>
    <w:rsid w:val="00A75965"/>
    <w:rsid w:val="00A845DC"/>
    <w:rsid w:val="00A86239"/>
    <w:rsid w:val="00A97AEE"/>
    <w:rsid w:val="00AC5CF6"/>
    <w:rsid w:val="00B144FA"/>
    <w:rsid w:val="00B16F58"/>
    <w:rsid w:val="00B30648"/>
    <w:rsid w:val="00B3524D"/>
    <w:rsid w:val="00B35AF6"/>
    <w:rsid w:val="00B40F69"/>
    <w:rsid w:val="00B46616"/>
    <w:rsid w:val="00B52A42"/>
    <w:rsid w:val="00B610E3"/>
    <w:rsid w:val="00B61205"/>
    <w:rsid w:val="00B617C4"/>
    <w:rsid w:val="00B626FA"/>
    <w:rsid w:val="00B7040A"/>
    <w:rsid w:val="00B96FA0"/>
    <w:rsid w:val="00BC42D3"/>
    <w:rsid w:val="00BD4196"/>
    <w:rsid w:val="00BF22CA"/>
    <w:rsid w:val="00C26032"/>
    <w:rsid w:val="00C265B0"/>
    <w:rsid w:val="00C321B5"/>
    <w:rsid w:val="00C345E1"/>
    <w:rsid w:val="00C36A07"/>
    <w:rsid w:val="00C977BA"/>
    <w:rsid w:val="00CB6E35"/>
    <w:rsid w:val="00CD46D0"/>
    <w:rsid w:val="00CE1A46"/>
    <w:rsid w:val="00CE26B2"/>
    <w:rsid w:val="00CE6AFA"/>
    <w:rsid w:val="00CF01A8"/>
    <w:rsid w:val="00CF253F"/>
    <w:rsid w:val="00CF56B4"/>
    <w:rsid w:val="00D20F09"/>
    <w:rsid w:val="00D22636"/>
    <w:rsid w:val="00D22FA8"/>
    <w:rsid w:val="00D24A9C"/>
    <w:rsid w:val="00D40FD9"/>
    <w:rsid w:val="00D53769"/>
    <w:rsid w:val="00D562ED"/>
    <w:rsid w:val="00D63446"/>
    <w:rsid w:val="00D647F9"/>
    <w:rsid w:val="00D65912"/>
    <w:rsid w:val="00D85C13"/>
    <w:rsid w:val="00D91BE3"/>
    <w:rsid w:val="00D94AFC"/>
    <w:rsid w:val="00DB70AE"/>
    <w:rsid w:val="00DB7231"/>
    <w:rsid w:val="00DD5071"/>
    <w:rsid w:val="00DD5C39"/>
    <w:rsid w:val="00DE26AF"/>
    <w:rsid w:val="00DE7DB7"/>
    <w:rsid w:val="00E00A0A"/>
    <w:rsid w:val="00E07F57"/>
    <w:rsid w:val="00E1040E"/>
    <w:rsid w:val="00E50BCE"/>
    <w:rsid w:val="00E61292"/>
    <w:rsid w:val="00E76309"/>
    <w:rsid w:val="00E77C4D"/>
    <w:rsid w:val="00E81D01"/>
    <w:rsid w:val="00E86D5C"/>
    <w:rsid w:val="00EA161D"/>
    <w:rsid w:val="00ED2C4B"/>
    <w:rsid w:val="00EE45D8"/>
    <w:rsid w:val="00EF53C8"/>
    <w:rsid w:val="00F004CD"/>
    <w:rsid w:val="00F22A22"/>
    <w:rsid w:val="00F22EDA"/>
    <w:rsid w:val="00F3224D"/>
    <w:rsid w:val="00F33E0E"/>
    <w:rsid w:val="00F541B5"/>
    <w:rsid w:val="00F5664C"/>
    <w:rsid w:val="00F87611"/>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E8876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8D2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1333</Words>
  <Characters>6534</Characters>
  <Application>Microsoft Office Word</Application>
  <DocSecurity>0</DocSecurity>
  <Lines>54</Lines>
  <Paragraphs>15</Paragraphs>
  <ScaleCrop>false</ScaleCrop>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2018-07-13T16:51:00Z</dcterms:created>
  <dcterms:modified xsi:type="dcterms:W3CDTF">2018-07-13T16:51:00Z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