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47096"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80676C"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80676C">
        <w:rPr>
          <w:rFonts w:ascii="Book Antiqua" w:hAnsi="Book Antiqua" w:cs="Arial"/>
          <w:b/>
        </w:rPr>
        <w:t xml:space="preserve">   </w:t>
      </w:r>
      <w:proofErr w:type="gramEnd"/>
      <w:r w:rsidR="0080676C">
        <w:rPr>
          <w:rFonts w:ascii="Book Antiqua" w:hAnsi="Book Antiqua" w:cs="Arial"/>
          <w:b/>
        </w:rPr>
        <w:t xml:space="preserve">                   </w:t>
      </w:r>
      <w:r w:rsidR="00B3524D" w:rsidRPr="0080676C">
        <w:rPr>
          <w:rFonts w:ascii="Book Antiqua" w:hAnsi="Book Antiqua" w:cs="Arial"/>
          <w:b/>
        </w:rPr>
        <w:t>Appeal Number</w:t>
      </w:r>
      <w:r w:rsidR="00D53769" w:rsidRPr="0080676C">
        <w:rPr>
          <w:rFonts w:ascii="Book Antiqua" w:hAnsi="Book Antiqua" w:cs="Arial"/>
          <w:b/>
        </w:rPr>
        <w:t>:</w:t>
      </w:r>
      <w:r w:rsidR="00B3524D" w:rsidRPr="0080676C">
        <w:rPr>
          <w:rFonts w:ascii="Book Antiqua" w:hAnsi="Book Antiqua" w:cs="Arial"/>
          <w:b/>
        </w:rPr>
        <w:t xml:space="preserve"> </w:t>
      </w:r>
      <w:r w:rsidR="00277215" w:rsidRPr="0080676C">
        <w:rPr>
          <w:rFonts w:ascii="Book Antiqua" w:hAnsi="Book Antiqua" w:cs="Arial"/>
          <w:b/>
          <w:caps/>
        </w:rPr>
        <w:t>IA/06637/2014</w:t>
      </w:r>
    </w:p>
    <w:p w:rsidR="00C345E1" w:rsidRPr="0080676C" w:rsidRDefault="00C345E1" w:rsidP="00C345E1">
      <w:pPr>
        <w:jc w:val="center"/>
        <w:rPr>
          <w:rFonts w:ascii="Book Antiqua" w:hAnsi="Book Antiqua" w:cs="Arial"/>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837"/>
        <w:gridCol w:w="3960"/>
      </w:tblGrid>
      <w:tr w:rsidR="00D22636" w:rsidRPr="006E1FD1" w:rsidTr="005522DF">
        <w:tc>
          <w:tcPr>
            <w:tcW w:w="5211" w:type="dxa"/>
            <w:shd w:val="clear" w:color="auto" w:fill="auto"/>
          </w:tcPr>
          <w:p w:rsidR="00D22636" w:rsidRPr="006E1FD1" w:rsidRDefault="00D22636" w:rsidP="006E1FD1">
            <w:pPr>
              <w:jc w:val="both"/>
              <w:rPr>
                <w:rFonts w:ascii="Book Antiqua" w:hAnsi="Book Antiqua" w:cs="Arial"/>
                <w:b/>
              </w:rPr>
            </w:pPr>
            <w:r w:rsidRPr="006E1FD1">
              <w:rPr>
                <w:rFonts w:ascii="Book Antiqua" w:hAnsi="Book Antiqua" w:cs="Arial"/>
                <w:b/>
              </w:rPr>
              <w:t xml:space="preserve">Heard at </w:t>
            </w:r>
            <w:r w:rsidR="00277215" w:rsidRPr="006E1FD1">
              <w:rPr>
                <w:rFonts w:ascii="Book Antiqua" w:hAnsi="Book Antiqua" w:cs="Arial"/>
                <w:b/>
              </w:rPr>
              <w:t>Field House</w:t>
            </w:r>
          </w:p>
        </w:tc>
        <w:tc>
          <w:tcPr>
            <w:tcW w:w="4797" w:type="dxa"/>
            <w:gridSpan w:val="2"/>
            <w:shd w:val="clear" w:color="auto" w:fill="auto"/>
          </w:tcPr>
          <w:p w:rsidR="00D22636" w:rsidRPr="006E1FD1" w:rsidRDefault="008508AD" w:rsidP="006E1FD1">
            <w:pPr>
              <w:jc w:val="both"/>
              <w:rPr>
                <w:rFonts w:ascii="Book Antiqua" w:hAnsi="Book Antiqua" w:cs="Arial"/>
                <w:b/>
              </w:rPr>
            </w:pPr>
            <w:r w:rsidRPr="006E1FD1">
              <w:rPr>
                <w:rFonts w:ascii="Book Antiqua" w:hAnsi="Book Antiqua" w:cs="Arial"/>
                <w:b/>
              </w:rPr>
              <w:t>Decision &amp; Reasons</w:t>
            </w:r>
            <w:r w:rsidR="00283659" w:rsidRPr="006E1FD1">
              <w:rPr>
                <w:rFonts w:ascii="Book Antiqua" w:hAnsi="Book Antiqua" w:cs="Arial"/>
                <w:b/>
              </w:rPr>
              <w:t xml:space="preserve"> Promulgated</w:t>
            </w:r>
          </w:p>
        </w:tc>
      </w:tr>
      <w:tr w:rsidR="00D22636" w:rsidRPr="006E1FD1" w:rsidTr="005522DF">
        <w:tc>
          <w:tcPr>
            <w:tcW w:w="5211" w:type="dxa"/>
            <w:shd w:val="clear" w:color="auto" w:fill="auto"/>
          </w:tcPr>
          <w:p w:rsidR="00D22636" w:rsidRPr="006E1FD1" w:rsidRDefault="00D22636" w:rsidP="006E1FD1">
            <w:pPr>
              <w:jc w:val="both"/>
              <w:rPr>
                <w:rFonts w:ascii="Book Antiqua" w:hAnsi="Book Antiqua" w:cs="Arial"/>
                <w:b/>
              </w:rPr>
            </w:pPr>
            <w:r w:rsidRPr="006E1FD1">
              <w:rPr>
                <w:rFonts w:ascii="Book Antiqua" w:hAnsi="Book Antiqua" w:cs="Arial"/>
                <w:b/>
              </w:rPr>
              <w:t xml:space="preserve">On </w:t>
            </w:r>
            <w:r w:rsidR="00277215" w:rsidRPr="006E1FD1">
              <w:rPr>
                <w:rFonts w:ascii="Book Antiqua" w:hAnsi="Book Antiqua" w:cs="Arial"/>
                <w:b/>
              </w:rPr>
              <w:t>18 January 2018</w:t>
            </w:r>
          </w:p>
        </w:tc>
        <w:tc>
          <w:tcPr>
            <w:tcW w:w="4797" w:type="dxa"/>
            <w:gridSpan w:val="2"/>
            <w:shd w:val="clear" w:color="auto" w:fill="auto"/>
          </w:tcPr>
          <w:p w:rsidR="00D22636" w:rsidRPr="006E1FD1" w:rsidRDefault="005522DF" w:rsidP="006E1FD1">
            <w:pPr>
              <w:jc w:val="both"/>
              <w:rPr>
                <w:rFonts w:ascii="Book Antiqua" w:hAnsi="Book Antiqua" w:cs="Arial"/>
                <w:b/>
              </w:rPr>
            </w:pPr>
            <w:r>
              <w:rPr>
                <w:rFonts w:ascii="Book Antiqua" w:hAnsi="Book Antiqua" w:cs="Arial"/>
                <w:b/>
              </w:rPr>
              <w:t xml:space="preserve">On 08 June 2018 </w:t>
            </w:r>
          </w:p>
        </w:tc>
      </w:tr>
      <w:tr w:rsidR="005522DF" w:rsidRPr="006E1FD1" w:rsidTr="006E1FD1">
        <w:trPr>
          <w:gridAfter w:val="1"/>
          <w:wAfter w:w="3960" w:type="dxa"/>
        </w:trPr>
        <w:tc>
          <w:tcPr>
            <w:tcW w:w="6048" w:type="dxa"/>
            <w:gridSpan w:val="2"/>
            <w:shd w:val="clear" w:color="auto" w:fill="auto"/>
          </w:tcPr>
          <w:p w:rsidR="005522DF" w:rsidRPr="006E1FD1" w:rsidRDefault="005522DF" w:rsidP="006E1FD1">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277215" w:rsidP="00742A8D">
      <w:pPr>
        <w:jc w:val="center"/>
        <w:rPr>
          <w:rFonts w:ascii="Book Antiqua" w:hAnsi="Book Antiqua" w:cs="Arial"/>
          <w:b/>
          <w:caps/>
        </w:rPr>
      </w:pPr>
      <w:r>
        <w:rPr>
          <w:rFonts w:ascii="Book Antiqua" w:hAnsi="Book Antiqua" w:cs="Arial"/>
          <w:b/>
          <w:caps/>
        </w:rPr>
        <w:t>mely jane marcelo</w:t>
      </w:r>
    </w:p>
    <w:p w:rsidR="008508AD" w:rsidRPr="0080676C" w:rsidRDefault="008508AD" w:rsidP="008508AD">
      <w:pPr>
        <w:jc w:val="center"/>
        <w:rPr>
          <w:rFonts w:ascii="Book Antiqua" w:hAnsi="Book Antiqua" w:cs="Arial"/>
          <w:caps/>
        </w:rPr>
      </w:pPr>
      <w:r w:rsidRPr="0080676C">
        <w:rPr>
          <w:rFonts w:ascii="Book Antiqua" w:hAnsi="Book Antiqua" w:cs="Arial"/>
          <w:caps/>
        </w:rPr>
        <w:t xml:space="preserve">(ANONYMITY DIRECTION </w:t>
      </w:r>
      <w:r w:rsidR="00277215" w:rsidRPr="0080676C">
        <w:rPr>
          <w:rFonts w:ascii="Book Antiqua" w:hAnsi="Book Antiqua" w:cs="Arial"/>
          <w:caps/>
        </w:rPr>
        <w:t>not made</w:t>
      </w:r>
      <w:r w:rsidRPr="0080676C">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80676C" w:rsidRPr="00F5664C" w:rsidRDefault="0080676C"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bookmarkStart w:id="0" w:name="_GoBack"/>
      <w:bookmarkEnd w:id="0"/>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277215">
        <w:rPr>
          <w:rFonts w:ascii="Book Antiqua" w:hAnsi="Book Antiqua" w:cs="Arial"/>
        </w:rPr>
        <w:t>Mr Singer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277215">
        <w:rPr>
          <w:rFonts w:ascii="Book Antiqua" w:hAnsi="Book Antiqua" w:cs="Arial"/>
        </w:rPr>
        <w:t xml:space="preserve">Mr Nath, Senior </w:t>
      </w:r>
      <w:r w:rsidR="00277215" w:rsidRPr="00277215">
        <w:rPr>
          <w:rFonts w:ascii="Book Antiqua" w:hAnsi="Book Antiqua" w:cs="Arial"/>
        </w:rPr>
        <w:t>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0F76DE" w:rsidRDefault="00277215" w:rsidP="000F76DE">
      <w:pPr>
        <w:numPr>
          <w:ilvl w:val="0"/>
          <w:numId w:val="3"/>
        </w:numPr>
        <w:spacing w:before="240"/>
        <w:jc w:val="both"/>
        <w:rPr>
          <w:rFonts w:ascii="Book Antiqua" w:hAnsi="Book Antiqua" w:cs="Arial"/>
        </w:rPr>
      </w:pPr>
      <w:r>
        <w:rPr>
          <w:rFonts w:ascii="Book Antiqua" w:hAnsi="Book Antiqua" w:cs="Arial"/>
        </w:rPr>
        <w:t xml:space="preserve">The appellant, Mely Jane Marcelo, was born on 10 May 1978 and is a female citizen of the </w:t>
      </w:r>
      <w:smartTag w:uri="urn:schemas-microsoft-com:office:smarttags" w:element="country-region">
        <w:smartTag w:uri="urn:schemas-microsoft-com:office:smarttags" w:element="place">
          <w:r>
            <w:rPr>
              <w:rFonts w:ascii="Book Antiqua" w:hAnsi="Book Antiqua" w:cs="Arial"/>
            </w:rPr>
            <w:t>Philippines</w:t>
          </w:r>
        </w:smartTag>
      </w:smartTag>
      <w:r>
        <w:rPr>
          <w:rFonts w:ascii="Book Antiqua" w:hAnsi="Book Antiqua" w:cs="Arial"/>
        </w:rPr>
        <w:t xml:space="preserve">.  It is accepted that she is in a genuine and subsisting relationship with her husband, Mr Ramess Seeballuk (hereafter the sponsor).  The sponsor is a British citizen who was born on 16 June 1945.  The appellant sought leave to remain for the purposes of settlement with the sponsor having previously entered the </w:t>
      </w:r>
      <w:smartTag w:uri="urn:schemas-microsoft-com:office:smarttags" w:element="country-region">
        <w:smartTag w:uri="urn:schemas-microsoft-com:office:smarttags" w:element="place">
          <w:r>
            <w:rPr>
              <w:rFonts w:ascii="Book Antiqua" w:hAnsi="Book Antiqua" w:cs="Arial"/>
            </w:rPr>
            <w:t>United Kingdom</w:t>
          </w:r>
        </w:smartTag>
      </w:smartTag>
      <w:r>
        <w:rPr>
          <w:rFonts w:ascii="Book Antiqua" w:hAnsi="Book Antiqua" w:cs="Arial"/>
        </w:rPr>
        <w:t xml:space="preserve"> in 2008 as a student.  Her application was refused by a decision of the </w:t>
      </w:r>
      <w:r w:rsidRPr="00277215">
        <w:rPr>
          <w:rFonts w:ascii="Book Antiqua" w:hAnsi="Book Antiqua" w:cs="Arial"/>
        </w:rPr>
        <w:t xml:space="preserve">Secretary of State </w:t>
      </w:r>
      <w:r>
        <w:rPr>
          <w:rFonts w:ascii="Book Antiqua" w:hAnsi="Book Antiqua" w:cs="Arial"/>
        </w:rPr>
        <w:t>dated 16 January 2014.  The appellant appealed to the First-tier Tribunal (Judge Rowlands) which, in a decision promulgated on 20 August 2014 dismissed the appeal.  The appellant appealed to the Upper Tribunal (Deputy Upper Tribunal Judge McWilliam</w:t>
      </w:r>
      <w:r w:rsidR="00F45C2A">
        <w:rPr>
          <w:rFonts w:ascii="Book Antiqua" w:hAnsi="Book Antiqua" w:cs="Arial"/>
        </w:rPr>
        <w:t>,</w:t>
      </w:r>
      <w:r>
        <w:rPr>
          <w:rFonts w:ascii="Book Antiqua" w:hAnsi="Book Antiqua" w:cs="Arial"/>
        </w:rPr>
        <w:t xml:space="preserve"> as she then was) with permission</w:t>
      </w:r>
      <w:r w:rsidR="00F45C2A">
        <w:rPr>
          <w:rFonts w:ascii="Book Antiqua" w:hAnsi="Book Antiqua" w:cs="Arial"/>
        </w:rPr>
        <w:t xml:space="preserve"> who dismissed the </w:t>
      </w:r>
      <w:r w:rsidR="00F45C2A">
        <w:rPr>
          <w:rFonts w:ascii="Book Antiqua" w:hAnsi="Book Antiqua" w:cs="Arial"/>
        </w:rPr>
        <w:lastRenderedPageBreak/>
        <w:t>appeal</w:t>
      </w:r>
      <w:r>
        <w:rPr>
          <w:rFonts w:ascii="Book Antiqua" w:hAnsi="Book Antiqua" w:cs="Arial"/>
        </w:rPr>
        <w:t xml:space="preserve">.  Permission was granted to the Court of Appeal by Maurice Kay LJ (retired) </w:t>
      </w:r>
      <w:r w:rsidR="00F45C2A">
        <w:rPr>
          <w:rFonts w:ascii="Book Antiqua" w:hAnsi="Book Antiqua" w:cs="Arial"/>
        </w:rPr>
        <w:t>on</w:t>
      </w:r>
      <w:r>
        <w:rPr>
          <w:rFonts w:ascii="Book Antiqua" w:hAnsi="Book Antiqua" w:cs="Arial"/>
        </w:rPr>
        <w:t xml:space="preserve"> 25 May 2015.  The appeal was disposed of by a consent order which is dated 5 October 2015 which provided for the appeal to be allowed to the extent that it was remitted to the Upper Tribunal to be reheard.  Conseq</w:t>
      </w:r>
      <w:r w:rsidR="006B0CAC">
        <w:rPr>
          <w:rFonts w:ascii="Book Antiqua" w:hAnsi="Book Antiqua" w:cs="Arial"/>
        </w:rPr>
        <w:t>u</w:t>
      </w:r>
      <w:r>
        <w:rPr>
          <w:rFonts w:ascii="Book Antiqua" w:hAnsi="Book Antiqua" w:cs="Arial"/>
        </w:rPr>
        <w:t>ently, the appeal came before me at Field House on 18 January 2018.</w:t>
      </w:r>
    </w:p>
    <w:p w:rsidR="00277215" w:rsidRDefault="00277215" w:rsidP="000F76DE">
      <w:pPr>
        <w:numPr>
          <w:ilvl w:val="0"/>
          <w:numId w:val="3"/>
        </w:numPr>
        <w:spacing w:before="240"/>
        <w:jc w:val="both"/>
        <w:rPr>
          <w:rFonts w:ascii="Book Antiqua" w:hAnsi="Book Antiqua" w:cs="Arial"/>
        </w:rPr>
      </w:pPr>
      <w:r>
        <w:rPr>
          <w:rFonts w:ascii="Book Antiqua" w:hAnsi="Book Antiqua" w:cs="Arial"/>
        </w:rPr>
        <w:t>The parties agree that Judge Rowlands made an error of fact.  He incorrectly recorded the sponsor’s income from a pension as £70,000 as opposed to £17,000.  Granting permission to appeal to the Court of Appeal, Maurice Kay LJ wrote:</w:t>
      </w:r>
    </w:p>
    <w:p w:rsidR="00277215" w:rsidRPr="00277215" w:rsidRDefault="00277215" w:rsidP="00277215">
      <w:pPr>
        <w:spacing w:before="240"/>
        <w:ind w:left="1134"/>
        <w:jc w:val="both"/>
        <w:rPr>
          <w:rFonts w:ascii="Book Antiqua" w:hAnsi="Book Antiqua" w:cs="Arial"/>
          <w:sz w:val="22"/>
          <w:szCs w:val="22"/>
        </w:rPr>
      </w:pPr>
      <w:r w:rsidRPr="00277215">
        <w:rPr>
          <w:rFonts w:ascii="Book Antiqua" w:hAnsi="Book Antiqua" w:cs="Arial"/>
          <w:sz w:val="22"/>
          <w:szCs w:val="22"/>
        </w:rPr>
        <w:t>I consider there are compelling reasons to grant permission in this case.  A mistake made by the FTT as to income (£70k rather than £17k) had a knock-on effect of rendering any out of country application under the Immigration Rules unlikely to succeed, contrary to the assumption of the FTT.  In these circumstances it is strongly arguable that the error led to inferences hence the assessment of “insurmountable” was not made on the correct factual basis.</w:t>
      </w:r>
    </w:p>
    <w:p w:rsidR="00277215" w:rsidRDefault="004667DC" w:rsidP="000F76DE">
      <w:pPr>
        <w:numPr>
          <w:ilvl w:val="0"/>
          <w:numId w:val="3"/>
        </w:numPr>
        <w:spacing w:before="240"/>
        <w:jc w:val="both"/>
        <w:rPr>
          <w:rFonts w:ascii="Book Antiqua" w:hAnsi="Book Antiqua" w:cs="Arial"/>
        </w:rPr>
      </w:pPr>
      <w:r>
        <w:rPr>
          <w:rFonts w:ascii="Book Antiqua" w:hAnsi="Book Antiqua" w:cs="Arial"/>
        </w:rPr>
        <w:t>Judge Rowland</w:t>
      </w:r>
      <w:r w:rsidR="00965F8D">
        <w:rPr>
          <w:rFonts w:ascii="Book Antiqua" w:hAnsi="Book Antiqua" w:cs="Arial"/>
        </w:rPr>
        <w:t>s</w:t>
      </w:r>
      <w:r>
        <w:rPr>
          <w:rFonts w:ascii="Book Antiqua" w:hAnsi="Book Antiqua" w:cs="Arial"/>
        </w:rPr>
        <w:t xml:space="preserve"> repeat</w:t>
      </w:r>
      <w:r w:rsidR="00965F8D">
        <w:rPr>
          <w:rFonts w:ascii="Book Antiqua" w:hAnsi="Book Antiqua" w:cs="Arial"/>
        </w:rPr>
        <w:t>s</w:t>
      </w:r>
      <w:r w:rsidR="00F45C2A">
        <w:rPr>
          <w:rFonts w:ascii="Book Antiqua" w:hAnsi="Book Antiqua" w:cs="Arial"/>
        </w:rPr>
        <w:t xml:space="preserve"> several times the same error [20] which has l</w:t>
      </w:r>
      <w:r>
        <w:rPr>
          <w:rFonts w:ascii="Book Antiqua" w:hAnsi="Book Antiqua" w:cs="Arial"/>
        </w:rPr>
        <w:t xml:space="preserve">ed to him </w:t>
      </w:r>
      <w:r w:rsidR="00F45C2A">
        <w:rPr>
          <w:rFonts w:ascii="Book Antiqua" w:hAnsi="Book Antiqua" w:cs="Arial"/>
        </w:rPr>
        <w:t xml:space="preserve">to </w:t>
      </w:r>
      <w:r>
        <w:rPr>
          <w:rFonts w:ascii="Book Antiqua" w:hAnsi="Book Antiqua" w:cs="Arial"/>
        </w:rPr>
        <w:t xml:space="preserve">refer to the appellant and the sponsor as “a wealthy couple”.  It was </w:t>
      </w:r>
      <w:proofErr w:type="gramStart"/>
      <w:r>
        <w:rPr>
          <w:rFonts w:ascii="Book Antiqua" w:hAnsi="Book Antiqua" w:cs="Arial"/>
        </w:rPr>
        <w:t>on the basis of</w:t>
      </w:r>
      <w:proofErr w:type="gramEnd"/>
      <w:r>
        <w:rPr>
          <w:rFonts w:ascii="Book Antiqua" w:hAnsi="Book Antiqua" w:cs="Arial"/>
        </w:rPr>
        <w:t xml:space="preserve"> </w:t>
      </w:r>
      <w:r w:rsidR="00F45C2A">
        <w:rPr>
          <w:rFonts w:ascii="Book Antiqua" w:hAnsi="Book Antiqua" w:cs="Arial"/>
        </w:rPr>
        <w:t>t</w:t>
      </w:r>
      <w:r>
        <w:rPr>
          <w:rFonts w:ascii="Book Antiqua" w:hAnsi="Book Antiqua" w:cs="Arial"/>
        </w:rPr>
        <w:t>his misunderstanding that the judge concluded, for the purposes of applying paragraph EX.1, that there were no “insurmountable obstacles” to the appellant and sponsor continuing their family rel</w:t>
      </w:r>
      <w:r w:rsidR="00F45C2A">
        <w:rPr>
          <w:rFonts w:ascii="Book Antiqua" w:hAnsi="Book Antiqua" w:cs="Arial"/>
        </w:rPr>
        <w:t>ationship in the Philippines.  I find that the appellant i</w:t>
      </w:r>
      <w:r>
        <w:rPr>
          <w:rFonts w:ascii="Book Antiqua" w:hAnsi="Book Antiqua" w:cs="Arial"/>
        </w:rPr>
        <w:t>s entitled to have her case determined according to the correct facts and, in light of the plain error, I am not satisfied that Judge Rowlands</w:t>
      </w:r>
      <w:r w:rsidR="00965F8D">
        <w:rPr>
          <w:rFonts w:ascii="Book Antiqua" w:hAnsi="Book Antiqua" w:cs="Arial"/>
        </w:rPr>
        <w:t>’</w:t>
      </w:r>
      <w:r>
        <w:rPr>
          <w:rFonts w:ascii="Book Antiqua" w:hAnsi="Book Antiqua" w:cs="Arial"/>
        </w:rPr>
        <w:t xml:space="preserve"> decision may stand.</w:t>
      </w:r>
    </w:p>
    <w:p w:rsidR="004667DC" w:rsidRDefault="004667DC" w:rsidP="000F76DE">
      <w:pPr>
        <w:numPr>
          <w:ilvl w:val="0"/>
          <w:numId w:val="3"/>
        </w:numPr>
        <w:spacing w:before="240"/>
        <w:jc w:val="both"/>
        <w:rPr>
          <w:rFonts w:ascii="Book Antiqua" w:hAnsi="Book Antiqua" w:cs="Arial"/>
        </w:rPr>
      </w:pPr>
      <w:r>
        <w:rPr>
          <w:rFonts w:ascii="Book Antiqua" w:hAnsi="Book Antiqua" w:cs="Arial"/>
        </w:rPr>
        <w:t xml:space="preserve">I set aside the First-tier Tribunal’s decision.  </w:t>
      </w:r>
      <w:r w:rsidR="00F45C2A">
        <w:rPr>
          <w:rFonts w:ascii="Book Antiqua" w:hAnsi="Book Antiqua" w:cs="Arial"/>
        </w:rPr>
        <w:t>I proceed to remake the decision. T</w:t>
      </w:r>
      <w:r>
        <w:rPr>
          <w:rFonts w:ascii="Book Antiqua" w:hAnsi="Book Antiqua" w:cs="Arial"/>
        </w:rPr>
        <w:t xml:space="preserve">he </w:t>
      </w:r>
      <w:r w:rsidR="00F45C2A">
        <w:rPr>
          <w:rFonts w:ascii="Book Antiqua" w:hAnsi="Book Antiqua" w:cs="Arial"/>
        </w:rPr>
        <w:t xml:space="preserve">appellant’s </w:t>
      </w:r>
      <w:r>
        <w:rPr>
          <w:rFonts w:ascii="Book Antiqua" w:hAnsi="Book Antiqua" w:cs="Arial"/>
        </w:rPr>
        <w:t xml:space="preserve">circumstances </w:t>
      </w:r>
      <w:r w:rsidR="00F45C2A">
        <w:rPr>
          <w:rFonts w:ascii="Book Antiqua" w:hAnsi="Book Antiqua" w:cs="Arial"/>
        </w:rPr>
        <w:t>have changed since the appeal was before the First-tier Tribunal</w:t>
      </w:r>
      <w:r>
        <w:rPr>
          <w:rFonts w:ascii="Book Antiqua" w:hAnsi="Book Antiqua" w:cs="Arial"/>
        </w:rPr>
        <w:t xml:space="preserve">.  In a helpful skeleton argument prepared for the Upper Tribunal by Mr Singer, the </w:t>
      </w:r>
      <w:r w:rsidR="00F45C2A">
        <w:rPr>
          <w:rFonts w:ascii="Book Antiqua" w:hAnsi="Book Antiqua" w:cs="Arial"/>
        </w:rPr>
        <w:t xml:space="preserve">relevant </w:t>
      </w:r>
      <w:r>
        <w:rPr>
          <w:rFonts w:ascii="Book Antiqua" w:hAnsi="Book Antiqua" w:cs="Arial"/>
        </w:rPr>
        <w:t xml:space="preserve">facts are set out in detail.  The </w:t>
      </w:r>
      <w:r w:rsidR="00F45C2A">
        <w:rPr>
          <w:rFonts w:ascii="Book Antiqua" w:hAnsi="Book Antiqua" w:cs="Arial"/>
        </w:rPr>
        <w:t xml:space="preserve">most significant change is that </w:t>
      </w:r>
      <w:r>
        <w:rPr>
          <w:rFonts w:ascii="Book Antiqua" w:hAnsi="Book Antiqua" w:cs="Arial"/>
        </w:rPr>
        <w:t xml:space="preserve">the sponsor now receives Attendance Allowance.  </w:t>
      </w:r>
      <w:proofErr w:type="gramStart"/>
      <w:r>
        <w:rPr>
          <w:rFonts w:ascii="Book Antiqua" w:hAnsi="Book Antiqua" w:cs="Arial"/>
        </w:rPr>
        <w:t>As a consequence</w:t>
      </w:r>
      <w:proofErr w:type="gramEnd"/>
      <w:r>
        <w:rPr>
          <w:rFonts w:ascii="Book Antiqua" w:hAnsi="Book Antiqua" w:cs="Arial"/>
        </w:rPr>
        <w:t>, the circumstances of the appellant fall within Appendix FM, E-ECP</w:t>
      </w:r>
      <w:r w:rsidR="00F45C2A">
        <w:rPr>
          <w:rFonts w:ascii="Book Antiqua" w:hAnsi="Book Antiqua" w:cs="Arial"/>
        </w:rPr>
        <w:t xml:space="preserve"> </w:t>
      </w:r>
      <w:r>
        <w:rPr>
          <w:rFonts w:ascii="Book Antiqua" w:hAnsi="Book Antiqua" w:cs="Arial"/>
        </w:rPr>
        <w:t>3.3:</w:t>
      </w:r>
    </w:p>
    <w:p w:rsidR="00F45C2A" w:rsidRPr="00F45C2A" w:rsidRDefault="00F45C2A" w:rsidP="00F45C2A">
      <w:pPr>
        <w:spacing w:before="240"/>
        <w:ind w:left="1134"/>
        <w:jc w:val="both"/>
        <w:rPr>
          <w:rFonts w:ascii="Book Antiqua" w:hAnsi="Book Antiqua" w:cs="Arial"/>
        </w:rPr>
      </w:pPr>
      <w:r w:rsidRPr="00F45C2A">
        <w:rPr>
          <w:rFonts w:ascii="Book Antiqua" w:hAnsi="Book Antiqua" w:cs="Arial"/>
        </w:rPr>
        <w:t>E-ECP.3.3. The requirements to be met under this paragraph are-</w:t>
      </w:r>
    </w:p>
    <w:p w:rsidR="00F45C2A" w:rsidRPr="00F45C2A" w:rsidRDefault="00F45C2A" w:rsidP="00F45C2A">
      <w:pPr>
        <w:spacing w:before="240"/>
        <w:ind w:left="1134"/>
        <w:jc w:val="both"/>
        <w:rPr>
          <w:rFonts w:ascii="Book Antiqua" w:hAnsi="Book Antiqua" w:cs="Arial"/>
        </w:rPr>
      </w:pPr>
    </w:p>
    <w:p w:rsidR="00F45C2A" w:rsidRPr="00F45C2A" w:rsidRDefault="00F45C2A" w:rsidP="00F45C2A">
      <w:pPr>
        <w:spacing w:before="240"/>
        <w:ind w:left="1134"/>
        <w:jc w:val="both"/>
        <w:rPr>
          <w:rFonts w:ascii="Book Antiqua" w:hAnsi="Book Antiqua" w:cs="Arial"/>
        </w:rPr>
      </w:pPr>
      <w:r w:rsidRPr="00F45C2A">
        <w:rPr>
          <w:rFonts w:ascii="Book Antiqua" w:hAnsi="Book Antiqua" w:cs="Arial"/>
        </w:rPr>
        <w:t>(a) the applicant’s partner must be receiving one or more of the following -</w:t>
      </w:r>
    </w:p>
    <w:p w:rsidR="00F45C2A" w:rsidRPr="00F45C2A" w:rsidRDefault="00F45C2A" w:rsidP="00F45C2A">
      <w:pPr>
        <w:spacing w:before="240"/>
        <w:ind w:left="1134"/>
        <w:jc w:val="both"/>
        <w:rPr>
          <w:rFonts w:ascii="Book Antiqua" w:hAnsi="Book Antiqua" w:cs="Arial"/>
        </w:rPr>
      </w:pPr>
      <w:r w:rsidRPr="00F45C2A">
        <w:rPr>
          <w:rFonts w:ascii="Book Antiqua" w:hAnsi="Book Antiqua" w:cs="Arial"/>
        </w:rPr>
        <w:t>(</w:t>
      </w:r>
      <w:proofErr w:type="spellStart"/>
      <w:r w:rsidRPr="00F45C2A">
        <w:rPr>
          <w:rFonts w:ascii="Book Antiqua" w:hAnsi="Book Antiqua" w:cs="Arial"/>
        </w:rPr>
        <w:t>i</w:t>
      </w:r>
      <w:proofErr w:type="spellEnd"/>
      <w:r w:rsidRPr="00F45C2A">
        <w:rPr>
          <w:rFonts w:ascii="Book Antiqua" w:hAnsi="Book Antiqua" w:cs="Arial"/>
        </w:rPr>
        <w:t>) disability living allowance;</w:t>
      </w:r>
    </w:p>
    <w:p w:rsidR="00F45C2A" w:rsidRPr="00F45C2A" w:rsidRDefault="00F45C2A" w:rsidP="00F45C2A">
      <w:pPr>
        <w:spacing w:before="240"/>
        <w:ind w:left="1134"/>
        <w:jc w:val="both"/>
        <w:rPr>
          <w:rFonts w:ascii="Book Antiqua" w:hAnsi="Book Antiqua" w:cs="Arial"/>
        </w:rPr>
      </w:pPr>
      <w:r w:rsidRPr="00F45C2A">
        <w:rPr>
          <w:rFonts w:ascii="Book Antiqua" w:hAnsi="Book Antiqua" w:cs="Arial"/>
        </w:rPr>
        <w:t>(ii) severe disablement allowance;</w:t>
      </w:r>
    </w:p>
    <w:p w:rsidR="00F45C2A" w:rsidRPr="00F45C2A" w:rsidRDefault="00F45C2A" w:rsidP="00F45C2A">
      <w:pPr>
        <w:spacing w:before="240"/>
        <w:ind w:left="1134"/>
        <w:jc w:val="both"/>
        <w:rPr>
          <w:rFonts w:ascii="Book Antiqua" w:hAnsi="Book Antiqua" w:cs="Arial"/>
        </w:rPr>
      </w:pPr>
      <w:r w:rsidRPr="00F45C2A">
        <w:rPr>
          <w:rFonts w:ascii="Book Antiqua" w:hAnsi="Book Antiqua" w:cs="Arial"/>
        </w:rPr>
        <w:t>(iii) industrial injury disablement benefit;</w:t>
      </w:r>
    </w:p>
    <w:p w:rsidR="00F45C2A" w:rsidRPr="00F45C2A" w:rsidRDefault="00F45C2A" w:rsidP="00F45C2A">
      <w:pPr>
        <w:spacing w:before="240"/>
        <w:ind w:left="1134"/>
        <w:jc w:val="both"/>
        <w:rPr>
          <w:rFonts w:ascii="Book Antiqua" w:hAnsi="Book Antiqua" w:cs="Arial"/>
        </w:rPr>
      </w:pPr>
      <w:r w:rsidRPr="00F45C2A">
        <w:rPr>
          <w:rFonts w:ascii="Book Antiqua" w:hAnsi="Book Antiqua" w:cs="Arial"/>
        </w:rPr>
        <w:t xml:space="preserve">(iv) </w:t>
      </w:r>
      <w:r w:rsidRPr="00F45C2A">
        <w:rPr>
          <w:rFonts w:ascii="Book Antiqua" w:hAnsi="Book Antiqua" w:cs="Arial"/>
          <w:b/>
        </w:rPr>
        <w:t>attendance allowance;</w:t>
      </w:r>
    </w:p>
    <w:p w:rsidR="00F45C2A" w:rsidRPr="00F45C2A" w:rsidRDefault="00F45C2A" w:rsidP="00F45C2A">
      <w:pPr>
        <w:spacing w:before="240"/>
        <w:ind w:left="1134"/>
        <w:jc w:val="both"/>
        <w:rPr>
          <w:rFonts w:ascii="Book Antiqua" w:hAnsi="Book Antiqua" w:cs="Arial"/>
        </w:rPr>
      </w:pPr>
      <w:r w:rsidRPr="00F45C2A">
        <w:rPr>
          <w:rFonts w:ascii="Book Antiqua" w:hAnsi="Book Antiqua" w:cs="Arial"/>
        </w:rPr>
        <w:t>(v) carer’s allowance;</w:t>
      </w:r>
    </w:p>
    <w:p w:rsidR="00F45C2A" w:rsidRPr="00F45C2A" w:rsidRDefault="00F45C2A" w:rsidP="00F45C2A">
      <w:pPr>
        <w:spacing w:before="240"/>
        <w:ind w:left="1134"/>
        <w:jc w:val="both"/>
        <w:rPr>
          <w:rFonts w:ascii="Book Antiqua" w:hAnsi="Book Antiqua" w:cs="Arial"/>
        </w:rPr>
      </w:pPr>
      <w:r w:rsidRPr="00F45C2A">
        <w:rPr>
          <w:rFonts w:ascii="Book Antiqua" w:hAnsi="Book Antiqua" w:cs="Arial"/>
        </w:rPr>
        <w:t>(vi) personal independence payment;</w:t>
      </w:r>
    </w:p>
    <w:p w:rsidR="00F45C2A" w:rsidRPr="00F45C2A" w:rsidRDefault="00F45C2A" w:rsidP="00F45C2A">
      <w:pPr>
        <w:spacing w:before="240"/>
        <w:ind w:left="1134"/>
        <w:jc w:val="both"/>
        <w:rPr>
          <w:rFonts w:ascii="Book Antiqua" w:hAnsi="Book Antiqua" w:cs="Arial"/>
        </w:rPr>
      </w:pPr>
      <w:r w:rsidRPr="00F45C2A">
        <w:rPr>
          <w:rFonts w:ascii="Book Antiqua" w:hAnsi="Book Antiqua" w:cs="Arial"/>
        </w:rPr>
        <w:lastRenderedPageBreak/>
        <w:t>(vii) Armed Forces Independence Payment or Guaranteed Income Payment under the Armed Forces Compensation Scheme;</w:t>
      </w:r>
    </w:p>
    <w:p w:rsidR="00F45C2A" w:rsidRPr="00F45C2A" w:rsidRDefault="00F45C2A" w:rsidP="00F45C2A">
      <w:pPr>
        <w:spacing w:before="240"/>
        <w:ind w:left="1134"/>
        <w:jc w:val="both"/>
        <w:rPr>
          <w:rFonts w:ascii="Book Antiqua" w:hAnsi="Book Antiqua" w:cs="Arial"/>
        </w:rPr>
      </w:pPr>
      <w:r w:rsidRPr="00F45C2A">
        <w:rPr>
          <w:rFonts w:ascii="Book Antiqua" w:hAnsi="Book Antiqua" w:cs="Arial"/>
        </w:rPr>
        <w:t>(viii) Constant Attendance Allowance, Mobility Supplement or War Disablement Pension under the War Pensions Scheme; or</w:t>
      </w:r>
    </w:p>
    <w:p w:rsidR="00F45C2A" w:rsidRPr="00F45C2A" w:rsidRDefault="00F45C2A" w:rsidP="00F45C2A">
      <w:pPr>
        <w:spacing w:before="240"/>
        <w:ind w:left="1134"/>
        <w:jc w:val="both"/>
        <w:rPr>
          <w:rFonts w:ascii="Book Antiqua" w:hAnsi="Book Antiqua" w:cs="Arial"/>
        </w:rPr>
      </w:pPr>
      <w:r w:rsidRPr="00F45C2A">
        <w:rPr>
          <w:rFonts w:ascii="Book Antiqua" w:hAnsi="Book Antiqua" w:cs="Arial"/>
        </w:rPr>
        <w:t>(ix) Police Injury Pension; and</w:t>
      </w:r>
    </w:p>
    <w:p w:rsidR="00F45C2A" w:rsidRPr="00F45C2A" w:rsidRDefault="00F45C2A" w:rsidP="00F45C2A">
      <w:pPr>
        <w:spacing w:before="240"/>
        <w:ind w:left="1134"/>
        <w:jc w:val="both"/>
        <w:rPr>
          <w:rFonts w:ascii="Book Antiqua" w:hAnsi="Book Antiqua" w:cs="Arial"/>
          <w:b/>
        </w:rPr>
      </w:pPr>
      <w:r w:rsidRPr="00F45C2A">
        <w:rPr>
          <w:rFonts w:ascii="Book Antiqua" w:hAnsi="Book Antiqua" w:cs="Arial"/>
          <w:b/>
        </w:rPr>
        <w:t>(b) the applicant must provide evidence that their partner is able to maintain and accommodate themselves, the applicant and any dependants adequately in the UK without recourse to public funds.</w:t>
      </w:r>
    </w:p>
    <w:p w:rsidR="00F45C2A" w:rsidRDefault="00F45C2A" w:rsidP="00F45C2A">
      <w:pPr>
        <w:spacing w:before="240"/>
        <w:ind w:left="1134"/>
        <w:jc w:val="both"/>
        <w:rPr>
          <w:rFonts w:ascii="Book Antiqua" w:hAnsi="Book Antiqua" w:cs="Arial"/>
        </w:rPr>
      </w:pPr>
      <w:r>
        <w:rPr>
          <w:rFonts w:ascii="Book Antiqua" w:hAnsi="Book Antiqua" w:cs="Arial"/>
        </w:rPr>
        <w:t>[my emphasis]</w:t>
      </w:r>
    </w:p>
    <w:p w:rsidR="004667DC" w:rsidRPr="00965F8D" w:rsidRDefault="004667DC" w:rsidP="004667DC">
      <w:pPr>
        <w:spacing w:before="240"/>
        <w:ind w:left="1134"/>
        <w:jc w:val="both"/>
        <w:rPr>
          <w:rFonts w:ascii="Book Antiqua" w:hAnsi="Book Antiqua" w:cs="Arial"/>
          <w:sz w:val="22"/>
          <w:szCs w:val="22"/>
        </w:rPr>
      </w:pPr>
    </w:p>
    <w:p w:rsidR="004667DC" w:rsidRDefault="004667DC" w:rsidP="000F76DE">
      <w:pPr>
        <w:numPr>
          <w:ilvl w:val="0"/>
          <w:numId w:val="3"/>
        </w:numPr>
        <w:spacing w:before="240"/>
        <w:jc w:val="both"/>
        <w:rPr>
          <w:rFonts w:ascii="Book Antiqua" w:hAnsi="Book Antiqua" w:cs="Arial"/>
        </w:rPr>
      </w:pPr>
      <w:r>
        <w:rPr>
          <w:rFonts w:ascii="Book Antiqua" w:hAnsi="Book Antiqua" w:cs="Arial"/>
        </w:rPr>
        <w:t xml:space="preserve">The appellant </w:t>
      </w:r>
      <w:r w:rsidR="00F45C2A">
        <w:rPr>
          <w:rFonts w:ascii="Book Antiqua" w:hAnsi="Book Antiqua" w:cs="Arial"/>
        </w:rPr>
        <w:t>does not now need</w:t>
      </w:r>
      <w:r>
        <w:rPr>
          <w:rFonts w:ascii="Book Antiqua" w:hAnsi="Book Antiqua" w:cs="Arial"/>
        </w:rPr>
        <w:t xml:space="preserve"> to satisfy the £18,600 </w:t>
      </w:r>
      <w:r w:rsidR="00F45C2A">
        <w:rPr>
          <w:rFonts w:ascii="Book Antiqua" w:hAnsi="Book Antiqua" w:cs="Arial"/>
        </w:rPr>
        <w:t xml:space="preserve">income </w:t>
      </w:r>
      <w:r>
        <w:rPr>
          <w:rFonts w:ascii="Book Antiqua" w:hAnsi="Book Antiqua" w:cs="Arial"/>
        </w:rPr>
        <w:t xml:space="preserve">threshold (although </w:t>
      </w:r>
      <w:r w:rsidR="00F45C2A">
        <w:rPr>
          <w:rFonts w:ascii="Book Antiqua" w:hAnsi="Book Antiqua" w:cs="Arial"/>
        </w:rPr>
        <w:t xml:space="preserve">note that </w:t>
      </w:r>
      <w:r>
        <w:rPr>
          <w:rFonts w:ascii="Book Antiqua" w:hAnsi="Book Antiqua" w:cs="Arial"/>
        </w:rPr>
        <w:t xml:space="preserve">Attendance Allowance </w:t>
      </w:r>
      <w:r w:rsidR="00F45C2A">
        <w:rPr>
          <w:rFonts w:ascii="Book Antiqua" w:hAnsi="Book Antiqua" w:cs="Arial"/>
        </w:rPr>
        <w:t xml:space="preserve">now </w:t>
      </w:r>
      <w:r>
        <w:rPr>
          <w:rFonts w:ascii="Book Antiqua" w:hAnsi="Book Antiqua" w:cs="Arial"/>
        </w:rPr>
        <w:t xml:space="preserve">enables that threshold to be crossed) but need only satisfy the requirement as to not relying upon public funds.  The calculation of the couple’s income from all sources (including the sponsor’s pension and attendance allowance) is set out in Mr Singer’s skeleton argument and Mr Nath, for the Secretary of State, did not dispute those figures.  Not only do the figures show that the couple now are able to cross the £18,600 threshold but, given that the application now falls within a different requirement of Appendix FM (E-ECP3.3), the couple enjoy an income which is </w:t>
      </w:r>
      <w:r w:rsidR="00965F8D">
        <w:rPr>
          <w:rFonts w:ascii="Book Antiqua" w:hAnsi="Book Antiqua" w:cs="Arial"/>
        </w:rPr>
        <w:t>greater than they would receive</w:t>
      </w:r>
      <w:r>
        <w:rPr>
          <w:rFonts w:ascii="Book Antiqua" w:hAnsi="Book Antiqua" w:cs="Arial"/>
        </w:rPr>
        <w:t xml:space="preserve"> on public funds.</w:t>
      </w:r>
      <w:r w:rsidR="00965F8D">
        <w:rPr>
          <w:rFonts w:ascii="Book Antiqua" w:hAnsi="Book Antiqua" w:cs="Arial"/>
        </w:rPr>
        <w:t xml:space="preserve"> </w:t>
      </w:r>
    </w:p>
    <w:p w:rsidR="004667DC" w:rsidRPr="004667DC" w:rsidRDefault="004667DC" w:rsidP="000F76DE">
      <w:pPr>
        <w:numPr>
          <w:ilvl w:val="0"/>
          <w:numId w:val="3"/>
        </w:numPr>
        <w:spacing w:before="240"/>
        <w:jc w:val="both"/>
        <w:rPr>
          <w:rFonts w:ascii="Book Antiqua" w:hAnsi="Book Antiqua" w:cs="Arial"/>
          <w:b/>
          <w:u w:val="single"/>
        </w:rPr>
      </w:pPr>
      <w:r>
        <w:rPr>
          <w:rFonts w:ascii="Book Antiqua" w:hAnsi="Book Antiqua" w:cs="Arial"/>
        </w:rPr>
        <w:t xml:space="preserve">Mr Singer urged me to allow the appeal outright.  Mr Nath, understandably adopting a more cautious approach, urged me not to act as a primary decision-maker but rather to return the matter to the </w:t>
      </w:r>
      <w:r w:rsidRPr="004667DC">
        <w:rPr>
          <w:rFonts w:ascii="Book Antiqua" w:hAnsi="Book Antiqua" w:cs="Arial"/>
        </w:rPr>
        <w:t xml:space="preserve">Secretary of State </w:t>
      </w:r>
      <w:r>
        <w:rPr>
          <w:rFonts w:ascii="Book Antiqua" w:hAnsi="Book Antiqua" w:cs="Arial"/>
        </w:rPr>
        <w:t>for further consideration.  There is some force in that argument given the fact that the appellant needs to show,</w:t>
      </w:r>
      <w:r w:rsidR="00965F8D">
        <w:rPr>
          <w:rFonts w:ascii="Book Antiqua" w:hAnsi="Book Antiqua" w:cs="Arial"/>
        </w:rPr>
        <w:t xml:space="preserve"> </w:t>
      </w:r>
      <w:proofErr w:type="gramStart"/>
      <w:r>
        <w:rPr>
          <w:rFonts w:ascii="Book Antiqua" w:hAnsi="Book Antiqua" w:cs="Arial"/>
        </w:rPr>
        <w:t>in order to</w:t>
      </w:r>
      <w:proofErr w:type="gramEnd"/>
      <w:r>
        <w:rPr>
          <w:rFonts w:ascii="Book Antiqua" w:hAnsi="Book Antiqua" w:cs="Arial"/>
        </w:rPr>
        <w:t xml:space="preserve"> comply with the Immigration Rules, that she has provided the documentary evidence t</w:t>
      </w:r>
      <w:r w:rsidR="00F45C2A">
        <w:rPr>
          <w:rFonts w:ascii="Book Antiqua" w:hAnsi="Book Antiqua" w:cs="Arial"/>
        </w:rPr>
        <w:t>o prove her case.  However, in the</w:t>
      </w:r>
      <w:r>
        <w:rPr>
          <w:rFonts w:ascii="Book Antiqua" w:hAnsi="Book Antiqua" w:cs="Arial"/>
        </w:rPr>
        <w:t xml:space="preserve"> papers submitted to the Upper Tribunal, the</w:t>
      </w:r>
      <w:r w:rsidR="0040405D">
        <w:rPr>
          <w:rFonts w:ascii="Book Antiqua" w:hAnsi="Book Antiqua" w:cs="Arial"/>
        </w:rPr>
        <w:t>re are</w:t>
      </w:r>
      <w:r>
        <w:rPr>
          <w:rFonts w:ascii="Book Antiqua" w:hAnsi="Book Antiqua" w:cs="Arial"/>
        </w:rPr>
        <w:t xml:space="preserve"> various items of documentary evidence concerning the income of the sponsor.  </w:t>
      </w:r>
      <w:r w:rsidR="0040405D">
        <w:rPr>
          <w:rFonts w:ascii="Book Antiqua" w:hAnsi="Book Antiqua" w:cs="Arial"/>
        </w:rPr>
        <w:t xml:space="preserve">Having considered these documents, </w:t>
      </w:r>
      <w:r>
        <w:rPr>
          <w:rFonts w:ascii="Book Antiqua" w:hAnsi="Book Antiqua" w:cs="Arial"/>
        </w:rPr>
        <w:t xml:space="preserve">I am satisfied that the appellant has proved that the </w:t>
      </w:r>
      <w:r w:rsidR="0040405D">
        <w:rPr>
          <w:rFonts w:ascii="Book Antiqua" w:hAnsi="Book Antiqua" w:cs="Arial"/>
        </w:rPr>
        <w:t xml:space="preserve">income </w:t>
      </w:r>
      <w:proofErr w:type="gramStart"/>
      <w:r w:rsidR="0040405D">
        <w:rPr>
          <w:rFonts w:ascii="Book Antiqua" w:hAnsi="Book Antiqua" w:cs="Arial"/>
        </w:rPr>
        <w:t>particular set</w:t>
      </w:r>
      <w:proofErr w:type="gramEnd"/>
      <w:r w:rsidR="0040405D">
        <w:rPr>
          <w:rFonts w:ascii="Book Antiqua" w:hAnsi="Book Antiqua" w:cs="Arial"/>
        </w:rPr>
        <w:t xml:space="preserve"> out</w:t>
      </w:r>
      <w:r>
        <w:rPr>
          <w:rFonts w:ascii="Book Antiqua" w:hAnsi="Book Antiqua" w:cs="Arial"/>
        </w:rPr>
        <w:t xml:space="preserve"> in Mr Singer’s skeleton argument are accurate.  Moreover, I am aware that the appellant has waited a very long time for her </w:t>
      </w:r>
      <w:r w:rsidR="0040405D">
        <w:rPr>
          <w:rFonts w:ascii="Book Antiqua" w:hAnsi="Book Antiqua" w:cs="Arial"/>
        </w:rPr>
        <w:t>appeal</w:t>
      </w:r>
      <w:r>
        <w:rPr>
          <w:rFonts w:ascii="Book Antiqua" w:hAnsi="Book Antiqua" w:cs="Arial"/>
        </w:rPr>
        <w:t xml:space="preserve"> to be determined</w:t>
      </w:r>
      <w:r w:rsidR="0040405D">
        <w:rPr>
          <w:rFonts w:ascii="Book Antiqua" w:hAnsi="Book Antiqua" w:cs="Arial"/>
        </w:rPr>
        <w:t>; t</w:t>
      </w:r>
      <w:r>
        <w:rPr>
          <w:rFonts w:ascii="Book Antiqua" w:hAnsi="Book Antiqua" w:cs="Arial"/>
        </w:rPr>
        <w:t xml:space="preserve">he decision of the </w:t>
      </w:r>
      <w:r w:rsidRPr="004667DC">
        <w:rPr>
          <w:rFonts w:ascii="Book Antiqua" w:hAnsi="Book Antiqua" w:cs="Arial"/>
        </w:rPr>
        <w:t xml:space="preserve">Secretary of State </w:t>
      </w:r>
      <w:r>
        <w:rPr>
          <w:rFonts w:ascii="Book Antiqua" w:hAnsi="Book Antiqua" w:cs="Arial"/>
        </w:rPr>
        <w:t>was made almost four years ago.  In addition, the appeal falls under the “old” system given th</w:t>
      </w:r>
      <w:r w:rsidR="0040405D">
        <w:rPr>
          <w:rFonts w:ascii="Book Antiqua" w:hAnsi="Book Antiqua" w:cs="Arial"/>
        </w:rPr>
        <w:t>e date of the decision and it remains</w:t>
      </w:r>
      <w:r>
        <w:rPr>
          <w:rFonts w:ascii="Book Antiqua" w:hAnsi="Book Antiqua" w:cs="Arial"/>
        </w:rPr>
        <w:t xml:space="preserve"> open to the Tribunal to allow the appeal against the Secretary of State’s decision under the Immigration Rules.  Having assessed the various factors in favour and opposed to allowing the appeal outright, I have decided that I should so allow it.  On the evidence which has been produced, it is self-evident that t</w:t>
      </w:r>
      <w:r w:rsidR="0040405D">
        <w:rPr>
          <w:rFonts w:ascii="Book Antiqua" w:hAnsi="Book Antiqua" w:cs="Arial"/>
        </w:rPr>
        <w:t>he appellant and sponsor are</w:t>
      </w:r>
      <w:r>
        <w:rPr>
          <w:rFonts w:ascii="Book Antiqua" w:hAnsi="Book Antiqua" w:cs="Arial"/>
        </w:rPr>
        <w:t xml:space="preserve"> able to satisfy the financial provisions of Appendix FM.  A just and speedy outcome of this appeal would not, in my opinion, be achieved by returning the matter yet again to the </w:t>
      </w:r>
      <w:r w:rsidRPr="004667DC">
        <w:rPr>
          <w:rFonts w:ascii="Book Antiqua" w:hAnsi="Book Antiqua" w:cs="Arial"/>
        </w:rPr>
        <w:t xml:space="preserve">Secretary of State </w:t>
      </w:r>
      <w:r>
        <w:rPr>
          <w:rFonts w:ascii="Book Antiqua" w:hAnsi="Book Antiqua" w:cs="Arial"/>
        </w:rPr>
        <w:t xml:space="preserve">which will only cause </w:t>
      </w:r>
      <w:r w:rsidR="0040405D">
        <w:rPr>
          <w:rFonts w:ascii="Book Antiqua" w:hAnsi="Book Antiqua" w:cs="Arial"/>
        </w:rPr>
        <w:t>further</w:t>
      </w:r>
      <w:r>
        <w:rPr>
          <w:rFonts w:ascii="Book Antiqua" w:hAnsi="Book Antiqua" w:cs="Arial"/>
        </w:rPr>
        <w:t xml:space="preserve"> delay.</w:t>
      </w:r>
    </w:p>
    <w:p w:rsidR="006102DB" w:rsidRDefault="006102DB" w:rsidP="00965F8D">
      <w:pPr>
        <w:spacing w:before="240"/>
        <w:jc w:val="both"/>
        <w:rPr>
          <w:rFonts w:ascii="Book Antiqua" w:hAnsi="Book Antiqua" w:cs="Arial"/>
          <w:b/>
          <w:u w:val="single"/>
        </w:rPr>
      </w:pPr>
    </w:p>
    <w:p w:rsidR="006102DB" w:rsidRDefault="006102DB" w:rsidP="00965F8D">
      <w:pPr>
        <w:spacing w:before="240"/>
        <w:jc w:val="both"/>
        <w:rPr>
          <w:rFonts w:ascii="Book Antiqua" w:hAnsi="Book Antiqua" w:cs="Arial"/>
          <w:b/>
          <w:u w:val="single"/>
        </w:rPr>
      </w:pPr>
    </w:p>
    <w:p w:rsidR="004667DC" w:rsidRPr="004667DC" w:rsidRDefault="008508AD" w:rsidP="00965F8D">
      <w:pPr>
        <w:spacing w:before="240"/>
        <w:jc w:val="both"/>
        <w:rPr>
          <w:rFonts w:ascii="Book Antiqua" w:hAnsi="Book Antiqua" w:cs="Arial"/>
        </w:rPr>
      </w:pPr>
      <w:r w:rsidRPr="008508AD">
        <w:rPr>
          <w:rFonts w:ascii="Book Antiqua" w:hAnsi="Book Antiqua" w:cs="Arial"/>
          <w:b/>
          <w:u w:val="single"/>
        </w:rPr>
        <w:lastRenderedPageBreak/>
        <w:t>Notice of Decision</w:t>
      </w:r>
    </w:p>
    <w:p w:rsidR="006B0CAC" w:rsidRDefault="004667DC" w:rsidP="006B0CAC">
      <w:pPr>
        <w:numPr>
          <w:ilvl w:val="0"/>
          <w:numId w:val="3"/>
        </w:numPr>
        <w:spacing w:before="240"/>
        <w:jc w:val="both"/>
        <w:rPr>
          <w:rFonts w:ascii="Book Antiqua" w:hAnsi="Book Antiqua" w:cs="Arial"/>
        </w:rPr>
      </w:pPr>
      <w:r>
        <w:rPr>
          <w:rFonts w:ascii="Book Antiqua" w:hAnsi="Book Antiqua" w:cs="Arial"/>
        </w:rPr>
        <w:t>The decision of the First-tier Tribunal which was promulgated on 20 August 2014 is set aside.  I remake the decision.  The appeal of the appellant against the decision of the Secretary of State dated 16 January 2014 is allowed under the Immigration Rules.</w:t>
      </w:r>
    </w:p>
    <w:p w:rsidR="008508AD" w:rsidRPr="00687601" w:rsidRDefault="008508AD" w:rsidP="006B0CAC">
      <w:pPr>
        <w:numPr>
          <w:ilvl w:val="0"/>
          <w:numId w:val="3"/>
        </w:numPr>
        <w:spacing w:before="240"/>
        <w:jc w:val="both"/>
        <w:rPr>
          <w:rFonts w:ascii="Book Antiqua" w:hAnsi="Book Antiqua" w:cs="Arial"/>
        </w:rPr>
      </w:pPr>
      <w:r w:rsidRPr="008508AD">
        <w:rPr>
          <w:rFonts w:ascii="Book Antiqua" w:hAnsi="Book Antiqua" w:cs="Arial"/>
        </w:rPr>
        <w:t>No anonymity direction is made.</w:t>
      </w:r>
    </w:p>
    <w:p w:rsidR="00842418" w:rsidRPr="00F5664C" w:rsidRDefault="00842418"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40405D">
        <w:rPr>
          <w:rFonts w:ascii="Book Antiqua" w:hAnsi="Book Antiqua" w:cs="Arial"/>
        </w:rPr>
        <w:t>18 APRIL 2018</w:t>
      </w:r>
    </w:p>
    <w:p w:rsidR="00F60D99" w:rsidRPr="00F5664C" w:rsidRDefault="00F60D99"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rsidR="008508AD" w:rsidRDefault="008508AD" w:rsidP="000369F5">
      <w:pPr>
        <w:tabs>
          <w:tab w:val="left" w:pos="2520"/>
        </w:tabs>
        <w:jc w:val="both"/>
        <w:rPr>
          <w:rFonts w:ascii="Book Antiqua" w:hAnsi="Book Antiqua" w:cs="Arial"/>
        </w:rPr>
      </w:pPr>
    </w:p>
    <w:p w:rsidR="005522DF" w:rsidRDefault="005522DF" w:rsidP="000369F5">
      <w:pPr>
        <w:tabs>
          <w:tab w:val="left" w:pos="2520"/>
        </w:tabs>
        <w:jc w:val="both"/>
        <w:rPr>
          <w:rFonts w:ascii="Book Antiqua" w:hAnsi="Book Antiqua" w:cs="Arial"/>
        </w:rPr>
      </w:pPr>
    </w:p>
    <w:p w:rsidR="005522DF" w:rsidRPr="005522DF" w:rsidRDefault="005522DF" w:rsidP="005522DF">
      <w:pPr>
        <w:rPr>
          <w:rFonts w:ascii="Book Antiqua" w:hAnsi="Book Antiqua" w:cs="Arial"/>
        </w:rPr>
      </w:pPr>
    </w:p>
    <w:p w:rsidR="005522DF" w:rsidRPr="005522DF" w:rsidRDefault="005522DF" w:rsidP="005522DF">
      <w:pPr>
        <w:rPr>
          <w:rFonts w:ascii="Book Antiqua" w:hAnsi="Book Antiqua" w:cs="Arial"/>
        </w:rPr>
      </w:pPr>
    </w:p>
    <w:p w:rsidR="005522DF" w:rsidRPr="005522DF" w:rsidRDefault="005522DF" w:rsidP="005522DF">
      <w:pPr>
        <w:rPr>
          <w:rFonts w:ascii="Book Antiqua" w:hAnsi="Book Antiqua" w:cs="Arial"/>
        </w:rPr>
      </w:pPr>
    </w:p>
    <w:sectPr w:rsidR="005522DF" w:rsidRPr="005522DF" w:rsidSect="0080676C">
      <w:headerReference w:type="default" r:id="rId8"/>
      <w:footerReference w:type="default" r:id="rId9"/>
      <w:headerReference w:type="firs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1FD1" w:rsidRDefault="006E1FD1">
      <w:r>
        <w:separator/>
      </w:r>
    </w:p>
  </w:endnote>
  <w:endnote w:type="continuationSeparator" w:id="0">
    <w:p w:rsidR="006E1FD1" w:rsidRDefault="006E1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80676C" w:rsidRDefault="00ED338F" w:rsidP="00593795">
    <w:pPr>
      <w:pStyle w:val="Footer"/>
      <w:jc w:val="center"/>
      <w:rPr>
        <w:rFonts w:ascii="Book Antiqua" w:hAnsi="Book Antiqua" w:cs="Arial"/>
      </w:rPr>
    </w:pPr>
    <w:r w:rsidRPr="0080676C">
      <w:rPr>
        <w:rStyle w:val="PageNumber"/>
        <w:rFonts w:ascii="Book Antiqua" w:hAnsi="Book Antiqua" w:cs="Arial"/>
      </w:rPr>
      <w:fldChar w:fldCharType="begin"/>
    </w:r>
    <w:r w:rsidRPr="0080676C">
      <w:rPr>
        <w:rStyle w:val="PageNumber"/>
        <w:rFonts w:ascii="Book Antiqua" w:hAnsi="Book Antiqua" w:cs="Arial"/>
      </w:rPr>
      <w:instrText xml:space="preserve"> PAGE </w:instrText>
    </w:r>
    <w:r w:rsidRPr="0080676C">
      <w:rPr>
        <w:rStyle w:val="PageNumber"/>
        <w:rFonts w:ascii="Book Antiqua" w:hAnsi="Book Antiqua" w:cs="Arial"/>
      </w:rPr>
      <w:fldChar w:fldCharType="separate"/>
    </w:r>
    <w:r w:rsidR="00B62CC6">
      <w:rPr>
        <w:rStyle w:val="PageNumber"/>
        <w:rFonts w:ascii="Book Antiqua" w:hAnsi="Book Antiqua" w:cs="Arial"/>
        <w:noProof/>
      </w:rPr>
      <w:t>4</w:t>
    </w:r>
    <w:r w:rsidRPr="0080676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1FD1" w:rsidRDefault="006E1FD1">
      <w:r>
        <w:separator/>
      </w:r>
    </w:p>
  </w:footnote>
  <w:footnote w:type="continuationSeparator" w:id="0">
    <w:p w:rsidR="006E1FD1" w:rsidRDefault="006E1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4667DC">
      <w:rPr>
        <w:rFonts w:ascii="Book Antiqua" w:hAnsi="Book Antiqua" w:cs="Arial"/>
        <w:sz w:val="16"/>
        <w:szCs w:val="16"/>
      </w:rPr>
      <w:t xml:space="preserve"> IA/06637/2014</w:t>
    </w:r>
    <w:r w:rsidRPr="00F5664C">
      <w:rPr>
        <w:rFonts w:ascii="Book Antiqua" w:hAnsi="Book Antiqua" w:cs="Arial"/>
        <w:sz w:val="16"/>
        <w:szCs w:val="16"/>
      </w:rPr>
      <w:t xml:space="preserve"> </w:t>
    </w:r>
  </w:p>
  <w:p w:rsidR="0080676C" w:rsidRPr="00F5664C" w:rsidRDefault="0080676C"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D16221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150"/>
    <w:rsid w:val="00000621"/>
    <w:rsid w:val="00001A2D"/>
    <w:rsid w:val="000036C2"/>
    <w:rsid w:val="000168E1"/>
    <w:rsid w:val="00027641"/>
    <w:rsid w:val="00033D3D"/>
    <w:rsid w:val="000369F5"/>
    <w:rsid w:val="00060ED5"/>
    <w:rsid w:val="00071602"/>
    <w:rsid w:val="00071A7E"/>
    <w:rsid w:val="000746C0"/>
    <w:rsid w:val="00074D1D"/>
    <w:rsid w:val="00092580"/>
    <w:rsid w:val="000B37D9"/>
    <w:rsid w:val="000D5D94"/>
    <w:rsid w:val="000E0923"/>
    <w:rsid w:val="000F76DE"/>
    <w:rsid w:val="001165A7"/>
    <w:rsid w:val="00130ABD"/>
    <w:rsid w:val="00151BB7"/>
    <w:rsid w:val="00155BA9"/>
    <w:rsid w:val="0016457F"/>
    <w:rsid w:val="00167D3A"/>
    <w:rsid w:val="001723AE"/>
    <w:rsid w:val="00183D32"/>
    <w:rsid w:val="001A1E2C"/>
    <w:rsid w:val="001F2716"/>
    <w:rsid w:val="0020133A"/>
    <w:rsid w:val="00207617"/>
    <w:rsid w:val="00264A24"/>
    <w:rsid w:val="00275F0C"/>
    <w:rsid w:val="00277215"/>
    <w:rsid w:val="00283659"/>
    <w:rsid w:val="002C4E73"/>
    <w:rsid w:val="002D68BF"/>
    <w:rsid w:val="00336CBF"/>
    <w:rsid w:val="003546C8"/>
    <w:rsid w:val="003763A9"/>
    <w:rsid w:val="00381177"/>
    <w:rsid w:val="00391150"/>
    <w:rsid w:val="003A6E6C"/>
    <w:rsid w:val="003A7CF2"/>
    <w:rsid w:val="003B0789"/>
    <w:rsid w:val="003C5CE5"/>
    <w:rsid w:val="003C6548"/>
    <w:rsid w:val="003E267B"/>
    <w:rsid w:val="003E7CD1"/>
    <w:rsid w:val="00402B9E"/>
    <w:rsid w:val="0040405D"/>
    <w:rsid w:val="00423932"/>
    <w:rsid w:val="004249CB"/>
    <w:rsid w:val="0044127D"/>
    <w:rsid w:val="004448DB"/>
    <w:rsid w:val="00446C9A"/>
    <w:rsid w:val="00462D76"/>
    <w:rsid w:val="004667DC"/>
    <w:rsid w:val="00477193"/>
    <w:rsid w:val="004A1848"/>
    <w:rsid w:val="004A1F1B"/>
    <w:rsid w:val="004E2759"/>
    <w:rsid w:val="00507FEC"/>
    <w:rsid w:val="00510F0E"/>
    <w:rsid w:val="00511891"/>
    <w:rsid w:val="0051790E"/>
    <w:rsid w:val="00521F6E"/>
    <w:rsid w:val="005479E1"/>
    <w:rsid w:val="005522DF"/>
    <w:rsid w:val="005570FD"/>
    <w:rsid w:val="005575EA"/>
    <w:rsid w:val="005744A4"/>
    <w:rsid w:val="0057790C"/>
    <w:rsid w:val="0058661C"/>
    <w:rsid w:val="00593795"/>
    <w:rsid w:val="00594638"/>
    <w:rsid w:val="005A75FF"/>
    <w:rsid w:val="005B7789"/>
    <w:rsid w:val="006102DB"/>
    <w:rsid w:val="00647096"/>
    <w:rsid w:val="0065791C"/>
    <w:rsid w:val="00666416"/>
    <w:rsid w:val="00690B8A"/>
    <w:rsid w:val="00693AEE"/>
    <w:rsid w:val="006B0CAC"/>
    <w:rsid w:val="006D1DFA"/>
    <w:rsid w:val="006D506B"/>
    <w:rsid w:val="006E1FD1"/>
    <w:rsid w:val="006E3C90"/>
    <w:rsid w:val="006E57E2"/>
    <w:rsid w:val="006F7C89"/>
    <w:rsid w:val="00704B61"/>
    <w:rsid w:val="00741598"/>
    <w:rsid w:val="00742A8D"/>
    <w:rsid w:val="007552A9"/>
    <w:rsid w:val="00761858"/>
    <w:rsid w:val="00767D59"/>
    <w:rsid w:val="00776E97"/>
    <w:rsid w:val="00780FD7"/>
    <w:rsid w:val="007912AD"/>
    <w:rsid w:val="007A1F28"/>
    <w:rsid w:val="007A393E"/>
    <w:rsid w:val="007A6132"/>
    <w:rsid w:val="007B0824"/>
    <w:rsid w:val="007E01DA"/>
    <w:rsid w:val="0080676C"/>
    <w:rsid w:val="008116D9"/>
    <w:rsid w:val="008303B8"/>
    <w:rsid w:val="00833DCE"/>
    <w:rsid w:val="00842418"/>
    <w:rsid w:val="008508AD"/>
    <w:rsid w:val="008639DC"/>
    <w:rsid w:val="00871D34"/>
    <w:rsid w:val="00872944"/>
    <w:rsid w:val="00897D75"/>
    <w:rsid w:val="008A21F0"/>
    <w:rsid w:val="008B270C"/>
    <w:rsid w:val="008C3D3D"/>
    <w:rsid w:val="008D4131"/>
    <w:rsid w:val="008E29BA"/>
    <w:rsid w:val="008F1932"/>
    <w:rsid w:val="008F294D"/>
    <w:rsid w:val="00921062"/>
    <w:rsid w:val="0093083E"/>
    <w:rsid w:val="00940FE3"/>
    <w:rsid w:val="00965F8D"/>
    <w:rsid w:val="00966ECF"/>
    <w:rsid w:val="009727A3"/>
    <w:rsid w:val="00987774"/>
    <w:rsid w:val="009A0FDC"/>
    <w:rsid w:val="009A11E8"/>
    <w:rsid w:val="009E4E62"/>
    <w:rsid w:val="009F5220"/>
    <w:rsid w:val="009F7C4D"/>
    <w:rsid w:val="00A15234"/>
    <w:rsid w:val="00A15560"/>
    <w:rsid w:val="00A16AE1"/>
    <w:rsid w:val="00A201AB"/>
    <w:rsid w:val="00A21688"/>
    <w:rsid w:val="00A31C8B"/>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62CC6"/>
    <w:rsid w:val="00B7040A"/>
    <w:rsid w:val="00B96FA0"/>
    <w:rsid w:val="00BA1D45"/>
    <w:rsid w:val="00BD4196"/>
    <w:rsid w:val="00BF22CA"/>
    <w:rsid w:val="00C26032"/>
    <w:rsid w:val="00C265B0"/>
    <w:rsid w:val="00C321B5"/>
    <w:rsid w:val="00C345E1"/>
    <w:rsid w:val="00C977BA"/>
    <w:rsid w:val="00CB6E35"/>
    <w:rsid w:val="00CE1A46"/>
    <w:rsid w:val="00CF253F"/>
    <w:rsid w:val="00CF56B4"/>
    <w:rsid w:val="00CF6DEE"/>
    <w:rsid w:val="00D06D1F"/>
    <w:rsid w:val="00D20F09"/>
    <w:rsid w:val="00D22636"/>
    <w:rsid w:val="00D36666"/>
    <w:rsid w:val="00D40FD9"/>
    <w:rsid w:val="00D53769"/>
    <w:rsid w:val="00D70775"/>
    <w:rsid w:val="00D85C13"/>
    <w:rsid w:val="00D91BE3"/>
    <w:rsid w:val="00D94AFC"/>
    <w:rsid w:val="00DB70AE"/>
    <w:rsid w:val="00DB7231"/>
    <w:rsid w:val="00DD5071"/>
    <w:rsid w:val="00DD5C39"/>
    <w:rsid w:val="00DE26AF"/>
    <w:rsid w:val="00DE7DB7"/>
    <w:rsid w:val="00E00A0A"/>
    <w:rsid w:val="00E07F57"/>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45C2A"/>
    <w:rsid w:val="00F5664C"/>
    <w:rsid w:val="00F60D99"/>
    <w:rsid w:val="00FB7E80"/>
    <w:rsid w:val="00FC3E38"/>
    <w:rsid w:val="00FD2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5121"/>
    <o:shapelayout v:ext="edit">
      <o:idmap v:ext="edit" data="1"/>
    </o:shapelayout>
  </w:shapeDefaults>
  <w:decimalSymbol w:val="."/>
  <w:listSeparator w:val=","/>
  <w14:docId w14:val="60A350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1134</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2018-07-02T16:59:00Z</dcterms:created>
  <dcterms:modified xsi:type="dcterms:W3CDTF">2018-07-02T16:59:00Z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