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451" w:rsidRPr="0022259A" w:rsidRDefault="002548F9" w:rsidP="006B6451">
      <w:pPr>
        <w:jc w:val="center"/>
        <w:rPr>
          <w:rFonts w:ascii="Book Antiqua" w:hAnsi="Book Antiqua" w:cs="Arial"/>
          <w:sz w:val="16"/>
          <w:szCs w:val="16"/>
        </w:rPr>
      </w:pPr>
      <w:r w:rsidRPr="0022259A">
        <w:rPr>
          <w:noProof/>
          <w:sz w:val="16"/>
          <w:szCs w:val="16"/>
        </w:rPr>
        <w:drawing>
          <wp:inline distT="0" distB="0" distL="0" distR="0" wp14:anchorId="7973B551" wp14:editId="66FFE0BB">
            <wp:extent cx="104203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035" cy="907415"/>
                    </a:xfrm>
                    <a:prstGeom prst="rect">
                      <a:avLst/>
                    </a:prstGeom>
                    <a:noFill/>
                    <a:ln>
                      <a:noFill/>
                    </a:ln>
                  </pic:spPr>
                </pic:pic>
              </a:graphicData>
            </a:graphic>
          </wp:inline>
        </w:drawing>
      </w:r>
    </w:p>
    <w:p w:rsidR="00D94AFC" w:rsidRPr="0022259A" w:rsidRDefault="00D94AFC">
      <w:pPr>
        <w:rPr>
          <w:rFonts w:ascii="Book Antiqua" w:hAnsi="Book Antiqua" w:cs="Arial"/>
          <w:sz w:val="16"/>
          <w:szCs w:val="16"/>
        </w:rPr>
      </w:pPr>
    </w:p>
    <w:p w:rsidR="006B6451" w:rsidRPr="00C01D77" w:rsidRDefault="00215199" w:rsidP="00B626FA">
      <w:pPr>
        <w:tabs>
          <w:tab w:val="right" w:pos="9639"/>
        </w:tabs>
        <w:rPr>
          <w:rFonts w:ascii="Book Antiqua" w:hAnsi="Book Antiqua" w:cs="Arial"/>
          <w:b/>
        </w:rPr>
      </w:pPr>
      <w:r>
        <w:rPr>
          <w:rFonts w:ascii="Book Antiqua" w:hAnsi="Book Antiqua" w:cs="Arial"/>
          <w:b/>
        </w:rPr>
        <w:t>Upper</w:t>
      </w:r>
      <w:r w:rsidR="006B6451" w:rsidRPr="00C01D77">
        <w:rPr>
          <w:rFonts w:ascii="Book Antiqua" w:hAnsi="Book Antiqua" w:cs="Arial"/>
          <w:b/>
        </w:rPr>
        <w:t xml:space="preserve"> Tribunal</w:t>
      </w:r>
    </w:p>
    <w:p w:rsidR="007B0824" w:rsidRPr="00C01D77" w:rsidRDefault="006B6451" w:rsidP="00B626FA">
      <w:pPr>
        <w:tabs>
          <w:tab w:val="right" w:pos="9639"/>
        </w:tabs>
        <w:rPr>
          <w:rFonts w:ascii="Book Antiqua" w:hAnsi="Book Antiqua" w:cs="Arial"/>
        </w:rPr>
      </w:pPr>
      <w:r w:rsidRPr="00C01D77">
        <w:rPr>
          <w:rFonts w:ascii="Book Antiqua" w:hAnsi="Book Antiqua" w:cs="Arial"/>
          <w:b/>
        </w:rPr>
        <w:t>(Immigration and Asylum Chamber)</w:t>
      </w:r>
      <w:r w:rsidR="00B626FA" w:rsidRPr="00C01D77">
        <w:rPr>
          <w:rFonts w:ascii="Book Antiqua" w:hAnsi="Book Antiqua" w:cs="Arial"/>
          <w:b/>
        </w:rPr>
        <w:tab/>
      </w:r>
      <w:r w:rsidR="00B3524D" w:rsidRPr="00C01D77">
        <w:rPr>
          <w:rFonts w:ascii="Book Antiqua" w:hAnsi="Book Antiqua" w:cs="Arial"/>
        </w:rPr>
        <w:t>Appeal Number</w:t>
      </w:r>
      <w:r w:rsidR="00D53769" w:rsidRPr="00C01D77">
        <w:rPr>
          <w:rFonts w:ascii="Book Antiqua" w:hAnsi="Book Antiqua" w:cs="Arial"/>
        </w:rPr>
        <w:t>:</w:t>
      </w:r>
      <w:r w:rsidR="00B3524D" w:rsidRPr="00C01D77">
        <w:rPr>
          <w:rFonts w:ascii="Book Antiqua" w:hAnsi="Book Antiqua" w:cs="Arial"/>
        </w:rPr>
        <w:t xml:space="preserve"> </w:t>
      </w:r>
      <w:r w:rsidR="002548F9">
        <w:rPr>
          <w:rFonts w:ascii="Book Antiqua" w:hAnsi="Book Antiqua" w:cs="Arial"/>
          <w:caps/>
        </w:rPr>
        <w:t>IA/19360/2015</w:t>
      </w:r>
    </w:p>
    <w:p w:rsidR="00C345E1" w:rsidRPr="00C01D77" w:rsidRDefault="00C345E1" w:rsidP="00C345E1">
      <w:pPr>
        <w:jc w:val="center"/>
        <w:rPr>
          <w:rFonts w:ascii="Book Antiqua" w:hAnsi="Book Antiqua" w:cs="Arial"/>
        </w:rPr>
      </w:pPr>
    </w:p>
    <w:p w:rsidR="00C345E1" w:rsidRPr="00C01D77" w:rsidRDefault="00C345E1" w:rsidP="00C345E1">
      <w:pPr>
        <w:jc w:val="center"/>
        <w:rPr>
          <w:rFonts w:ascii="Book Antiqua" w:hAnsi="Book Antiqua" w:cs="Arial"/>
        </w:rPr>
      </w:pPr>
    </w:p>
    <w:p w:rsidR="00C345E1" w:rsidRPr="00C01D77" w:rsidRDefault="00C345E1" w:rsidP="00C345E1">
      <w:pPr>
        <w:jc w:val="center"/>
        <w:rPr>
          <w:rFonts w:ascii="Book Antiqua" w:hAnsi="Book Antiqua" w:cs="Arial"/>
          <w:b/>
          <w:u w:val="single"/>
        </w:rPr>
      </w:pPr>
      <w:r w:rsidRPr="00C01D77">
        <w:rPr>
          <w:rFonts w:ascii="Book Antiqua" w:hAnsi="Book Antiqua" w:cs="Arial"/>
          <w:b/>
          <w:u w:val="single"/>
        </w:rPr>
        <w:t>THE IMMIGRATION ACTS</w:t>
      </w:r>
    </w:p>
    <w:p w:rsidR="00C345E1" w:rsidRPr="00C01D77" w:rsidRDefault="00C345E1" w:rsidP="00C345E1">
      <w:pPr>
        <w:jc w:val="center"/>
        <w:rPr>
          <w:rFonts w:ascii="Book Antiqua" w:hAnsi="Book Antiqua" w:cs="Arial"/>
          <w:b/>
          <w:u w:val="single"/>
        </w:rPr>
      </w:pPr>
    </w:p>
    <w:p w:rsidR="00C345E1" w:rsidRPr="00C01D77"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C01D77" w:rsidTr="00073E80">
        <w:tc>
          <w:tcPr>
            <w:tcW w:w="6048"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Heard at </w:t>
            </w:r>
            <w:r w:rsidR="001530B0">
              <w:rPr>
                <w:rFonts w:ascii="Book Antiqua" w:hAnsi="Book Antiqua" w:cs="Arial"/>
                <w:b/>
              </w:rPr>
              <w:t>Field House</w:t>
            </w:r>
          </w:p>
        </w:tc>
        <w:tc>
          <w:tcPr>
            <w:tcW w:w="3960" w:type="dxa"/>
          </w:tcPr>
          <w:p w:rsidR="00D22636" w:rsidRPr="00C01D77" w:rsidRDefault="00073E80" w:rsidP="004A1848">
            <w:pPr>
              <w:jc w:val="both"/>
              <w:rPr>
                <w:rFonts w:ascii="Book Antiqua" w:hAnsi="Book Antiqua" w:cs="Arial"/>
                <w:b/>
              </w:rPr>
            </w:pPr>
            <w:r>
              <w:rPr>
                <w:rFonts w:ascii="Book Antiqua" w:hAnsi="Book Antiqua" w:cs="Arial"/>
                <w:b/>
              </w:rPr>
              <w:t>Decision &amp; Reasons</w:t>
            </w:r>
            <w:r w:rsidR="00283659" w:rsidRPr="00C01D77">
              <w:rPr>
                <w:rFonts w:ascii="Book Antiqua" w:hAnsi="Book Antiqua" w:cs="Arial"/>
                <w:b/>
              </w:rPr>
              <w:t xml:space="preserve"> Promulgated</w:t>
            </w:r>
          </w:p>
        </w:tc>
      </w:tr>
      <w:tr w:rsidR="00D22636" w:rsidRPr="00C01D77" w:rsidTr="00073E80">
        <w:tc>
          <w:tcPr>
            <w:tcW w:w="6048"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On </w:t>
            </w:r>
            <w:r w:rsidR="001530B0">
              <w:rPr>
                <w:rFonts w:ascii="Book Antiqua" w:hAnsi="Book Antiqua" w:cs="Arial"/>
                <w:b/>
              </w:rPr>
              <w:t>13 June 2018</w:t>
            </w:r>
          </w:p>
        </w:tc>
        <w:tc>
          <w:tcPr>
            <w:tcW w:w="3960" w:type="dxa"/>
          </w:tcPr>
          <w:p w:rsidR="00D22636" w:rsidRPr="00C01D77" w:rsidRDefault="001E3ADC" w:rsidP="004A1848">
            <w:pPr>
              <w:jc w:val="both"/>
              <w:rPr>
                <w:rFonts w:ascii="Book Antiqua" w:hAnsi="Book Antiqua" w:cs="Arial"/>
                <w:b/>
              </w:rPr>
            </w:pPr>
            <w:r>
              <w:rPr>
                <w:rFonts w:ascii="Book Antiqua" w:hAnsi="Book Antiqua" w:cs="Arial"/>
                <w:b/>
              </w:rPr>
              <w:t>On 1 August 2018</w:t>
            </w:r>
          </w:p>
        </w:tc>
      </w:tr>
      <w:tr w:rsidR="00D22636" w:rsidRPr="00C01D77" w:rsidTr="00073E80">
        <w:tc>
          <w:tcPr>
            <w:tcW w:w="6048" w:type="dxa"/>
          </w:tcPr>
          <w:p w:rsidR="00D22636" w:rsidRPr="00C01D77" w:rsidRDefault="00D22636" w:rsidP="004A1848">
            <w:pPr>
              <w:jc w:val="both"/>
              <w:rPr>
                <w:rFonts w:ascii="Book Antiqua" w:hAnsi="Book Antiqua" w:cs="Arial"/>
                <w:b/>
              </w:rPr>
            </w:pPr>
          </w:p>
        </w:tc>
        <w:tc>
          <w:tcPr>
            <w:tcW w:w="3960" w:type="dxa"/>
          </w:tcPr>
          <w:p w:rsidR="00D22636" w:rsidRPr="00C01D77" w:rsidRDefault="00D22636" w:rsidP="004A1848">
            <w:pPr>
              <w:jc w:val="both"/>
              <w:rPr>
                <w:rFonts w:ascii="Book Antiqua" w:hAnsi="Book Antiqua" w:cs="Arial"/>
                <w:b/>
              </w:rPr>
            </w:pPr>
          </w:p>
        </w:tc>
      </w:tr>
    </w:tbl>
    <w:p w:rsidR="00A15234" w:rsidRPr="00C01D77" w:rsidRDefault="00A15234" w:rsidP="00A15234">
      <w:pPr>
        <w:jc w:val="center"/>
        <w:rPr>
          <w:rFonts w:ascii="Book Antiqua" w:hAnsi="Book Antiqua" w:cs="Arial"/>
        </w:rPr>
      </w:pPr>
    </w:p>
    <w:p w:rsidR="00A15234" w:rsidRPr="00C01D77" w:rsidRDefault="00207617" w:rsidP="00A15234">
      <w:pPr>
        <w:jc w:val="center"/>
        <w:rPr>
          <w:rFonts w:ascii="Book Antiqua" w:hAnsi="Book Antiqua" w:cs="Arial"/>
          <w:b/>
        </w:rPr>
      </w:pPr>
      <w:r w:rsidRPr="00C01D77">
        <w:rPr>
          <w:rFonts w:ascii="Book Antiqua" w:hAnsi="Book Antiqua" w:cs="Arial"/>
          <w:b/>
        </w:rPr>
        <w:t>Befo</w:t>
      </w:r>
      <w:r w:rsidR="00A15234" w:rsidRPr="00C01D77">
        <w:rPr>
          <w:rFonts w:ascii="Book Antiqua" w:hAnsi="Book Antiqua" w:cs="Arial"/>
          <w:b/>
        </w:rPr>
        <w:t>re</w:t>
      </w:r>
    </w:p>
    <w:p w:rsidR="00A15234" w:rsidRPr="00C01D77" w:rsidRDefault="00A15234" w:rsidP="00A15234">
      <w:pPr>
        <w:jc w:val="center"/>
        <w:rPr>
          <w:rFonts w:ascii="Book Antiqua" w:hAnsi="Book Antiqua" w:cs="Arial"/>
          <w:b/>
        </w:rPr>
      </w:pPr>
    </w:p>
    <w:p w:rsidR="00A15234" w:rsidRPr="00C01D77" w:rsidRDefault="00C61C08" w:rsidP="00A15234">
      <w:pPr>
        <w:jc w:val="center"/>
        <w:rPr>
          <w:rFonts w:ascii="Book Antiqua" w:hAnsi="Book Antiqua" w:cs="Arial"/>
          <w:b/>
          <w:caps/>
        </w:rPr>
      </w:pPr>
      <w:r>
        <w:rPr>
          <w:rFonts w:ascii="Book Antiqua" w:hAnsi="Book Antiqua" w:cs="Arial"/>
          <w:b/>
          <w:caps/>
        </w:rPr>
        <w:t>upper tribunal judge</w:t>
      </w:r>
      <w:r w:rsidR="00825478" w:rsidRPr="00C01D77">
        <w:rPr>
          <w:rFonts w:ascii="Book Antiqua" w:hAnsi="Book Antiqua" w:cs="Arial"/>
          <w:b/>
          <w:caps/>
        </w:rPr>
        <w:t xml:space="preserve"> </w:t>
      </w:r>
      <w:r w:rsidR="00773329">
        <w:rPr>
          <w:rFonts w:ascii="Book Antiqua" w:hAnsi="Book Antiqua" w:cs="Arial"/>
          <w:b/>
          <w:caps/>
        </w:rPr>
        <w:t>conway</w:t>
      </w:r>
    </w:p>
    <w:p w:rsidR="00A845DC" w:rsidRDefault="00A845DC" w:rsidP="00A15234">
      <w:pPr>
        <w:jc w:val="center"/>
        <w:rPr>
          <w:rFonts w:ascii="Book Antiqua" w:hAnsi="Book Antiqua" w:cs="Arial"/>
          <w:b/>
        </w:rPr>
      </w:pPr>
    </w:p>
    <w:p w:rsidR="0022259A" w:rsidRPr="00C01D77" w:rsidRDefault="0022259A" w:rsidP="00A15234">
      <w:pPr>
        <w:jc w:val="center"/>
        <w:rPr>
          <w:rFonts w:ascii="Book Antiqua" w:hAnsi="Book Antiqua" w:cs="Arial"/>
          <w:b/>
        </w:rPr>
      </w:pPr>
    </w:p>
    <w:p w:rsidR="00A845DC" w:rsidRPr="00C01D77" w:rsidRDefault="00A845DC" w:rsidP="00A15234">
      <w:pPr>
        <w:jc w:val="center"/>
        <w:rPr>
          <w:rFonts w:ascii="Book Antiqua" w:hAnsi="Book Antiqua" w:cs="Arial"/>
          <w:b/>
        </w:rPr>
      </w:pPr>
      <w:r w:rsidRPr="00C01D77">
        <w:rPr>
          <w:rFonts w:ascii="Book Antiqua" w:hAnsi="Book Antiqua" w:cs="Arial"/>
          <w:b/>
        </w:rPr>
        <w:t>Between</w:t>
      </w:r>
    </w:p>
    <w:p w:rsidR="00A845DC" w:rsidRPr="00C01D77" w:rsidRDefault="00A845DC" w:rsidP="00A15234">
      <w:pPr>
        <w:jc w:val="center"/>
        <w:rPr>
          <w:rFonts w:ascii="Book Antiqua" w:hAnsi="Book Antiqua" w:cs="Arial"/>
          <w:b/>
        </w:rPr>
      </w:pPr>
    </w:p>
    <w:p w:rsidR="00742A8D" w:rsidRDefault="001530B0" w:rsidP="00742A8D">
      <w:pPr>
        <w:jc w:val="center"/>
        <w:rPr>
          <w:rFonts w:ascii="Book Antiqua" w:hAnsi="Book Antiqua" w:cs="Arial"/>
          <w:b/>
          <w:caps/>
        </w:rPr>
      </w:pPr>
      <w:r>
        <w:rPr>
          <w:rFonts w:ascii="Book Antiqua" w:hAnsi="Book Antiqua" w:cs="Arial"/>
          <w:b/>
          <w:caps/>
        </w:rPr>
        <w:t>Mrs NGOZI COMFORT MADJERY CHIKEZIE</w:t>
      </w:r>
    </w:p>
    <w:p w:rsidR="00073E80" w:rsidRDefault="00073E80" w:rsidP="00073E80">
      <w:pPr>
        <w:jc w:val="center"/>
        <w:rPr>
          <w:rFonts w:ascii="Book Antiqua" w:hAnsi="Book Antiqua" w:cs="Arial"/>
          <w:b/>
          <w:caps/>
        </w:rPr>
      </w:pPr>
      <w:r w:rsidRPr="00073E80">
        <w:rPr>
          <w:rFonts w:ascii="Book Antiqua" w:hAnsi="Book Antiqua" w:cs="Arial"/>
          <w:b/>
          <w:caps/>
        </w:rPr>
        <w:t>(</w:t>
      </w:r>
      <w:r w:rsidR="007C3FB3">
        <w:rPr>
          <w:rFonts w:ascii="Book Antiqua" w:hAnsi="Book Antiqua" w:cs="Arial"/>
          <w:b/>
          <w:caps/>
        </w:rPr>
        <w:t xml:space="preserve">NO </w:t>
      </w:r>
      <w:r w:rsidRPr="00073E80">
        <w:rPr>
          <w:rFonts w:ascii="Book Antiqua" w:hAnsi="Book Antiqua" w:cs="Arial"/>
          <w:b/>
          <w:caps/>
        </w:rPr>
        <w:t xml:space="preserve">ANONYMITY </w:t>
      </w:r>
      <w:r w:rsidR="007C3FB3">
        <w:rPr>
          <w:rFonts w:ascii="Book Antiqua" w:hAnsi="Book Antiqua" w:cs="Arial"/>
          <w:b/>
          <w:caps/>
        </w:rPr>
        <w:t>ORDER</w:t>
      </w:r>
      <w:r w:rsidRPr="00073E80">
        <w:rPr>
          <w:rFonts w:ascii="Book Antiqua" w:hAnsi="Book Antiqua" w:cs="Arial"/>
          <w:b/>
          <w:caps/>
        </w:rPr>
        <w:t xml:space="preserve"> </w:t>
      </w:r>
      <w:r w:rsidR="001530B0">
        <w:rPr>
          <w:rFonts w:ascii="Book Antiqua" w:hAnsi="Book Antiqua" w:cs="Arial"/>
          <w:b/>
          <w:caps/>
        </w:rPr>
        <w:t>MADE</w:t>
      </w:r>
      <w:r w:rsidRPr="00073E80">
        <w:rPr>
          <w:rFonts w:ascii="Book Antiqua" w:hAnsi="Book Antiqua" w:cs="Arial"/>
          <w:b/>
          <w:caps/>
        </w:rPr>
        <w:t>)</w:t>
      </w:r>
    </w:p>
    <w:p w:rsidR="00704B61" w:rsidRPr="00C01D77" w:rsidRDefault="00704B61" w:rsidP="00704B61">
      <w:pPr>
        <w:jc w:val="right"/>
        <w:rPr>
          <w:rFonts w:ascii="Book Antiqua" w:hAnsi="Book Antiqua" w:cs="Arial"/>
          <w:u w:val="single"/>
        </w:rPr>
      </w:pPr>
      <w:r w:rsidRPr="00C01D77">
        <w:rPr>
          <w:rFonts w:ascii="Book Antiqua" w:hAnsi="Book Antiqua" w:cs="Arial"/>
          <w:u w:val="single"/>
        </w:rPr>
        <w:t>Appellant</w:t>
      </w:r>
    </w:p>
    <w:p w:rsidR="00704B61" w:rsidRPr="00C01D77" w:rsidRDefault="00DD5071" w:rsidP="00704B61">
      <w:pPr>
        <w:jc w:val="center"/>
        <w:rPr>
          <w:rFonts w:ascii="Book Antiqua" w:hAnsi="Book Antiqua" w:cs="Arial"/>
          <w:b/>
        </w:rPr>
      </w:pPr>
      <w:r w:rsidRPr="00C01D77">
        <w:rPr>
          <w:rFonts w:ascii="Book Antiqua" w:hAnsi="Book Antiqua" w:cs="Arial"/>
          <w:b/>
        </w:rPr>
        <w:t>and</w:t>
      </w:r>
    </w:p>
    <w:p w:rsidR="00DD5071" w:rsidRPr="00C01D77" w:rsidRDefault="00DD5071" w:rsidP="00704B61">
      <w:pPr>
        <w:jc w:val="center"/>
        <w:rPr>
          <w:rFonts w:ascii="Book Antiqua" w:hAnsi="Book Antiqua" w:cs="Arial"/>
          <w:b/>
        </w:rPr>
      </w:pPr>
    </w:p>
    <w:p w:rsidR="00DD5071" w:rsidRPr="00C01D77" w:rsidRDefault="00DD5071" w:rsidP="00704B61">
      <w:pPr>
        <w:jc w:val="center"/>
        <w:rPr>
          <w:rFonts w:ascii="Book Antiqua" w:hAnsi="Book Antiqua" w:cs="Arial"/>
          <w:b/>
          <w:caps/>
        </w:rPr>
      </w:pPr>
      <w:r w:rsidRPr="00C01D77">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0" w:name="Text7"/>
      <w:r w:rsidRPr="00C01D77">
        <w:rPr>
          <w:rFonts w:ascii="Book Antiqua" w:hAnsi="Book Antiqua" w:cs="Arial"/>
          <w:b/>
          <w:caps/>
        </w:rPr>
        <w:instrText xml:space="preserve"> FORMTEXT </w:instrText>
      </w:r>
      <w:r w:rsidRPr="00C01D77">
        <w:rPr>
          <w:rFonts w:ascii="Book Antiqua" w:hAnsi="Book Antiqua" w:cs="Arial"/>
          <w:b/>
          <w:caps/>
        </w:rPr>
      </w:r>
      <w:r w:rsidRPr="00C01D77">
        <w:rPr>
          <w:rFonts w:ascii="Book Antiqua" w:hAnsi="Book Antiqua" w:cs="Arial"/>
          <w:b/>
          <w:caps/>
        </w:rPr>
        <w:fldChar w:fldCharType="separate"/>
      </w:r>
      <w:r w:rsidRPr="00C01D77">
        <w:rPr>
          <w:rFonts w:ascii="Book Antiqua" w:hAnsi="Book Antiqua" w:cs="Arial"/>
          <w:b/>
          <w:caps/>
          <w:noProof/>
        </w:rPr>
        <w:t>THE SECRETARY OF STATE FOR THE HOME DEPARTMENT</w:t>
      </w:r>
      <w:r w:rsidRPr="00C01D77">
        <w:rPr>
          <w:rFonts w:ascii="Book Antiqua" w:hAnsi="Book Antiqua" w:cs="Arial"/>
          <w:b/>
          <w:caps/>
        </w:rPr>
        <w:fldChar w:fldCharType="end"/>
      </w:r>
      <w:bookmarkEnd w:id="0"/>
    </w:p>
    <w:p w:rsidR="00DD5071" w:rsidRPr="00C01D77" w:rsidRDefault="00DD5071" w:rsidP="00DD5071">
      <w:pPr>
        <w:jc w:val="right"/>
        <w:rPr>
          <w:rFonts w:ascii="Book Antiqua" w:hAnsi="Book Antiqua" w:cs="Arial"/>
          <w:u w:val="single"/>
        </w:rPr>
      </w:pPr>
      <w:r w:rsidRPr="00C01D77">
        <w:rPr>
          <w:rFonts w:ascii="Book Antiqua" w:hAnsi="Book Antiqua" w:cs="Arial"/>
          <w:u w:val="single"/>
        </w:rPr>
        <w:t>Respondent</w:t>
      </w:r>
    </w:p>
    <w:p w:rsidR="00DD5071" w:rsidRPr="00C01D77" w:rsidRDefault="00DD5071" w:rsidP="00DD5071">
      <w:pPr>
        <w:rPr>
          <w:rFonts w:ascii="Book Antiqua" w:hAnsi="Book Antiqua" w:cs="Arial"/>
          <w:u w:val="single"/>
        </w:rPr>
      </w:pPr>
    </w:p>
    <w:p w:rsidR="00DD5071" w:rsidRPr="00C01D77" w:rsidRDefault="00DD5071" w:rsidP="00DD5071">
      <w:pPr>
        <w:rPr>
          <w:rFonts w:ascii="Book Antiqua" w:hAnsi="Book Antiqua" w:cs="Arial"/>
          <w:u w:val="single"/>
        </w:rPr>
      </w:pPr>
    </w:p>
    <w:p w:rsidR="00DD5071" w:rsidRPr="00C01D77" w:rsidRDefault="00DE7DB7" w:rsidP="00DD5071">
      <w:pPr>
        <w:rPr>
          <w:rFonts w:ascii="Book Antiqua" w:hAnsi="Book Antiqua" w:cs="Arial"/>
        </w:rPr>
      </w:pPr>
      <w:r w:rsidRPr="00C01D77">
        <w:rPr>
          <w:rFonts w:ascii="Book Antiqua" w:hAnsi="Book Antiqua" w:cs="Arial"/>
          <w:b/>
          <w:u w:val="single"/>
        </w:rPr>
        <w:t>Representation</w:t>
      </w:r>
      <w:r w:rsidRPr="00C01D77">
        <w:rPr>
          <w:rFonts w:ascii="Book Antiqua" w:hAnsi="Book Antiqua" w:cs="Arial"/>
          <w:b/>
        </w:rPr>
        <w:t>:</w:t>
      </w:r>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Appellant:</w:t>
      </w:r>
      <w:r w:rsidRPr="00C01D77">
        <w:rPr>
          <w:rFonts w:ascii="Book Antiqua" w:hAnsi="Book Antiqua" w:cs="Arial"/>
        </w:rPr>
        <w:tab/>
      </w:r>
      <w:r w:rsidR="001530B0">
        <w:rPr>
          <w:rFonts w:ascii="Book Antiqua" w:hAnsi="Book Antiqua" w:cs="Arial"/>
        </w:rPr>
        <w:t xml:space="preserve">Mr </w:t>
      </w:r>
      <w:r w:rsidR="007C3FB3">
        <w:rPr>
          <w:rFonts w:ascii="Book Antiqua" w:hAnsi="Book Antiqua" w:cs="Arial"/>
        </w:rPr>
        <w:t>Khan</w:t>
      </w:r>
      <w:r w:rsidR="001530B0">
        <w:rPr>
          <w:rFonts w:ascii="Book Antiqua" w:hAnsi="Book Antiqua" w:cs="Arial"/>
        </w:rPr>
        <w:t xml:space="preserve"> of Counsel</w:t>
      </w:r>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Respondent:</w:t>
      </w:r>
      <w:r w:rsidRPr="00C01D77">
        <w:rPr>
          <w:rFonts w:ascii="Book Antiqua" w:hAnsi="Book Antiqua" w:cs="Arial"/>
        </w:rPr>
        <w:tab/>
      </w:r>
      <w:r w:rsidR="001530B0">
        <w:rPr>
          <w:rFonts w:ascii="Book Antiqua" w:hAnsi="Book Antiqua" w:cs="Arial"/>
        </w:rPr>
        <w:t xml:space="preserve">Ms Willocks-Briscoe, Home Office Presenting Officer </w:t>
      </w:r>
    </w:p>
    <w:p w:rsidR="00DE7DB7" w:rsidRPr="00C01D77" w:rsidRDefault="00DE7DB7" w:rsidP="00402B9E">
      <w:pPr>
        <w:tabs>
          <w:tab w:val="left" w:pos="2520"/>
        </w:tabs>
        <w:jc w:val="center"/>
        <w:rPr>
          <w:rFonts w:ascii="Book Antiqua" w:hAnsi="Book Antiqua" w:cs="Arial"/>
        </w:rPr>
      </w:pPr>
    </w:p>
    <w:p w:rsidR="00DE7DB7" w:rsidRPr="00C01D77" w:rsidRDefault="00DE7DB7" w:rsidP="00402B9E">
      <w:pPr>
        <w:tabs>
          <w:tab w:val="left" w:pos="2520"/>
        </w:tabs>
        <w:jc w:val="center"/>
        <w:rPr>
          <w:rFonts w:ascii="Book Antiqua" w:hAnsi="Book Antiqua" w:cs="Arial"/>
        </w:rPr>
      </w:pPr>
    </w:p>
    <w:p w:rsidR="00DE7DB7" w:rsidRPr="00C01D77" w:rsidRDefault="00073E80"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01D77">
        <w:rPr>
          <w:rFonts w:ascii="Book Antiqua" w:hAnsi="Book Antiqua" w:cs="Arial"/>
          <w:b/>
          <w:u w:val="single"/>
        </w:rPr>
        <w:t>AND REASONS</w:t>
      </w:r>
    </w:p>
    <w:p w:rsidR="001A38A5" w:rsidRDefault="001530B0" w:rsidP="001A38A5">
      <w:pPr>
        <w:numPr>
          <w:ilvl w:val="0"/>
          <w:numId w:val="3"/>
        </w:numPr>
        <w:spacing w:before="240"/>
        <w:jc w:val="both"/>
        <w:rPr>
          <w:rFonts w:ascii="Book Antiqua" w:hAnsi="Book Antiqua" w:cs="Arial"/>
        </w:rPr>
      </w:pPr>
      <w:r>
        <w:rPr>
          <w:rFonts w:ascii="Book Antiqua" w:hAnsi="Book Antiqua" w:cs="Arial"/>
        </w:rPr>
        <w:t xml:space="preserve">The Appellant is a citizen of Nigeria born in 1975.  She appealed against a decision of the Respondent made on 21 April 2015 to refuse her application for leave to remain on the basis of family life with Mark Gareth Richards (the Sponsor) and on the basis of private life.  </w:t>
      </w:r>
    </w:p>
    <w:p w:rsidR="001530B0" w:rsidRDefault="001530B0" w:rsidP="001A38A5">
      <w:pPr>
        <w:numPr>
          <w:ilvl w:val="0"/>
          <w:numId w:val="3"/>
        </w:numPr>
        <w:spacing w:before="240"/>
        <w:jc w:val="both"/>
        <w:rPr>
          <w:rFonts w:ascii="Book Antiqua" w:hAnsi="Book Antiqua" w:cs="Arial"/>
        </w:rPr>
      </w:pPr>
      <w:r>
        <w:rPr>
          <w:rFonts w:ascii="Book Antiqua" w:hAnsi="Book Antiqua" w:cs="Arial"/>
        </w:rPr>
        <w:t xml:space="preserve">The basis for the refusal was that the relationship was not believed.  Also, it had not been shown that the Sponsor’s income reached the required level.  Further, the </w:t>
      </w:r>
      <w:r>
        <w:rPr>
          <w:rFonts w:ascii="Book Antiqua" w:hAnsi="Book Antiqua" w:cs="Arial"/>
        </w:rPr>
        <w:lastRenderedPageBreak/>
        <w:t>Appellant had not shown evidence of the required English language skills.  In addition, she had not shown evidence of twenty years’ residence.</w:t>
      </w:r>
    </w:p>
    <w:p w:rsidR="001530B0" w:rsidRDefault="001530B0" w:rsidP="001A38A5">
      <w:pPr>
        <w:numPr>
          <w:ilvl w:val="0"/>
          <w:numId w:val="3"/>
        </w:numPr>
        <w:spacing w:before="240"/>
        <w:jc w:val="both"/>
        <w:rPr>
          <w:rFonts w:ascii="Book Antiqua" w:hAnsi="Book Antiqua" w:cs="Arial"/>
        </w:rPr>
      </w:pPr>
      <w:r>
        <w:rPr>
          <w:rFonts w:ascii="Book Antiqua" w:hAnsi="Book Antiqua" w:cs="Arial"/>
        </w:rPr>
        <w:t>She appealed.</w:t>
      </w:r>
    </w:p>
    <w:p w:rsidR="001530B0" w:rsidRPr="001530B0" w:rsidRDefault="001530B0" w:rsidP="001530B0">
      <w:pPr>
        <w:spacing w:before="240"/>
        <w:jc w:val="both"/>
        <w:rPr>
          <w:rFonts w:ascii="Book Antiqua" w:hAnsi="Book Antiqua" w:cs="Arial"/>
          <w:b/>
          <w:u w:val="single"/>
        </w:rPr>
      </w:pPr>
      <w:r>
        <w:rPr>
          <w:rFonts w:ascii="Book Antiqua" w:hAnsi="Book Antiqua" w:cs="Arial"/>
          <w:b/>
          <w:u w:val="single"/>
        </w:rPr>
        <w:t>First-tier Hearing</w:t>
      </w:r>
    </w:p>
    <w:p w:rsidR="001530B0" w:rsidRDefault="001530B0" w:rsidP="001A38A5">
      <w:pPr>
        <w:numPr>
          <w:ilvl w:val="0"/>
          <w:numId w:val="3"/>
        </w:numPr>
        <w:spacing w:before="240"/>
        <w:jc w:val="both"/>
        <w:rPr>
          <w:rFonts w:ascii="Book Antiqua" w:hAnsi="Book Antiqua" w:cs="Arial"/>
        </w:rPr>
      </w:pPr>
      <w:r>
        <w:rPr>
          <w:rFonts w:ascii="Book Antiqua" w:hAnsi="Book Antiqua" w:cs="Arial"/>
        </w:rPr>
        <w:t xml:space="preserve">Following a hearing at Hatton Cross on 25 September 2017 Judge of the First-tier </w:t>
      </w:r>
      <w:r w:rsidR="007C3FB3">
        <w:rPr>
          <w:rFonts w:ascii="Book Antiqua" w:hAnsi="Book Antiqua" w:cs="Arial"/>
        </w:rPr>
        <w:t>Sullivan</w:t>
      </w:r>
      <w:r>
        <w:rPr>
          <w:rFonts w:ascii="Book Antiqua" w:hAnsi="Book Antiqua" w:cs="Arial"/>
        </w:rPr>
        <w:t xml:space="preserve"> dismissed the appeal.</w:t>
      </w:r>
    </w:p>
    <w:p w:rsidR="001530B0" w:rsidRDefault="001530B0" w:rsidP="001A38A5">
      <w:pPr>
        <w:numPr>
          <w:ilvl w:val="0"/>
          <w:numId w:val="3"/>
        </w:numPr>
        <w:spacing w:before="240"/>
        <w:jc w:val="both"/>
        <w:rPr>
          <w:rFonts w:ascii="Book Antiqua" w:hAnsi="Book Antiqua" w:cs="Arial"/>
        </w:rPr>
      </w:pPr>
      <w:r>
        <w:rPr>
          <w:rFonts w:ascii="Book Antiqua" w:hAnsi="Book Antiqua" w:cs="Arial"/>
        </w:rPr>
        <w:t xml:space="preserve">Her findings are at paragraph 16 </w:t>
      </w:r>
      <w:r w:rsidR="007C3FB3">
        <w:rPr>
          <w:rFonts w:ascii="Book Antiqua" w:hAnsi="Book Antiqua" w:cs="Arial"/>
        </w:rPr>
        <w:t>ff.</w:t>
      </w:r>
      <w:r>
        <w:rPr>
          <w:rFonts w:ascii="Book Antiqua" w:hAnsi="Book Antiqua" w:cs="Arial"/>
        </w:rPr>
        <w:t xml:space="preserve"> </w:t>
      </w:r>
      <w:r w:rsidR="007C3FB3">
        <w:rPr>
          <w:rFonts w:ascii="Book Antiqua" w:hAnsi="Book Antiqua" w:cs="Arial"/>
        </w:rPr>
        <w:t xml:space="preserve"> </w:t>
      </w:r>
      <w:r>
        <w:rPr>
          <w:rFonts w:ascii="Book Antiqua" w:hAnsi="Book Antiqua" w:cs="Arial"/>
        </w:rPr>
        <w:t>In summary, she found that the Appellant is in a genuine and subsisting relationship with the Sponsor [17]; that there would be insurmountable obstacles to family life between the Appellant and Sponsor, who is a British citizen, continuing outside the UK [17].</w:t>
      </w:r>
    </w:p>
    <w:p w:rsidR="001530B0" w:rsidRDefault="001530B0" w:rsidP="001A38A5">
      <w:pPr>
        <w:numPr>
          <w:ilvl w:val="0"/>
          <w:numId w:val="3"/>
        </w:numPr>
        <w:spacing w:before="240"/>
        <w:jc w:val="both"/>
        <w:rPr>
          <w:rFonts w:ascii="Book Antiqua" w:hAnsi="Book Antiqua" w:cs="Arial"/>
        </w:rPr>
      </w:pPr>
      <w:r>
        <w:rPr>
          <w:rFonts w:ascii="Book Antiqua" w:hAnsi="Book Antiqua" w:cs="Arial"/>
        </w:rPr>
        <w:t>She went on to find that the Appellant, however, had not shown that she has the required English language skills.  Also, that the required evidence of financial resources had not been shown.</w:t>
      </w:r>
    </w:p>
    <w:p w:rsidR="001530B0" w:rsidRDefault="001530B0" w:rsidP="001A38A5">
      <w:pPr>
        <w:numPr>
          <w:ilvl w:val="0"/>
          <w:numId w:val="3"/>
        </w:numPr>
        <w:spacing w:before="240"/>
        <w:jc w:val="both"/>
        <w:rPr>
          <w:rFonts w:ascii="Book Antiqua" w:hAnsi="Book Antiqua" w:cs="Arial"/>
        </w:rPr>
      </w:pPr>
      <w:r>
        <w:rPr>
          <w:rFonts w:ascii="Book Antiqua" w:hAnsi="Book Antiqua" w:cs="Arial"/>
        </w:rPr>
        <w:t>Next, the judge spent several paragraphs in a detailed analysis of the period of residence claimed by the Appellant concluding, (at [27]) that “</w:t>
      </w:r>
      <w:r w:rsidRPr="00C876D8">
        <w:rPr>
          <w:rFonts w:ascii="Book Antiqua" w:hAnsi="Book Antiqua" w:cs="Arial"/>
          <w:i/>
        </w:rPr>
        <w:t>she has proved her</w:t>
      </w:r>
      <w:r>
        <w:rPr>
          <w:rFonts w:ascii="Book Antiqua" w:hAnsi="Book Antiqua" w:cs="Arial"/>
        </w:rPr>
        <w:t xml:space="preserve"> </w:t>
      </w:r>
      <w:r w:rsidRPr="00C876D8">
        <w:rPr>
          <w:rFonts w:ascii="Book Antiqua" w:hAnsi="Book Antiqua" w:cs="Arial"/>
          <w:i/>
        </w:rPr>
        <w:t>presence in the United Kingdom from June 1998</w:t>
      </w:r>
      <w:r>
        <w:rPr>
          <w:rFonts w:ascii="Book Antiqua" w:hAnsi="Book Antiqua" w:cs="Arial"/>
        </w:rPr>
        <w:t>”.</w:t>
      </w:r>
    </w:p>
    <w:p w:rsidR="001530B0" w:rsidRDefault="001530B0" w:rsidP="001A38A5">
      <w:pPr>
        <w:numPr>
          <w:ilvl w:val="0"/>
          <w:numId w:val="3"/>
        </w:numPr>
        <w:spacing w:before="240"/>
        <w:jc w:val="both"/>
        <w:rPr>
          <w:rFonts w:ascii="Book Antiqua" w:hAnsi="Book Antiqua" w:cs="Arial"/>
        </w:rPr>
      </w:pPr>
      <w:r>
        <w:rPr>
          <w:rFonts w:ascii="Book Antiqua" w:hAnsi="Book Antiqua" w:cs="Arial"/>
        </w:rPr>
        <w:t>The main findings in the remaining paragraphs, in the context of the</w:t>
      </w:r>
      <w:r w:rsidR="00FC7791">
        <w:rPr>
          <w:rFonts w:ascii="Book Antiqua" w:hAnsi="Book Antiqua" w:cs="Arial"/>
        </w:rPr>
        <w:t xml:space="preserve"> proportionality assessment, were</w:t>
      </w:r>
      <w:r>
        <w:rPr>
          <w:rFonts w:ascii="Book Antiqua" w:hAnsi="Book Antiqua" w:cs="Arial"/>
        </w:rPr>
        <w:t xml:space="preserve"> that the Appellant despite not satisfying the English language requirement under the Rules has the English language skills to begin to integrate into society.  Also, more recent documentation indicated that the Sponsor has the resources to ensure that the Appellant is independent of public funds.  </w:t>
      </w:r>
    </w:p>
    <w:p w:rsidR="00C93F56" w:rsidRDefault="001530B0" w:rsidP="001A38A5">
      <w:pPr>
        <w:numPr>
          <w:ilvl w:val="0"/>
          <w:numId w:val="3"/>
        </w:numPr>
        <w:spacing w:before="240"/>
        <w:jc w:val="both"/>
        <w:rPr>
          <w:rFonts w:ascii="Book Antiqua" w:hAnsi="Book Antiqua" w:cs="Arial"/>
        </w:rPr>
      </w:pPr>
      <w:r>
        <w:rPr>
          <w:rFonts w:ascii="Book Antiqua" w:hAnsi="Book Antiqua" w:cs="Arial"/>
        </w:rPr>
        <w:t xml:space="preserve">However, </w:t>
      </w:r>
      <w:r w:rsidR="00C467AB">
        <w:rPr>
          <w:rFonts w:ascii="Book Antiqua" w:hAnsi="Book Antiqua" w:cs="Arial"/>
        </w:rPr>
        <w:t xml:space="preserve">the judge concluded </w:t>
      </w:r>
      <w:r w:rsidR="00C93F56">
        <w:rPr>
          <w:rFonts w:ascii="Book Antiqua" w:hAnsi="Book Antiqua" w:cs="Arial"/>
        </w:rPr>
        <w:t>that there would not be significant interference with family life by requiring the Appellant to return to Nigeria and seek entry clearance.  Separation would not be of “</w:t>
      </w:r>
      <w:r w:rsidR="00C93F56" w:rsidRPr="004B0FEC">
        <w:rPr>
          <w:rFonts w:ascii="Book Antiqua" w:hAnsi="Book Antiqua" w:cs="Arial"/>
          <w:i/>
        </w:rPr>
        <w:t>significant duration</w:t>
      </w:r>
      <w:r w:rsidR="004B0FEC">
        <w:rPr>
          <w:rFonts w:ascii="Book Antiqua" w:hAnsi="Book Antiqua" w:cs="Arial"/>
          <w:i/>
        </w:rPr>
        <w:t>.</w:t>
      </w:r>
      <w:r w:rsidR="004B0FEC">
        <w:rPr>
          <w:rFonts w:ascii="Book Antiqua" w:hAnsi="Book Antiqua" w:cs="Arial"/>
        </w:rPr>
        <w:t>”</w:t>
      </w:r>
    </w:p>
    <w:p w:rsidR="00C93F56" w:rsidRPr="00C93F56" w:rsidRDefault="00C93F56" w:rsidP="00C93F56">
      <w:pPr>
        <w:spacing w:before="240"/>
        <w:jc w:val="both"/>
        <w:rPr>
          <w:rFonts w:ascii="Book Antiqua" w:hAnsi="Book Antiqua" w:cs="Arial"/>
          <w:b/>
          <w:u w:val="single"/>
        </w:rPr>
      </w:pPr>
      <w:r>
        <w:rPr>
          <w:rFonts w:ascii="Book Antiqua" w:hAnsi="Book Antiqua" w:cs="Arial"/>
          <w:b/>
          <w:u w:val="single"/>
        </w:rPr>
        <w:t>Error of Law Hearing</w:t>
      </w:r>
    </w:p>
    <w:p w:rsidR="00C93F56" w:rsidRDefault="00C93F56" w:rsidP="001A38A5">
      <w:pPr>
        <w:numPr>
          <w:ilvl w:val="0"/>
          <w:numId w:val="3"/>
        </w:numPr>
        <w:spacing w:before="240"/>
        <w:jc w:val="both"/>
        <w:rPr>
          <w:rFonts w:ascii="Book Antiqua" w:hAnsi="Book Antiqua" w:cs="Arial"/>
        </w:rPr>
      </w:pPr>
      <w:r>
        <w:rPr>
          <w:rFonts w:ascii="Book Antiqua" w:hAnsi="Book Antiqua" w:cs="Arial"/>
        </w:rPr>
        <w:t>The Appellant sought permission to appeal which was granted on 10 April 2018.</w:t>
      </w:r>
    </w:p>
    <w:p w:rsidR="00C93F56" w:rsidRDefault="00C93F56" w:rsidP="001A38A5">
      <w:pPr>
        <w:numPr>
          <w:ilvl w:val="0"/>
          <w:numId w:val="3"/>
        </w:numPr>
        <w:spacing w:before="240"/>
        <w:jc w:val="both"/>
        <w:rPr>
          <w:rFonts w:ascii="Book Antiqua" w:hAnsi="Book Antiqua" w:cs="Arial"/>
        </w:rPr>
      </w:pPr>
      <w:r>
        <w:rPr>
          <w:rFonts w:ascii="Book Antiqua" w:hAnsi="Book Antiqua" w:cs="Arial"/>
        </w:rPr>
        <w:t>At the error of law hearing before me Mr Khan’s point was brief, namely, that the judge having found that paragraph EX.</w:t>
      </w:r>
      <w:r w:rsidR="004B0FEC">
        <w:rPr>
          <w:rFonts w:ascii="Book Antiqua" w:hAnsi="Book Antiqua" w:cs="Arial"/>
        </w:rPr>
        <w:t>1 applied, the Appellant had</w:t>
      </w:r>
      <w:r>
        <w:rPr>
          <w:rFonts w:ascii="Book Antiqua" w:hAnsi="Book Antiqua" w:cs="Arial"/>
        </w:rPr>
        <w:t xml:space="preserve"> satisfied the Immigration Rules.  The fact that she satisfied the Rules was a heavy consideration which weighed in favour of the Appellant.  The judge having found that Appendix FM was satisfied erred in failing to identify any sensible reason why the Appellant should leave her husband and family and return to Nigeria to make an entry clearance application.  </w:t>
      </w:r>
    </w:p>
    <w:p w:rsidR="00C93F56" w:rsidRDefault="00C93F56" w:rsidP="001A38A5">
      <w:pPr>
        <w:numPr>
          <w:ilvl w:val="0"/>
          <w:numId w:val="3"/>
        </w:numPr>
        <w:spacing w:before="240"/>
        <w:jc w:val="both"/>
        <w:rPr>
          <w:rFonts w:ascii="Book Antiqua" w:hAnsi="Book Antiqua" w:cs="Arial"/>
        </w:rPr>
      </w:pPr>
      <w:r>
        <w:rPr>
          <w:rFonts w:ascii="Book Antiqua" w:hAnsi="Book Antiqua" w:cs="Arial"/>
        </w:rPr>
        <w:t xml:space="preserve">Ms Willocks-Briscoe in even briefer response essentially left the matter for me.  She agreed that a finding that paragraph EX.1 applied meant that the finding that the financial and English language requirements were not met was redundant.  Her only </w:t>
      </w:r>
      <w:r>
        <w:rPr>
          <w:rFonts w:ascii="Book Antiqua" w:hAnsi="Book Antiqua" w:cs="Arial"/>
        </w:rPr>
        <w:lastRenderedPageBreak/>
        <w:t>other comment was to question whether the post paragraph [17] findings indicated inconsistency in the judge’s mind.</w:t>
      </w:r>
    </w:p>
    <w:p w:rsidR="00C93F56" w:rsidRPr="00C93F56" w:rsidRDefault="00C93F56" w:rsidP="00C93F56">
      <w:pPr>
        <w:spacing w:before="240"/>
        <w:jc w:val="both"/>
        <w:rPr>
          <w:rFonts w:ascii="Book Antiqua" w:hAnsi="Book Antiqua" w:cs="Arial"/>
          <w:b/>
          <w:u w:val="single"/>
        </w:rPr>
      </w:pPr>
      <w:r>
        <w:rPr>
          <w:rFonts w:ascii="Book Antiqua" w:hAnsi="Book Antiqua" w:cs="Arial"/>
          <w:b/>
          <w:u w:val="single"/>
        </w:rPr>
        <w:t xml:space="preserve">Consideration </w:t>
      </w:r>
    </w:p>
    <w:p w:rsidR="00C93F56" w:rsidRDefault="00C93F56" w:rsidP="001A38A5">
      <w:pPr>
        <w:numPr>
          <w:ilvl w:val="0"/>
          <w:numId w:val="3"/>
        </w:numPr>
        <w:spacing w:before="240"/>
        <w:jc w:val="both"/>
        <w:rPr>
          <w:rFonts w:ascii="Book Antiqua" w:hAnsi="Book Antiqua" w:cs="Arial"/>
        </w:rPr>
      </w:pPr>
      <w:r>
        <w:rPr>
          <w:rFonts w:ascii="Book Antiqua" w:hAnsi="Book Antiqua" w:cs="Arial"/>
        </w:rPr>
        <w:t xml:space="preserve">The application was made under the family (partner) route and on the basis of private life.  </w:t>
      </w:r>
    </w:p>
    <w:p w:rsidR="00C93F56" w:rsidRDefault="00C93F56" w:rsidP="001A38A5">
      <w:pPr>
        <w:numPr>
          <w:ilvl w:val="0"/>
          <w:numId w:val="3"/>
        </w:numPr>
        <w:spacing w:before="240"/>
        <w:jc w:val="both"/>
        <w:rPr>
          <w:rFonts w:ascii="Book Antiqua" w:hAnsi="Book Antiqua" w:cs="Arial"/>
        </w:rPr>
      </w:pPr>
      <w:r>
        <w:rPr>
          <w:rFonts w:ascii="Book Antiqua" w:hAnsi="Book Antiqua" w:cs="Arial"/>
        </w:rPr>
        <w:t>On the former, Section R-LTRP.1.1 of Appendix FM set</w:t>
      </w:r>
      <w:r w:rsidR="00424144">
        <w:rPr>
          <w:rFonts w:ascii="Book Antiqua" w:hAnsi="Book Antiqua" w:cs="Arial"/>
        </w:rPr>
        <w:t>s</w:t>
      </w:r>
      <w:r>
        <w:rPr>
          <w:rFonts w:ascii="Book Antiqua" w:hAnsi="Book Antiqua" w:cs="Arial"/>
        </w:rPr>
        <w:t xml:space="preserve"> out the requirements to be met for limited leave to remain as a partner.  It states:</w:t>
      </w:r>
    </w:p>
    <w:p w:rsidR="00C93F56" w:rsidRDefault="00A53495" w:rsidP="00C93F56">
      <w:pPr>
        <w:spacing w:before="240"/>
        <w:ind w:left="1134"/>
        <w:jc w:val="both"/>
        <w:rPr>
          <w:rFonts w:ascii="Book Antiqua" w:hAnsi="Book Antiqua" w:cs="Arial"/>
        </w:rPr>
      </w:pPr>
      <w:r>
        <w:rPr>
          <w:rFonts w:ascii="Book Antiqua" w:hAnsi="Book Antiqua" w:cs="Arial"/>
        </w:rPr>
        <w:t>“…</w:t>
      </w:r>
    </w:p>
    <w:p w:rsidR="00A53495" w:rsidRPr="00107628" w:rsidRDefault="00A53495" w:rsidP="00A53495">
      <w:pPr>
        <w:tabs>
          <w:tab w:val="left" w:pos="1701"/>
        </w:tabs>
        <w:spacing w:before="240"/>
        <w:ind w:left="2268" w:hanging="1134"/>
        <w:jc w:val="both"/>
        <w:rPr>
          <w:rFonts w:ascii="Book Antiqua" w:hAnsi="Book Antiqua"/>
          <w:i/>
          <w:lang w:val="en"/>
        </w:rPr>
      </w:pPr>
      <w:r w:rsidRPr="00A53495">
        <w:rPr>
          <w:rFonts w:ascii="Book Antiqua" w:hAnsi="Book Antiqua"/>
          <w:lang w:val="en"/>
        </w:rPr>
        <w:t xml:space="preserve">(c) </w:t>
      </w:r>
      <w:r>
        <w:rPr>
          <w:rFonts w:ascii="Book Antiqua" w:hAnsi="Book Antiqua"/>
          <w:lang w:val="en"/>
        </w:rPr>
        <w:tab/>
      </w:r>
      <w:r w:rsidRPr="00A53495">
        <w:rPr>
          <w:rFonts w:ascii="Book Antiqua" w:hAnsi="Book Antiqua"/>
          <w:lang w:val="en"/>
        </w:rPr>
        <w:t>(</w:t>
      </w:r>
      <w:proofErr w:type="spellStart"/>
      <w:r w:rsidRPr="00A53495">
        <w:rPr>
          <w:rFonts w:ascii="Book Antiqua" w:hAnsi="Book Antiqua"/>
          <w:lang w:val="en"/>
        </w:rPr>
        <w:t>i</w:t>
      </w:r>
      <w:proofErr w:type="spellEnd"/>
      <w:r w:rsidRPr="00A53495">
        <w:rPr>
          <w:rFonts w:ascii="Book Antiqua" w:hAnsi="Book Antiqua"/>
          <w:lang w:val="en"/>
        </w:rPr>
        <w:t>)</w:t>
      </w:r>
      <w:r>
        <w:rPr>
          <w:rFonts w:ascii="Book Antiqua" w:hAnsi="Book Antiqua"/>
          <w:lang w:val="en"/>
        </w:rPr>
        <w:tab/>
      </w:r>
      <w:r w:rsidRPr="00107628">
        <w:rPr>
          <w:rFonts w:ascii="Book Antiqua" w:hAnsi="Book Antiqua"/>
          <w:i/>
          <w:lang w:val="en"/>
        </w:rPr>
        <w:t>the applicant must not fall for refusal under Section S-LTR: Suitability leave to remain; and</w:t>
      </w:r>
    </w:p>
    <w:p w:rsidR="00A53495" w:rsidRPr="00107628" w:rsidRDefault="00A53495" w:rsidP="00A53495">
      <w:pPr>
        <w:tabs>
          <w:tab w:val="left" w:pos="2268"/>
        </w:tabs>
        <w:spacing w:before="240"/>
        <w:ind w:left="2268" w:hanging="567"/>
        <w:jc w:val="both"/>
        <w:rPr>
          <w:rFonts w:ascii="Book Antiqua" w:hAnsi="Book Antiqua"/>
          <w:i/>
          <w:lang w:val="en"/>
        </w:rPr>
      </w:pPr>
      <w:r w:rsidRPr="00107628">
        <w:rPr>
          <w:rFonts w:ascii="Book Antiqua" w:hAnsi="Book Antiqua"/>
          <w:lang w:val="en"/>
        </w:rPr>
        <w:t>(ii)</w:t>
      </w:r>
      <w:r w:rsidRPr="00107628">
        <w:rPr>
          <w:rFonts w:ascii="Book Antiqua" w:hAnsi="Book Antiqua"/>
          <w:i/>
          <w:lang w:val="en"/>
        </w:rPr>
        <w:t xml:space="preserve"> </w:t>
      </w:r>
      <w:r w:rsidRPr="00107628">
        <w:rPr>
          <w:rFonts w:ascii="Book Antiqua" w:hAnsi="Book Antiqua"/>
          <w:i/>
          <w:lang w:val="en"/>
        </w:rPr>
        <w:tab/>
        <w:t xml:space="preserve">the applicant meets </w:t>
      </w:r>
      <w:proofErr w:type="gramStart"/>
      <w:r w:rsidRPr="00107628">
        <w:rPr>
          <w:rFonts w:ascii="Book Antiqua" w:hAnsi="Book Antiqua"/>
          <w:i/>
          <w:lang w:val="en"/>
        </w:rPr>
        <w:t>all of</w:t>
      </w:r>
      <w:proofErr w:type="gramEnd"/>
      <w:r w:rsidRPr="00107628">
        <w:rPr>
          <w:rFonts w:ascii="Book Antiqua" w:hAnsi="Book Antiqua"/>
          <w:i/>
          <w:lang w:val="en"/>
        </w:rPr>
        <w:t xml:space="preserve"> the requirements of Section E-LTRP: Eligibility for leave to remain as a partner; or</w:t>
      </w:r>
    </w:p>
    <w:p w:rsidR="00A53495" w:rsidRPr="00107628" w:rsidRDefault="00A53495" w:rsidP="00A53495">
      <w:pPr>
        <w:tabs>
          <w:tab w:val="left" w:pos="1701"/>
        </w:tabs>
        <w:spacing w:before="240"/>
        <w:ind w:left="2268" w:hanging="1134"/>
        <w:jc w:val="both"/>
        <w:rPr>
          <w:rFonts w:ascii="Book Antiqua" w:hAnsi="Book Antiqua"/>
          <w:i/>
          <w:lang w:val="en"/>
        </w:rPr>
      </w:pPr>
      <w:r w:rsidRPr="00107628">
        <w:rPr>
          <w:rFonts w:ascii="Book Antiqua" w:hAnsi="Book Antiqua"/>
          <w:lang w:val="en"/>
        </w:rPr>
        <w:t>(d)</w:t>
      </w:r>
      <w:r w:rsidRPr="00107628">
        <w:rPr>
          <w:rFonts w:ascii="Book Antiqua" w:hAnsi="Book Antiqua"/>
          <w:i/>
          <w:lang w:val="en"/>
        </w:rPr>
        <w:t xml:space="preserve"> </w:t>
      </w:r>
      <w:r w:rsidRPr="00107628">
        <w:rPr>
          <w:rFonts w:ascii="Book Antiqua" w:hAnsi="Book Antiqua"/>
          <w:i/>
          <w:lang w:val="en"/>
        </w:rPr>
        <w:tab/>
      </w:r>
      <w:r w:rsidRPr="00107628">
        <w:rPr>
          <w:rFonts w:ascii="Book Antiqua" w:hAnsi="Book Antiqua"/>
          <w:lang w:val="en"/>
        </w:rPr>
        <w:t>(</w:t>
      </w:r>
      <w:proofErr w:type="spellStart"/>
      <w:r w:rsidRPr="00107628">
        <w:rPr>
          <w:rFonts w:ascii="Book Antiqua" w:hAnsi="Book Antiqua"/>
          <w:lang w:val="en"/>
        </w:rPr>
        <w:t>i</w:t>
      </w:r>
      <w:proofErr w:type="spellEnd"/>
      <w:r w:rsidRPr="00107628">
        <w:rPr>
          <w:rFonts w:ascii="Book Antiqua" w:hAnsi="Book Antiqua"/>
          <w:lang w:val="en"/>
        </w:rPr>
        <w:t>)</w:t>
      </w:r>
      <w:r w:rsidRPr="00107628">
        <w:rPr>
          <w:rFonts w:ascii="Book Antiqua" w:hAnsi="Book Antiqua"/>
          <w:i/>
          <w:lang w:val="en"/>
        </w:rPr>
        <w:t xml:space="preserve"> </w:t>
      </w:r>
      <w:r w:rsidRPr="00107628">
        <w:rPr>
          <w:rFonts w:ascii="Book Antiqua" w:hAnsi="Book Antiqua"/>
          <w:i/>
          <w:lang w:val="en"/>
        </w:rPr>
        <w:tab/>
        <w:t>the applicant must not fall for refusal under Section S-LTR: Suitability leave to remain; and</w:t>
      </w:r>
    </w:p>
    <w:p w:rsidR="00A53495" w:rsidRPr="00107628" w:rsidRDefault="00A56158" w:rsidP="00A56158">
      <w:pPr>
        <w:tabs>
          <w:tab w:val="left" w:pos="1701"/>
        </w:tabs>
        <w:spacing w:before="240"/>
        <w:ind w:left="2268" w:hanging="567"/>
        <w:jc w:val="both"/>
        <w:rPr>
          <w:rFonts w:ascii="Book Antiqua" w:hAnsi="Book Antiqua"/>
          <w:i/>
          <w:lang w:val="en"/>
        </w:rPr>
      </w:pPr>
      <w:r w:rsidRPr="00107628">
        <w:rPr>
          <w:rFonts w:ascii="Book Antiqua" w:hAnsi="Book Antiqua"/>
          <w:lang w:val="en"/>
        </w:rPr>
        <w:t>(ii)</w:t>
      </w:r>
      <w:r w:rsidRPr="00107628">
        <w:rPr>
          <w:rFonts w:ascii="Book Antiqua" w:hAnsi="Book Antiqua"/>
          <w:i/>
          <w:lang w:val="en"/>
        </w:rPr>
        <w:tab/>
      </w:r>
      <w:r w:rsidR="00A53495" w:rsidRPr="00107628">
        <w:rPr>
          <w:rFonts w:ascii="Book Antiqua" w:hAnsi="Book Antiqua"/>
          <w:i/>
          <w:lang w:val="en"/>
        </w:rPr>
        <w:t>the applicant meets the requirements of paragraphs E-LTRP.1.2-1.12. and E-LTRP.2.1; and</w:t>
      </w:r>
    </w:p>
    <w:p w:rsidR="00A53495" w:rsidRPr="00107628" w:rsidRDefault="00A56158" w:rsidP="00A56158">
      <w:pPr>
        <w:tabs>
          <w:tab w:val="left" w:pos="1701"/>
        </w:tabs>
        <w:spacing w:before="240"/>
        <w:ind w:left="2268" w:hanging="567"/>
        <w:jc w:val="both"/>
        <w:rPr>
          <w:rFonts w:ascii="Book Antiqua" w:hAnsi="Book Antiqua"/>
          <w:i/>
          <w:lang w:val="en"/>
        </w:rPr>
      </w:pPr>
      <w:r w:rsidRPr="00107628">
        <w:rPr>
          <w:rFonts w:ascii="Book Antiqua" w:hAnsi="Book Antiqua"/>
          <w:lang w:val="en"/>
        </w:rPr>
        <w:t>(iii)</w:t>
      </w:r>
      <w:r w:rsidRPr="00107628">
        <w:rPr>
          <w:rFonts w:ascii="Book Antiqua" w:hAnsi="Book Antiqua"/>
          <w:i/>
          <w:lang w:val="en"/>
        </w:rPr>
        <w:tab/>
      </w:r>
      <w:r w:rsidR="00A53495" w:rsidRPr="00107628">
        <w:rPr>
          <w:rFonts w:ascii="Book Antiqua" w:hAnsi="Book Antiqua"/>
          <w:i/>
          <w:lang w:val="en"/>
        </w:rPr>
        <w:t>paragraph EX.1. applies</w:t>
      </w:r>
      <w:r w:rsidRPr="00107628">
        <w:rPr>
          <w:rFonts w:ascii="Book Antiqua" w:hAnsi="Book Antiqua"/>
          <w:i/>
          <w:lang w:val="en"/>
        </w:rPr>
        <w:t>”</w:t>
      </w:r>
      <w:r w:rsidR="00A53495" w:rsidRPr="00107628">
        <w:rPr>
          <w:rFonts w:ascii="Book Antiqua" w:hAnsi="Book Antiqua"/>
          <w:i/>
          <w:lang w:val="en"/>
        </w:rPr>
        <w:t>.</w:t>
      </w:r>
    </w:p>
    <w:p w:rsidR="00A56158" w:rsidRDefault="00A56158" w:rsidP="001A38A5">
      <w:pPr>
        <w:numPr>
          <w:ilvl w:val="0"/>
          <w:numId w:val="3"/>
        </w:numPr>
        <w:spacing w:before="240"/>
        <w:jc w:val="both"/>
        <w:rPr>
          <w:rFonts w:ascii="Book Antiqua" w:hAnsi="Book Antiqua" w:cs="Arial"/>
        </w:rPr>
      </w:pPr>
      <w:r>
        <w:rPr>
          <w:rFonts w:ascii="Book Antiqua" w:hAnsi="Book Antiqua" w:cs="Arial"/>
        </w:rPr>
        <w:t>In this case there is no issue as to suitability.  The judge found that the Appellant could not meet all the eligibility requirements being unable to satisfy the financial requirements (E-LTRP.3.1) and the English language requirement (E-LTRP.4.1).</w:t>
      </w:r>
    </w:p>
    <w:p w:rsidR="00A56158" w:rsidRDefault="00A56158" w:rsidP="001A38A5">
      <w:pPr>
        <w:numPr>
          <w:ilvl w:val="0"/>
          <w:numId w:val="3"/>
        </w:numPr>
        <w:spacing w:before="240"/>
        <w:jc w:val="both"/>
        <w:rPr>
          <w:rFonts w:ascii="Book Antiqua" w:hAnsi="Book Antiqua" w:cs="Arial"/>
        </w:rPr>
      </w:pPr>
      <w:r>
        <w:rPr>
          <w:rFonts w:ascii="Book Antiqua" w:hAnsi="Book Antiqua" w:cs="Arial"/>
        </w:rPr>
        <w:t>However, the judge found that all the relationship requirements (E-LTRP.1.2-1.12) were satisfied.  Such included that the Appellant and the Sponsor are in a genuine and subsisting relationship that being an issue taken against the Appellant by the Respondent.  No issue is now taken against the judge’s finding on that matter and it is one which on the evidence she was entitled to reach for the reasons she gave.</w:t>
      </w:r>
    </w:p>
    <w:p w:rsidR="00A56158" w:rsidRPr="00C77EC6" w:rsidRDefault="00A56158" w:rsidP="00C77EC6">
      <w:pPr>
        <w:numPr>
          <w:ilvl w:val="0"/>
          <w:numId w:val="3"/>
        </w:numPr>
        <w:spacing w:before="240"/>
        <w:jc w:val="both"/>
        <w:rPr>
          <w:rFonts w:ascii="Book Antiqua" w:hAnsi="Book Antiqua" w:cs="Arial"/>
        </w:rPr>
      </w:pPr>
      <w:r>
        <w:rPr>
          <w:rFonts w:ascii="Book Antiqua" w:hAnsi="Book Antiqua" w:cs="Arial"/>
        </w:rPr>
        <w:t>The Appellant is not in the UK as a visitor or with leave granted for a period of six months or less (E-LTRP.2.1).</w:t>
      </w:r>
    </w:p>
    <w:p w:rsidR="00A56158" w:rsidRDefault="007E453C" w:rsidP="001A38A5">
      <w:pPr>
        <w:numPr>
          <w:ilvl w:val="0"/>
          <w:numId w:val="3"/>
        </w:numPr>
        <w:spacing w:before="240"/>
        <w:jc w:val="both"/>
        <w:rPr>
          <w:rFonts w:ascii="Book Antiqua" w:hAnsi="Book Antiqua" w:cs="Arial"/>
        </w:rPr>
      </w:pPr>
      <w:r>
        <w:rPr>
          <w:rFonts w:ascii="Book Antiqua" w:hAnsi="Book Antiqua" w:cs="Arial"/>
        </w:rPr>
        <w:t>Paragraph</w:t>
      </w:r>
      <w:r w:rsidR="00A56158">
        <w:rPr>
          <w:rFonts w:ascii="Book Antiqua" w:hAnsi="Book Antiqua" w:cs="Arial"/>
        </w:rPr>
        <w:t xml:space="preserve"> EX.1 states that the paragraph applies if:</w:t>
      </w:r>
    </w:p>
    <w:p w:rsidR="00A56158" w:rsidRPr="00A56158" w:rsidRDefault="00A56158" w:rsidP="00A56158">
      <w:pPr>
        <w:spacing w:before="240"/>
        <w:ind w:left="1701" w:hanging="567"/>
        <w:jc w:val="both"/>
        <w:rPr>
          <w:rFonts w:ascii="Book Antiqua" w:hAnsi="Book Antiqua" w:cs="Arial"/>
        </w:rPr>
      </w:pPr>
      <w:r>
        <w:rPr>
          <w:rFonts w:ascii="Book Antiqua" w:hAnsi="Book Antiqua"/>
          <w:lang w:val="en"/>
        </w:rPr>
        <w:t>“</w:t>
      </w:r>
      <w:r w:rsidRPr="00A56158">
        <w:rPr>
          <w:rFonts w:ascii="Book Antiqua" w:hAnsi="Book Antiqua"/>
          <w:lang w:val="en"/>
        </w:rPr>
        <w:t xml:space="preserve">(b) </w:t>
      </w:r>
      <w:r>
        <w:rPr>
          <w:rFonts w:ascii="Book Antiqua" w:hAnsi="Book Antiqua"/>
          <w:lang w:val="en"/>
        </w:rPr>
        <w:tab/>
      </w:r>
      <w:r w:rsidRPr="003053A5">
        <w:rPr>
          <w:rFonts w:ascii="Book Antiqua" w:hAnsi="Book Antiqua"/>
          <w:i/>
          <w:lang w:val="en"/>
        </w:rPr>
        <w:t>the applicant has a genuine and subsisting relationship with a partner who is in the UK and is a British Citizen … and there are insurmountable obstacles to family life with that partner continuing outside the UK</w:t>
      </w:r>
      <w:r w:rsidR="003053A5">
        <w:rPr>
          <w:rFonts w:ascii="Book Antiqua" w:hAnsi="Book Antiqua"/>
          <w:lang w:val="en"/>
        </w:rPr>
        <w:t>.</w:t>
      </w:r>
      <w:r>
        <w:rPr>
          <w:rFonts w:ascii="Book Antiqua" w:hAnsi="Book Antiqua"/>
          <w:lang w:val="en"/>
        </w:rPr>
        <w:t>”</w:t>
      </w:r>
    </w:p>
    <w:p w:rsidR="00A56158" w:rsidRDefault="00BB08B6" w:rsidP="001A38A5">
      <w:pPr>
        <w:numPr>
          <w:ilvl w:val="0"/>
          <w:numId w:val="3"/>
        </w:numPr>
        <w:spacing w:before="240"/>
        <w:jc w:val="both"/>
        <w:rPr>
          <w:rFonts w:ascii="Book Antiqua" w:hAnsi="Book Antiqua" w:cs="Arial"/>
        </w:rPr>
      </w:pPr>
      <w:r>
        <w:rPr>
          <w:rFonts w:ascii="Book Antiqua" w:hAnsi="Book Antiqua" w:cs="Arial"/>
        </w:rPr>
        <w:t>The judge’s finding</w:t>
      </w:r>
      <w:r w:rsidR="00A56158">
        <w:rPr>
          <w:rFonts w:ascii="Book Antiqua" w:hAnsi="Book Antiqua" w:cs="Arial"/>
        </w:rPr>
        <w:t xml:space="preserve"> that paragraph EX.1 applies is not challenged and is unassailable for the reasons she gave.</w:t>
      </w:r>
    </w:p>
    <w:p w:rsidR="00A56158" w:rsidRPr="003F375D" w:rsidRDefault="00A56158" w:rsidP="003F375D">
      <w:pPr>
        <w:numPr>
          <w:ilvl w:val="0"/>
          <w:numId w:val="3"/>
        </w:numPr>
        <w:spacing w:before="240"/>
        <w:jc w:val="both"/>
        <w:rPr>
          <w:rFonts w:ascii="Book Antiqua" w:hAnsi="Book Antiqua" w:cs="Arial"/>
        </w:rPr>
      </w:pPr>
      <w:r>
        <w:rPr>
          <w:rFonts w:ascii="Book Antiqua" w:hAnsi="Book Antiqua" w:cs="Arial"/>
        </w:rPr>
        <w:lastRenderedPageBreak/>
        <w:t>The result is, the Rules having been met, the public interest is discharged.  The judge should have stopped there and allowed the appeal on human rights grounds.  In not doing so she erred</w:t>
      </w:r>
      <w:r w:rsidR="003F375D">
        <w:rPr>
          <w:rFonts w:ascii="Book Antiqua" w:hAnsi="Book Antiqua" w:cs="Arial"/>
        </w:rPr>
        <w:t>.</w:t>
      </w:r>
    </w:p>
    <w:p w:rsidR="00A56158" w:rsidRDefault="00A56158" w:rsidP="001A38A5">
      <w:pPr>
        <w:numPr>
          <w:ilvl w:val="0"/>
          <w:numId w:val="3"/>
        </w:numPr>
        <w:spacing w:before="240"/>
        <w:jc w:val="both"/>
        <w:rPr>
          <w:rFonts w:ascii="Book Antiqua" w:hAnsi="Book Antiqua" w:cs="Arial"/>
        </w:rPr>
      </w:pPr>
      <w:r>
        <w:rPr>
          <w:rFonts w:ascii="Book Antiqua" w:hAnsi="Book Antiqua" w:cs="Arial"/>
        </w:rPr>
        <w:t>I did not agree with Ms Willocks-Briscoe’s tentative suggestion that the decision was undermined by contradictory findings.  The judge’s findings in the first part of her decision were clear.  The rest were redundant.  They did not damage the findings initially made</w:t>
      </w:r>
      <w:r w:rsidR="004132EB">
        <w:rPr>
          <w:rFonts w:ascii="Book Antiqua" w:hAnsi="Book Antiqua" w:cs="Arial"/>
        </w:rPr>
        <w:t xml:space="preserve">. </w:t>
      </w:r>
      <w:r w:rsidR="00FC13E4">
        <w:rPr>
          <w:rFonts w:ascii="Book Antiqua" w:hAnsi="Book Antiqua" w:cs="Arial"/>
        </w:rPr>
        <w:t xml:space="preserve"> </w:t>
      </w:r>
      <w:r w:rsidR="004132EB">
        <w:rPr>
          <w:rFonts w:ascii="Book Antiqua" w:hAnsi="Book Antiqua" w:cs="Arial"/>
        </w:rPr>
        <w:t>She erred in concluding that the Appellant</w:t>
      </w:r>
      <w:r w:rsidR="00FC13E4">
        <w:rPr>
          <w:rFonts w:ascii="Book Antiqua" w:hAnsi="Book Antiqua" w:cs="Arial"/>
        </w:rPr>
        <w:t xml:space="preserve"> should return and seek entry clearance</w:t>
      </w:r>
      <w:r>
        <w:rPr>
          <w:rFonts w:ascii="Book Antiqua" w:hAnsi="Book Antiqua" w:cs="Arial"/>
        </w:rPr>
        <w:t xml:space="preserve"> </w:t>
      </w:r>
      <w:r w:rsidR="00FC13E4">
        <w:rPr>
          <w:rFonts w:ascii="Book Antiqua" w:hAnsi="Book Antiqua" w:cs="Arial"/>
        </w:rPr>
        <w:t>to show compliance with Appendix FM-SE</w:t>
      </w:r>
      <w:r w:rsidR="00FF5794">
        <w:rPr>
          <w:rFonts w:ascii="Book Antiqua" w:hAnsi="Book Antiqua" w:cs="Arial"/>
        </w:rPr>
        <w:t>.</w:t>
      </w:r>
      <w:r w:rsidR="004132EB">
        <w:rPr>
          <w:rFonts w:ascii="Book Antiqua" w:hAnsi="Book Antiqua" w:cs="Arial"/>
        </w:rPr>
        <w:t xml:space="preserve"> Having found that the Appellant satisfies paragraph EX.1 there is no sensible reason why such is required. It is superfluous.</w:t>
      </w:r>
    </w:p>
    <w:p w:rsidR="004132EB" w:rsidRDefault="001A5E4D" w:rsidP="001A5E4D">
      <w:pPr>
        <w:numPr>
          <w:ilvl w:val="0"/>
          <w:numId w:val="3"/>
        </w:numPr>
        <w:spacing w:before="240"/>
        <w:jc w:val="both"/>
        <w:rPr>
          <w:rFonts w:ascii="Book Antiqua" w:hAnsi="Book Antiqua" w:cs="Arial"/>
        </w:rPr>
      </w:pPr>
      <w:r>
        <w:rPr>
          <w:rFonts w:ascii="Book Antiqua" w:hAnsi="Book Antiqua" w:cs="Arial"/>
        </w:rPr>
        <w:t xml:space="preserve">I set aside the decision to be remade. It was indicated that no further evidence was to be led. For the reasons stated the appeal is allowed. </w:t>
      </w:r>
    </w:p>
    <w:p w:rsidR="001A5E4D" w:rsidRDefault="002A2CB8" w:rsidP="001A5E4D">
      <w:pPr>
        <w:numPr>
          <w:ilvl w:val="0"/>
          <w:numId w:val="3"/>
        </w:numPr>
        <w:spacing w:before="240"/>
        <w:jc w:val="both"/>
        <w:rPr>
          <w:rFonts w:ascii="Book Antiqua" w:hAnsi="Book Antiqua" w:cs="Arial"/>
        </w:rPr>
      </w:pPr>
      <w:r w:rsidRPr="001A5E4D">
        <w:rPr>
          <w:rFonts w:ascii="Book Antiqua" w:hAnsi="Book Antiqua" w:cs="Arial"/>
        </w:rPr>
        <w:t>I would add</w:t>
      </w:r>
      <w:r w:rsidR="00C876D8" w:rsidRPr="001A5E4D">
        <w:rPr>
          <w:rFonts w:ascii="Book Antiqua" w:hAnsi="Book Antiqua" w:cs="Arial"/>
        </w:rPr>
        <w:t xml:space="preserve"> that, in any event, the judge having made the unchallenged finding that the Appellant “</w:t>
      </w:r>
      <w:r w:rsidR="00C876D8" w:rsidRPr="001A5E4D">
        <w:rPr>
          <w:rFonts w:ascii="Book Antiqua" w:hAnsi="Book Antiqua" w:cs="Arial"/>
          <w:i/>
        </w:rPr>
        <w:t>has proved her presence in the UK since June 1998</w:t>
      </w:r>
      <w:r w:rsidR="00C876D8" w:rsidRPr="001A5E4D">
        <w:rPr>
          <w:rFonts w:ascii="Book Antiqua" w:hAnsi="Book Antiqua" w:cs="Arial"/>
        </w:rPr>
        <w:t>” also</w:t>
      </w:r>
      <w:r w:rsidR="00A61968">
        <w:rPr>
          <w:rFonts w:ascii="Book Antiqua" w:hAnsi="Book Antiqua" w:cs="Arial"/>
        </w:rPr>
        <w:t xml:space="preserve"> now</w:t>
      </w:r>
      <w:r w:rsidR="00C876D8" w:rsidRPr="001A5E4D">
        <w:rPr>
          <w:rFonts w:ascii="Book Antiqua" w:hAnsi="Book Antiqua" w:cs="Arial"/>
        </w:rPr>
        <w:t xml:space="preserve"> satisfies paragraph 276 ADE</w:t>
      </w:r>
      <w:r w:rsidR="008017C6" w:rsidRPr="001A5E4D">
        <w:rPr>
          <w:rFonts w:ascii="Book Antiqua" w:hAnsi="Book Antiqua" w:cs="Arial"/>
        </w:rPr>
        <w:t xml:space="preserve"> (1) (iii) having lived continuously in the UK for over 20 years</w:t>
      </w:r>
      <w:r w:rsidR="004132EB">
        <w:rPr>
          <w:rFonts w:ascii="Book Antiqua" w:hAnsi="Book Antiqua" w:cs="Arial"/>
        </w:rPr>
        <w:t xml:space="preserve"> should such further application be necessary</w:t>
      </w:r>
      <w:r w:rsidR="008017C6" w:rsidRPr="001A5E4D">
        <w:rPr>
          <w:rFonts w:ascii="Book Antiqua" w:hAnsi="Book Antiqua" w:cs="Arial"/>
        </w:rPr>
        <w:t>.</w:t>
      </w:r>
    </w:p>
    <w:p w:rsidR="00073E80" w:rsidRPr="00073E80" w:rsidRDefault="00073E80" w:rsidP="001A38A5">
      <w:pPr>
        <w:spacing w:before="240"/>
        <w:jc w:val="both"/>
        <w:rPr>
          <w:rFonts w:ascii="Book Antiqua" w:hAnsi="Book Antiqua" w:cs="Arial"/>
          <w:b/>
          <w:u w:val="single"/>
        </w:rPr>
      </w:pPr>
      <w:bookmarkStart w:id="1" w:name="_GoBack"/>
      <w:r w:rsidRPr="00073E80">
        <w:rPr>
          <w:rFonts w:ascii="Book Antiqua" w:hAnsi="Book Antiqua" w:cs="Arial"/>
          <w:b/>
          <w:u w:val="single"/>
        </w:rPr>
        <w:t>Notice of Decision</w:t>
      </w:r>
    </w:p>
    <w:p w:rsidR="00073E80" w:rsidRPr="00073E80" w:rsidRDefault="00073E80" w:rsidP="00073E80">
      <w:pPr>
        <w:jc w:val="both"/>
        <w:rPr>
          <w:rFonts w:ascii="Book Antiqua" w:hAnsi="Book Antiqua" w:cs="Arial"/>
        </w:rPr>
      </w:pPr>
    </w:p>
    <w:p w:rsidR="00BF5684" w:rsidRDefault="00073E80" w:rsidP="00073E80">
      <w:pPr>
        <w:jc w:val="both"/>
        <w:rPr>
          <w:rFonts w:ascii="Book Antiqua" w:hAnsi="Book Antiqua" w:cs="Arial"/>
        </w:rPr>
      </w:pPr>
      <w:r w:rsidRPr="00073E80">
        <w:rPr>
          <w:rFonts w:ascii="Book Antiqua" w:hAnsi="Book Antiqua" w:cs="Arial"/>
        </w:rPr>
        <w:t xml:space="preserve">The </w:t>
      </w:r>
      <w:r w:rsidR="00A56158">
        <w:rPr>
          <w:rFonts w:ascii="Book Antiqua" w:hAnsi="Book Antiqua" w:cs="Arial"/>
        </w:rPr>
        <w:t>decision of the First-tier Tribunal sh</w:t>
      </w:r>
      <w:r w:rsidR="00BF5684">
        <w:rPr>
          <w:rFonts w:ascii="Book Antiqua" w:hAnsi="Book Antiqua" w:cs="Arial"/>
        </w:rPr>
        <w:t>owed error of law.  It is set aside and re-made as follows:</w:t>
      </w:r>
    </w:p>
    <w:p w:rsidR="00BF5684" w:rsidRDefault="00BF5684" w:rsidP="00073E80">
      <w:pPr>
        <w:jc w:val="both"/>
        <w:rPr>
          <w:rFonts w:ascii="Book Antiqua" w:hAnsi="Book Antiqua" w:cs="Arial"/>
        </w:rPr>
      </w:pPr>
    </w:p>
    <w:p w:rsidR="00073E80" w:rsidRPr="00073E80" w:rsidRDefault="00BF5684" w:rsidP="00073E80">
      <w:pPr>
        <w:jc w:val="both"/>
        <w:rPr>
          <w:rFonts w:ascii="Book Antiqua" w:hAnsi="Book Antiqua" w:cs="Arial"/>
        </w:rPr>
      </w:pPr>
      <w:r>
        <w:rPr>
          <w:rFonts w:ascii="Book Antiqua" w:hAnsi="Book Antiqua" w:cs="Arial"/>
        </w:rPr>
        <w:t>The appeal is</w:t>
      </w:r>
      <w:r w:rsidR="000F3CD0">
        <w:rPr>
          <w:rFonts w:ascii="Book Antiqua" w:hAnsi="Book Antiqua" w:cs="Arial"/>
        </w:rPr>
        <w:t xml:space="preserve"> allowed</w:t>
      </w:r>
      <w:r>
        <w:rPr>
          <w:rFonts w:ascii="Book Antiqua" w:hAnsi="Book Antiqua" w:cs="Arial"/>
        </w:rPr>
        <w:t xml:space="preserve">.  </w:t>
      </w:r>
    </w:p>
    <w:p w:rsidR="00073E80" w:rsidRPr="00073E80" w:rsidRDefault="00073E80" w:rsidP="00073E80">
      <w:pPr>
        <w:jc w:val="both"/>
        <w:rPr>
          <w:rFonts w:ascii="Book Antiqua" w:hAnsi="Book Antiqua" w:cs="Arial"/>
        </w:rPr>
      </w:pPr>
    </w:p>
    <w:p w:rsidR="00073E80" w:rsidRPr="00073E80" w:rsidRDefault="00073E80" w:rsidP="00073E80">
      <w:pPr>
        <w:jc w:val="both"/>
        <w:rPr>
          <w:rFonts w:ascii="Book Antiqua" w:hAnsi="Book Antiqua" w:cs="Arial"/>
        </w:rPr>
      </w:pPr>
      <w:r w:rsidRPr="00073E80">
        <w:rPr>
          <w:rFonts w:ascii="Book Antiqua" w:hAnsi="Book Antiqua" w:cs="Arial"/>
        </w:rPr>
        <w:t xml:space="preserve">No anonymity </w:t>
      </w:r>
      <w:r w:rsidR="00424144">
        <w:rPr>
          <w:rFonts w:ascii="Book Antiqua" w:hAnsi="Book Antiqua" w:cs="Arial"/>
        </w:rPr>
        <w:t xml:space="preserve">order </w:t>
      </w:r>
      <w:r w:rsidRPr="00073E80">
        <w:rPr>
          <w:rFonts w:ascii="Book Antiqua" w:hAnsi="Book Antiqua" w:cs="Arial"/>
        </w:rPr>
        <w:t>made.</w:t>
      </w:r>
    </w:p>
    <w:bookmarkEnd w:id="1"/>
    <w:p w:rsidR="00073E80" w:rsidRPr="00073E80" w:rsidRDefault="00073E80" w:rsidP="00073E80">
      <w:pPr>
        <w:jc w:val="both"/>
        <w:rPr>
          <w:rFonts w:ascii="Book Antiqua" w:hAnsi="Book Antiqua" w:cs="Arial"/>
        </w:rPr>
      </w:pPr>
    </w:p>
    <w:p w:rsidR="00073E80" w:rsidRPr="00C01D77" w:rsidRDefault="00073E80" w:rsidP="000369F5">
      <w:pPr>
        <w:tabs>
          <w:tab w:val="left" w:pos="2520"/>
        </w:tabs>
        <w:jc w:val="both"/>
        <w:rPr>
          <w:rFonts w:ascii="Book Antiqua" w:hAnsi="Book Antiqua" w:cs="Arial"/>
        </w:rPr>
      </w:pPr>
    </w:p>
    <w:p w:rsidR="001F2716" w:rsidRPr="00C01D77" w:rsidRDefault="006E3C90" w:rsidP="000369F5">
      <w:pPr>
        <w:tabs>
          <w:tab w:val="left" w:pos="2520"/>
        </w:tabs>
        <w:jc w:val="both"/>
        <w:rPr>
          <w:rFonts w:ascii="Book Antiqua" w:hAnsi="Book Antiqua" w:cs="Arial"/>
        </w:rPr>
      </w:pPr>
      <w:r w:rsidRPr="00C01D77">
        <w:rPr>
          <w:rFonts w:ascii="Book Antiqua" w:hAnsi="Book Antiqua" w:cs="Arial"/>
        </w:rPr>
        <w:t>Signed</w:t>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001F2716" w:rsidRPr="00C01D77">
        <w:rPr>
          <w:rFonts w:ascii="Book Antiqua" w:hAnsi="Book Antiqua" w:cs="Arial"/>
        </w:rPr>
        <w:t>Date</w:t>
      </w:r>
    </w:p>
    <w:p w:rsidR="001F2716" w:rsidRPr="00C01D77" w:rsidRDefault="001F2716" w:rsidP="000369F5">
      <w:pPr>
        <w:tabs>
          <w:tab w:val="left" w:pos="2520"/>
        </w:tabs>
        <w:jc w:val="both"/>
        <w:rPr>
          <w:rFonts w:ascii="Book Antiqua" w:hAnsi="Book Antiqua" w:cs="Arial"/>
        </w:rPr>
      </w:pPr>
    </w:p>
    <w:p w:rsidR="005B7789" w:rsidRPr="00C01D77" w:rsidRDefault="00C61C08" w:rsidP="00373F45">
      <w:pPr>
        <w:tabs>
          <w:tab w:val="left" w:pos="2520"/>
        </w:tabs>
        <w:jc w:val="both"/>
        <w:rPr>
          <w:rFonts w:ascii="Book Antiqua" w:hAnsi="Book Antiqua" w:cs="Arial"/>
        </w:rPr>
      </w:pPr>
      <w:r>
        <w:rPr>
          <w:rFonts w:ascii="Book Antiqua" w:hAnsi="Book Antiqua" w:cs="Arial"/>
        </w:rPr>
        <w:t>Upper Tribunal</w:t>
      </w:r>
      <w:r w:rsidR="00AC5CF6" w:rsidRPr="00C01D77">
        <w:rPr>
          <w:rFonts w:ascii="Book Antiqua" w:hAnsi="Book Antiqua" w:cs="Arial"/>
        </w:rPr>
        <w:t xml:space="preserve"> Judge</w:t>
      </w:r>
      <w:r w:rsidR="00825478" w:rsidRPr="00C01D77">
        <w:rPr>
          <w:rFonts w:ascii="Book Antiqua" w:hAnsi="Book Antiqua" w:cs="Arial"/>
        </w:rPr>
        <w:t xml:space="preserve"> </w:t>
      </w:r>
      <w:r w:rsidR="00773329">
        <w:rPr>
          <w:rFonts w:ascii="Book Antiqua" w:hAnsi="Book Antiqua" w:cs="Arial"/>
        </w:rPr>
        <w:t>Conway</w:t>
      </w:r>
      <w:r w:rsidR="006B6451" w:rsidRPr="00C01D77">
        <w:rPr>
          <w:rFonts w:ascii="Book Antiqua" w:hAnsi="Book Antiqua" w:cs="Arial"/>
        </w:rPr>
        <w:t xml:space="preserve"> </w:t>
      </w:r>
    </w:p>
    <w:sectPr w:rsidR="005B7789" w:rsidRPr="00C01D77"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65F" w:rsidRDefault="0060365F">
      <w:r>
        <w:separator/>
      </w:r>
    </w:p>
  </w:endnote>
  <w:endnote w:type="continuationSeparator" w:id="0">
    <w:p w:rsidR="0060365F" w:rsidRDefault="0060365F">
      <w:r>
        <w:continuationSeparator/>
      </w:r>
    </w:p>
  </w:endnote>
  <w:endnote w:type="continuationNotice" w:id="1">
    <w:p w:rsidR="0060365F" w:rsidRDefault="006036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6C5" w:rsidRPr="00C01D77" w:rsidRDefault="000306C5" w:rsidP="00593795">
    <w:pPr>
      <w:pStyle w:val="Footer"/>
      <w:jc w:val="center"/>
      <w:rPr>
        <w:rFonts w:ascii="Book Antiqua" w:hAnsi="Book Antiqua" w:cs="Arial"/>
        <w:sz w:val="16"/>
        <w:szCs w:val="16"/>
      </w:rPr>
    </w:pPr>
    <w:r w:rsidRPr="00C01D77">
      <w:rPr>
        <w:rStyle w:val="PageNumber"/>
        <w:rFonts w:ascii="Book Antiqua" w:hAnsi="Book Antiqua" w:cs="Arial"/>
        <w:sz w:val="16"/>
        <w:szCs w:val="16"/>
      </w:rPr>
      <w:fldChar w:fldCharType="begin"/>
    </w:r>
    <w:r w:rsidRPr="00C01D77">
      <w:rPr>
        <w:rStyle w:val="PageNumber"/>
        <w:rFonts w:ascii="Book Antiqua" w:hAnsi="Book Antiqua" w:cs="Arial"/>
        <w:sz w:val="16"/>
        <w:szCs w:val="16"/>
      </w:rPr>
      <w:instrText xml:space="preserve"> PAGE </w:instrText>
    </w:r>
    <w:r w:rsidRPr="00C01D77">
      <w:rPr>
        <w:rStyle w:val="PageNumber"/>
        <w:rFonts w:ascii="Book Antiqua" w:hAnsi="Book Antiqua" w:cs="Arial"/>
        <w:sz w:val="16"/>
        <w:szCs w:val="16"/>
      </w:rPr>
      <w:fldChar w:fldCharType="separate"/>
    </w:r>
    <w:r w:rsidR="00B97C94">
      <w:rPr>
        <w:rStyle w:val="PageNumber"/>
        <w:rFonts w:ascii="Book Antiqua" w:hAnsi="Book Antiqua" w:cs="Arial"/>
        <w:noProof/>
        <w:sz w:val="16"/>
        <w:szCs w:val="16"/>
      </w:rPr>
      <w:t>4</w:t>
    </w:r>
    <w:r w:rsidRPr="00C01D77">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6C5" w:rsidRPr="00C01D77" w:rsidRDefault="000306C5" w:rsidP="00E51376">
    <w:pPr>
      <w:jc w:val="center"/>
      <w:rPr>
        <w:rFonts w:ascii="Book Antiqua" w:hAnsi="Book Antiqua" w:cs="Arial"/>
        <w:b/>
      </w:rPr>
    </w:pPr>
    <w:r w:rsidRPr="00C01D77">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65F" w:rsidRDefault="0060365F">
      <w:r>
        <w:separator/>
      </w:r>
    </w:p>
  </w:footnote>
  <w:footnote w:type="continuationSeparator" w:id="0">
    <w:p w:rsidR="0060365F" w:rsidRDefault="0060365F">
      <w:r>
        <w:continuationSeparator/>
      </w:r>
    </w:p>
  </w:footnote>
  <w:footnote w:type="continuationNotice" w:id="1">
    <w:p w:rsidR="0060365F" w:rsidRDefault="006036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6C5" w:rsidRPr="00C01D77" w:rsidRDefault="000306C5" w:rsidP="000369F5">
    <w:pPr>
      <w:pStyle w:val="Header"/>
      <w:tabs>
        <w:tab w:val="clear" w:pos="4153"/>
        <w:tab w:val="clear" w:pos="8306"/>
        <w:tab w:val="right" w:pos="9639"/>
      </w:tabs>
      <w:jc w:val="right"/>
      <w:rPr>
        <w:rFonts w:ascii="Book Antiqua" w:hAnsi="Book Antiqua" w:cs="Arial"/>
        <w:sz w:val="16"/>
        <w:szCs w:val="16"/>
      </w:rPr>
    </w:pPr>
    <w:r w:rsidRPr="00C01D77">
      <w:rPr>
        <w:rFonts w:ascii="Book Antiqua" w:hAnsi="Book Antiqua" w:cs="Arial"/>
        <w:sz w:val="16"/>
        <w:szCs w:val="16"/>
      </w:rPr>
      <w:t>Appeal Number:</w:t>
    </w:r>
    <w:r>
      <w:rPr>
        <w:rFonts w:ascii="Book Antiqua" w:hAnsi="Book Antiqua" w:cs="Arial"/>
        <w:sz w:val="16"/>
        <w:szCs w:val="16"/>
      </w:rPr>
      <w:t xml:space="preserve"> IA/19360/2015</w:t>
    </w:r>
    <w:r w:rsidRPr="00C01D77">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6C5" w:rsidRPr="00C01D77" w:rsidRDefault="000306C5">
    <w:pPr>
      <w:pStyle w:val="Header"/>
      <w:rPr>
        <w:rFonts w:ascii="Book Antiqua" w:hAnsi="Book Antiqua"/>
      </w:rPr>
    </w:pPr>
    <w:r w:rsidRPr="00C01D77">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E8B28EC"/>
    <w:multiLevelType w:val="multilevel"/>
    <w:tmpl w:val="226010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60EB8"/>
    <w:multiLevelType w:val="multilevel"/>
    <w:tmpl w:val="C5528F9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85597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2444BB"/>
    <w:multiLevelType w:val="multilevel"/>
    <w:tmpl w:val="B5309F6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20"/>
  </w:num>
  <w:num w:numId="6">
    <w:abstractNumId w:val="12"/>
  </w:num>
  <w:num w:numId="7">
    <w:abstractNumId w:val="19"/>
  </w:num>
  <w:num w:numId="8">
    <w:abstractNumId w:val="9"/>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10"/>
  </w:num>
  <w:num w:numId="19">
    <w:abstractNumId w:val="8"/>
  </w:num>
  <w:num w:numId="20">
    <w:abstractNumId w:val="1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8F9"/>
    <w:rsid w:val="00000621"/>
    <w:rsid w:val="000036C2"/>
    <w:rsid w:val="00021BDB"/>
    <w:rsid w:val="000306C5"/>
    <w:rsid w:val="00033D3D"/>
    <w:rsid w:val="00036669"/>
    <w:rsid w:val="000369F5"/>
    <w:rsid w:val="00071A7E"/>
    <w:rsid w:val="00073E80"/>
    <w:rsid w:val="000746C0"/>
    <w:rsid w:val="00074D1D"/>
    <w:rsid w:val="00092580"/>
    <w:rsid w:val="000B4B02"/>
    <w:rsid w:val="000C7BD4"/>
    <w:rsid w:val="000D0B24"/>
    <w:rsid w:val="000D5D94"/>
    <w:rsid w:val="000F3CD0"/>
    <w:rsid w:val="00107628"/>
    <w:rsid w:val="001165A7"/>
    <w:rsid w:val="00122BC1"/>
    <w:rsid w:val="00133035"/>
    <w:rsid w:val="00151BB7"/>
    <w:rsid w:val="001530B0"/>
    <w:rsid w:val="00162933"/>
    <w:rsid w:val="00167D3A"/>
    <w:rsid w:val="001A38A5"/>
    <w:rsid w:val="001A5E4D"/>
    <w:rsid w:val="001C6051"/>
    <w:rsid w:val="001E3ADC"/>
    <w:rsid w:val="001F2716"/>
    <w:rsid w:val="0020133A"/>
    <w:rsid w:val="00203930"/>
    <w:rsid w:val="00207229"/>
    <w:rsid w:val="00207617"/>
    <w:rsid w:val="00211CF1"/>
    <w:rsid w:val="00215199"/>
    <w:rsid w:val="0022259A"/>
    <w:rsid w:val="002548F9"/>
    <w:rsid w:val="00261413"/>
    <w:rsid w:val="00283659"/>
    <w:rsid w:val="002A2CB8"/>
    <w:rsid w:val="002B7E5C"/>
    <w:rsid w:val="002C4E73"/>
    <w:rsid w:val="002D68BF"/>
    <w:rsid w:val="002E1965"/>
    <w:rsid w:val="003053A5"/>
    <w:rsid w:val="00335CD9"/>
    <w:rsid w:val="00336CBF"/>
    <w:rsid w:val="003546C8"/>
    <w:rsid w:val="003648C0"/>
    <w:rsid w:val="00373F45"/>
    <w:rsid w:val="003A3AD4"/>
    <w:rsid w:val="003A7CF2"/>
    <w:rsid w:val="003C5CE5"/>
    <w:rsid w:val="003C6BC8"/>
    <w:rsid w:val="003D468C"/>
    <w:rsid w:val="003E267B"/>
    <w:rsid w:val="003E7CD1"/>
    <w:rsid w:val="003F3447"/>
    <w:rsid w:val="003F375D"/>
    <w:rsid w:val="00402B9E"/>
    <w:rsid w:val="004067C4"/>
    <w:rsid w:val="004132EB"/>
    <w:rsid w:val="00423932"/>
    <w:rsid w:val="00424144"/>
    <w:rsid w:val="004249CB"/>
    <w:rsid w:val="0044127D"/>
    <w:rsid w:val="004448DB"/>
    <w:rsid w:val="00445E92"/>
    <w:rsid w:val="00446C9A"/>
    <w:rsid w:val="0047262D"/>
    <w:rsid w:val="00477193"/>
    <w:rsid w:val="00490194"/>
    <w:rsid w:val="004A1848"/>
    <w:rsid w:val="004A2B99"/>
    <w:rsid w:val="004B0FEC"/>
    <w:rsid w:val="00507FEC"/>
    <w:rsid w:val="00510F0E"/>
    <w:rsid w:val="005479E1"/>
    <w:rsid w:val="00551122"/>
    <w:rsid w:val="005570FD"/>
    <w:rsid w:val="005575EA"/>
    <w:rsid w:val="00573039"/>
    <w:rsid w:val="0057790C"/>
    <w:rsid w:val="00593795"/>
    <w:rsid w:val="005A75FF"/>
    <w:rsid w:val="005B7789"/>
    <w:rsid w:val="005D6B48"/>
    <w:rsid w:val="0060365F"/>
    <w:rsid w:val="0065791C"/>
    <w:rsid w:val="006623AF"/>
    <w:rsid w:val="00690B8A"/>
    <w:rsid w:val="006B6451"/>
    <w:rsid w:val="006D1DFA"/>
    <w:rsid w:val="006D506B"/>
    <w:rsid w:val="006D5EEF"/>
    <w:rsid w:val="006E3C90"/>
    <w:rsid w:val="006F06C3"/>
    <w:rsid w:val="00704B61"/>
    <w:rsid w:val="0072401A"/>
    <w:rsid w:val="007419A9"/>
    <w:rsid w:val="007421B9"/>
    <w:rsid w:val="00742A8D"/>
    <w:rsid w:val="0074504A"/>
    <w:rsid w:val="007552A9"/>
    <w:rsid w:val="00761858"/>
    <w:rsid w:val="00767D59"/>
    <w:rsid w:val="00773329"/>
    <w:rsid w:val="00776E97"/>
    <w:rsid w:val="00780FD7"/>
    <w:rsid w:val="007912AD"/>
    <w:rsid w:val="007B0824"/>
    <w:rsid w:val="007B6BD8"/>
    <w:rsid w:val="007C3FB3"/>
    <w:rsid w:val="007E453C"/>
    <w:rsid w:val="008017C6"/>
    <w:rsid w:val="00825478"/>
    <w:rsid w:val="008303B8"/>
    <w:rsid w:val="00833DCE"/>
    <w:rsid w:val="00844791"/>
    <w:rsid w:val="00871D34"/>
    <w:rsid w:val="008B270C"/>
    <w:rsid w:val="008C3D3D"/>
    <w:rsid w:val="008C3F45"/>
    <w:rsid w:val="008D4131"/>
    <w:rsid w:val="008E65F6"/>
    <w:rsid w:val="008F1932"/>
    <w:rsid w:val="008F294D"/>
    <w:rsid w:val="00921062"/>
    <w:rsid w:val="00966ECF"/>
    <w:rsid w:val="009727A3"/>
    <w:rsid w:val="00973661"/>
    <w:rsid w:val="00987774"/>
    <w:rsid w:val="009A11E8"/>
    <w:rsid w:val="009E57CE"/>
    <w:rsid w:val="009E5AEE"/>
    <w:rsid w:val="009F5220"/>
    <w:rsid w:val="009F7C4D"/>
    <w:rsid w:val="00A15234"/>
    <w:rsid w:val="00A201AB"/>
    <w:rsid w:val="00A31C8B"/>
    <w:rsid w:val="00A53495"/>
    <w:rsid w:val="00A56158"/>
    <w:rsid w:val="00A61968"/>
    <w:rsid w:val="00A62E4B"/>
    <w:rsid w:val="00A7180F"/>
    <w:rsid w:val="00A845DC"/>
    <w:rsid w:val="00A97AEE"/>
    <w:rsid w:val="00AC5CF6"/>
    <w:rsid w:val="00AD733D"/>
    <w:rsid w:val="00AE7547"/>
    <w:rsid w:val="00B02D2F"/>
    <w:rsid w:val="00B07DB1"/>
    <w:rsid w:val="00B144FA"/>
    <w:rsid w:val="00B30648"/>
    <w:rsid w:val="00B3524D"/>
    <w:rsid w:val="00B40F69"/>
    <w:rsid w:val="00B46616"/>
    <w:rsid w:val="00B61205"/>
    <w:rsid w:val="00B617C4"/>
    <w:rsid w:val="00B626FA"/>
    <w:rsid w:val="00B7040A"/>
    <w:rsid w:val="00B86C3D"/>
    <w:rsid w:val="00B97C94"/>
    <w:rsid w:val="00BB08B6"/>
    <w:rsid w:val="00BD4196"/>
    <w:rsid w:val="00BF22CA"/>
    <w:rsid w:val="00BF5684"/>
    <w:rsid w:val="00BF7D05"/>
    <w:rsid w:val="00C01D77"/>
    <w:rsid w:val="00C26032"/>
    <w:rsid w:val="00C265B0"/>
    <w:rsid w:val="00C321D1"/>
    <w:rsid w:val="00C345E1"/>
    <w:rsid w:val="00C467AB"/>
    <w:rsid w:val="00C61C08"/>
    <w:rsid w:val="00C77EC6"/>
    <w:rsid w:val="00C876D8"/>
    <w:rsid w:val="00C93F56"/>
    <w:rsid w:val="00CB6E35"/>
    <w:rsid w:val="00CE1A46"/>
    <w:rsid w:val="00CF253F"/>
    <w:rsid w:val="00CF56B4"/>
    <w:rsid w:val="00D20F09"/>
    <w:rsid w:val="00D22636"/>
    <w:rsid w:val="00D40FD9"/>
    <w:rsid w:val="00D53769"/>
    <w:rsid w:val="00D74AFC"/>
    <w:rsid w:val="00D85C13"/>
    <w:rsid w:val="00D91BE3"/>
    <w:rsid w:val="00D94AFC"/>
    <w:rsid w:val="00DB70AE"/>
    <w:rsid w:val="00DB7231"/>
    <w:rsid w:val="00DD5071"/>
    <w:rsid w:val="00DD5C39"/>
    <w:rsid w:val="00DE26AF"/>
    <w:rsid w:val="00DE7DB7"/>
    <w:rsid w:val="00E00A0A"/>
    <w:rsid w:val="00E07F57"/>
    <w:rsid w:val="00E50BCE"/>
    <w:rsid w:val="00E51376"/>
    <w:rsid w:val="00E61292"/>
    <w:rsid w:val="00E76309"/>
    <w:rsid w:val="00E77C4D"/>
    <w:rsid w:val="00E81D01"/>
    <w:rsid w:val="00EE45D8"/>
    <w:rsid w:val="00F004CD"/>
    <w:rsid w:val="00F22EDA"/>
    <w:rsid w:val="00F33E0E"/>
    <w:rsid w:val="00F44EF3"/>
    <w:rsid w:val="00F723E3"/>
    <w:rsid w:val="00F92C21"/>
    <w:rsid w:val="00FB7E80"/>
    <w:rsid w:val="00FC13E4"/>
    <w:rsid w:val="00FC28B0"/>
    <w:rsid w:val="00FC7791"/>
    <w:rsid w:val="00FE3C37"/>
    <w:rsid w:val="00FF57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0B4C8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822120">
      <w:bodyDiv w:val="1"/>
      <w:marLeft w:val="0"/>
      <w:marRight w:val="0"/>
      <w:marTop w:val="0"/>
      <w:marBottom w:val="0"/>
      <w:divBdr>
        <w:top w:val="none" w:sz="0" w:space="0" w:color="auto"/>
        <w:left w:val="none" w:sz="0" w:space="0" w:color="auto"/>
        <w:bottom w:val="none" w:sz="0" w:space="0" w:color="auto"/>
        <w:right w:val="none" w:sz="0" w:space="0" w:color="auto"/>
      </w:divBdr>
      <w:divsChild>
        <w:div w:id="629936988">
          <w:marLeft w:val="0"/>
          <w:marRight w:val="0"/>
          <w:marTop w:val="0"/>
          <w:marBottom w:val="0"/>
          <w:divBdr>
            <w:top w:val="none" w:sz="0" w:space="0" w:color="auto"/>
            <w:left w:val="none" w:sz="0" w:space="0" w:color="auto"/>
            <w:bottom w:val="none" w:sz="0" w:space="0" w:color="auto"/>
            <w:right w:val="none" w:sz="0" w:space="0" w:color="auto"/>
          </w:divBdr>
          <w:divsChild>
            <w:div w:id="2136099105">
              <w:marLeft w:val="0"/>
              <w:marRight w:val="0"/>
              <w:marTop w:val="0"/>
              <w:marBottom w:val="0"/>
              <w:divBdr>
                <w:top w:val="none" w:sz="0" w:space="0" w:color="auto"/>
                <w:left w:val="none" w:sz="0" w:space="0" w:color="auto"/>
                <w:bottom w:val="none" w:sz="0" w:space="0" w:color="auto"/>
                <w:right w:val="none" w:sz="0" w:space="0" w:color="auto"/>
              </w:divBdr>
              <w:divsChild>
                <w:div w:id="1707366266">
                  <w:marLeft w:val="0"/>
                  <w:marRight w:val="0"/>
                  <w:marTop w:val="0"/>
                  <w:marBottom w:val="0"/>
                  <w:divBdr>
                    <w:top w:val="none" w:sz="0" w:space="0" w:color="auto"/>
                    <w:left w:val="none" w:sz="0" w:space="0" w:color="auto"/>
                    <w:bottom w:val="none" w:sz="0" w:space="0" w:color="auto"/>
                    <w:right w:val="none" w:sz="0" w:space="0" w:color="auto"/>
                  </w:divBdr>
                  <w:divsChild>
                    <w:div w:id="350566723">
                      <w:marLeft w:val="0"/>
                      <w:marRight w:val="0"/>
                      <w:marTop w:val="0"/>
                      <w:marBottom w:val="0"/>
                      <w:divBdr>
                        <w:top w:val="none" w:sz="0" w:space="0" w:color="auto"/>
                        <w:left w:val="none" w:sz="0" w:space="0" w:color="auto"/>
                        <w:bottom w:val="none" w:sz="0" w:space="0" w:color="auto"/>
                        <w:right w:val="none" w:sz="0" w:space="0" w:color="auto"/>
                      </w:divBdr>
                      <w:divsChild>
                        <w:div w:id="1214384936">
                          <w:marLeft w:val="0"/>
                          <w:marRight w:val="0"/>
                          <w:marTop w:val="0"/>
                          <w:marBottom w:val="0"/>
                          <w:divBdr>
                            <w:top w:val="none" w:sz="0" w:space="0" w:color="auto"/>
                            <w:left w:val="none" w:sz="0" w:space="0" w:color="auto"/>
                            <w:bottom w:val="none" w:sz="0" w:space="0" w:color="auto"/>
                            <w:right w:val="none" w:sz="0" w:space="0" w:color="auto"/>
                          </w:divBdr>
                          <w:divsChild>
                            <w:div w:id="2088111120">
                              <w:marLeft w:val="0"/>
                              <w:marRight w:val="0"/>
                              <w:marTop w:val="0"/>
                              <w:marBottom w:val="0"/>
                              <w:divBdr>
                                <w:top w:val="none" w:sz="0" w:space="0" w:color="auto"/>
                                <w:left w:val="none" w:sz="0" w:space="0" w:color="auto"/>
                                <w:bottom w:val="none" w:sz="0" w:space="0" w:color="auto"/>
                                <w:right w:val="none" w:sz="0" w:space="0" w:color="auto"/>
                              </w:divBdr>
                              <w:divsChild>
                                <w:div w:id="367724858">
                                  <w:marLeft w:val="0"/>
                                  <w:marRight w:val="0"/>
                                  <w:marTop w:val="0"/>
                                  <w:marBottom w:val="0"/>
                                  <w:divBdr>
                                    <w:top w:val="none" w:sz="0" w:space="0" w:color="auto"/>
                                    <w:left w:val="none" w:sz="0" w:space="0" w:color="auto"/>
                                    <w:bottom w:val="none" w:sz="0" w:space="0" w:color="auto"/>
                                    <w:right w:val="none" w:sz="0" w:space="0" w:color="auto"/>
                                  </w:divBdr>
                                  <w:divsChild>
                                    <w:div w:id="1339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1116</Words>
  <Characters>5692</Characters>
  <Application>Microsoft Office Word</Application>
  <DocSecurity>0</DocSecurity>
  <Lines>47</Lines>
  <Paragraphs>13</Paragraphs>
  <ScaleCrop>false</ScaleCrop>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2018-08-17T12:03:00Z</dcterms:created>
  <dcterms:modified xsi:type="dcterms:W3CDTF">2018-08-17T12:03:00Z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