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86D" w:rsidRPr="001D4EAD" w:rsidRDefault="005B325F" w:rsidP="00B0186D">
      <w:pPr>
        <w:jc w:val="center"/>
        <w:rPr>
          <w:rFonts w:ascii="Book Antiqua" w:hAnsi="Book Antiqua" w:cs="Arial"/>
          <w:caps/>
          <w:color w:val="000000"/>
          <w:sz w:val="16"/>
          <w:szCs w:val="16"/>
        </w:rPr>
      </w:pPr>
      <w:r w:rsidRPr="001D4EAD">
        <w:rPr>
          <w:noProof/>
          <w:sz w:val="16"/>
          <w:szCs w:val="16"/>
        </w:rPr>
        <w:drawing>
          <wp:inline distT="0" distB="0" distL="0" distR="0">
            <wp:extent cx="1028700" cy="9017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901700"/>
                    </a:xfrm>
                    <a:prstGeom prst="rect">
                      <a:avLst/>
                    </a:prstGeom>
                    <a:noFill/>
                    <a:ln>
                      <a:noFill/>
                    </a:ln>
                  </pic:spPr>
                </pic:pic>
              </a:graphicData>
            </a:graphic>
          </wp:inline>
        </w:drawing>
      </w:r>
    </w:p>
    <w:p w:rsidR="00B0186D" w:rsidRPr="001D4EAD" w:rsidRDefault="00B0186D" w:rsidP="00B0186D">
      <w:pPr>
        <w:rPr>
          <w:rFonts w:ascii="Book Antiqua" w:hAnsi="Book Antiqua" w:cs="Arial"/>
          <w:color w:val="000000"/>
          <w:sz w:val="16"/>
          <w:szCs w:val="16"/>
        </w:rPr>
      </w:pPr>
    </w:p>
    <w:p w:rsidR="00B0186D" w:rsidRPr="00B57D66" w:rsidRDefault="00B0186D" w:rsidP="00B0186D">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rsidR="00B0186D" w:rsidRPr="00B57D66" w:rsidRDefault="00B0186D" w:rsidP="00B0186D">
      <w:pPr>
        <w:tabs>
          <w:tab w:val="right" w:pos="9720"/>
        </w:tabs>
        <w:ind w:right="-82"/>
        <w:rPr>
          <w:rFonts w:ascii="Book Antiqua" w:hAnsi="Book Antiqua" w:cs="Arial"/>
          <w:color w:val="000000"/>
        </w:rPr>
      </w:pPr>
      <w:r w:rsidRPr="00B57D66">
        <w:rPr>
          <w:rFonts w:ascii="Book Antiqua" w:hAnsi="Book Antiqua" w:cs="Arial"/>
          <w:b/>
          <w:color w:val="000000"/>
        </w:rPr>
        <w:t>(Immigration and Asylum Chamber)</w:t>
      </w:r>
      <w:r w:rsidRPr="00B57D66">
        <w:rPr>
          <w:rFonts w:ascii="Book Antiqua" w:hAnsi="Book Antiqua" w:cs="Arial"/>
          <w:b/>
          <w:color w:val="000000"/>
        </w:rPr>
        <w:tab/>
      </w:r>
      <w:r w:rsidRPr="00B57D66">
        <w:rPr>
          <w:rFonts w:ascii="Book Antiqua" w:hAnsi="Book Antiqua" w:cs="Arial"/>
          <w:color w:val="000000"/>
        </w:rPr>
        <w:t xml:space="preserve">Appeal Number: </w:t>
      </w:r>
      <w:bookmarkStart w:id="0" w:name="_GoBack"/>
      <w:r w:rsidR="00D565E7">
        <w:rPr>
          <w:rFonts w:ascii="Book Antiqua" w:hAnsi="Book Antiqua" w:cs="Arial"/>
          <w:caps/>
          <w:color w:val="000000"/>
        </w:rPr>
        <w:t>IA</w:t>
      </w:r>
      <w:r w:rsidR="000C0825">
        <w:rPr>
          <w:rFonts w:ascii="Book Antiqua" w:hAnsi="Book Antiqua" w:cs="Arial"/>
          <w:caps/>
          <w:color w:val="000000"/>
        </w:rPr>
        <w:t>/20046/2015</w:t>
      </w:r>
      <w:bookmarkEnd w:id="0"/>
    </w:p>
    <w:p w:rsidR="00B0186D" w:rsidRPr="00B57D66" w:rsidRDefault="00B0186D" w:rsidP="00B0186D">
      <w:pPr>
        <w:jc w:val="center"/>
        <w:rPr>
          <w:rFonts w:ascii="Book Antiqua" w:hAnsi="Book Antiqua" w:cs="Arial"/>
          <w:color w:val="000000"/>
        </w:rPr>
      </w:pPr>
    </w:p>
    <w:p w:rsidR="00B0186D" w:rsidRPr="00B57D66" w:rsidRDefault="00B0186D" w:rsidP="00B0186D">
      <w:pPr>
        <w:jc w:val="center"/>
        <w:rPr>
          <w:rFonts w:ascii="Book Antiqua" w:hAnsi="Book Antiqua" w:cs="Arial"/>
          <w:color w:val="000000"/>
        </w:rPr>
      </w:pPr>
    </w:p>
    <w:p w:rsidR="00B0186D" w:rsidRPr="00B57D66" w:rsidRDefault="00B0186D" w:rsidP="00B0186D">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rsidR="00B0186D" w:rsidRPr="00B57D66" w:rsidRDefault="00B0186D" w:rsidP="00B0186D">
      <w:pPr>
        <w:jc w:val="center"/>
        <w:rPr>
          <w:rFonts w:ascii="Book Antiqua" w:hAnsi="Book Antiqua" w:cs="Arial"/>
          <w:b/>
          <w:u w:val="single"/>
        </w:rPr>
      </w:pPr>
    </w:p>
    <w:p w:rsidR="00B0186D" w:rsidRPr="00B57D66" w:rsidRDefault="00B0186D" w:rsidP="00B0186D">
      <w:pPr>
        <w:jc w:val="center"/>
        <w:rPr>
          <w:rFonts w:ascii="Book Antiqua" w:hAnsi="Book Antiqua" w:cs="Arial"/>
          <w:b/>
          <w:u w:val="single"/>
        </w:rPr>
      </w:pPr>
    </w:p>
    <w:tbl>
      <w:tblPr>
        <w:tblW w:w="10008" w:type="dxa"/>
        <w:tblLook w:val="01E0" w:firstRow="1" w:lastRow="1" w:firstColumn="1" w:lastColumn="1" w:noHBand="0" w:noVBand="0"/>
      </w:tblPr>
      <w:tblGrid>
        <w:gridCol w:w="4928"/>
        <w:gridCol w:w="1120"/>
        <w:gridCol w:w="3960"/>
      </w:tblGrid>
      <w:tr w:rsidR="00B0186D" w:rsidRPr="00B57D66" w:rsidTr="00885221">
        <w:tc>
          <w:tcPr>
            <w:tcW w:w="4928" w:type="dxa"/>
          </w:tcPr>
          <w:p w:rsidR="00B0186D" w:rsidRPr="000171C4" w:rsidRDefault="00B0186D" w:rsidP="00F11BCD">
            <w:pPr>
              <w:jc w:val="both"/>
              <w:rPr>
                <w:rFonts w:ascii="Book Antiqua" w:hAnsi="Book Antiqua" w:cs="Arial"/>
                <w:b/>
              </w:rPr>
            </w:pPr>
            <w:r w:rsidRPr="000171C4">
              <w:rPr>
                <w:rFonts w:ascii="Book Antiqua" w:hAnsi="Book Antiqua" w:cs="Arial"/>
                <w:b/>
              </w:rPr>
              <w:t>Heard at Field House</w:t>
            </w:r>
          </w:p>
        </w:tc>
        <w:tc>
          <w:tcPr>
            <w:tcW w:w="5080" w:type="dxa"/>
            <w:gridSpan w:val="2"/>
          </w:tcPr>
          <w:p w:rsidR="00B0186D" w:rsidRPr="000171C4" w:rsidRDefault="00B0186D" w:rsidP="00F11BCD">
            <w:pPr>
              <w:jc w:val="both"/>
              <w:rPr>
                <w:rFonts w:ascii="Book Antiqua" w:hAnsi="Book Antiqua" w:cs="Arial"/>
                <w:b/>
                <w:color w:val="000000"/>
              </w:rPr>
            </w:pPr>
            <w:r w:rsidRPr="000171C4">
              <w:rPr>
                <w:rFonts w:ascii="Book Antiqua" w:hAnsi="Book Antiqua" w:cs="Arial"/>
                <w:b/>
                <w:color w:val="000000"/>
              </w:rPr>
              <w:t>Decision &amp; Reasons Promulgated</w:t>
            </w:r>
          </w:p>
        </w:tc>
      </w:tr>
      <w:tr w:rsidR="00B0186D" w:rsidRPr="00B57D66" w:rsidTr="00885221">
        <w:tc>
          <w:tcPr>
            <w:tcW w:w="4928" w:type="dxa"/>
          </w:tcPr>
          <w:p w:rsidR="00B0186D" w:rsidRPr="000171C4" w:rsidRDefault="00F7136A" w:rsidP="00F11BCD">
            <w:pPr>
              <w:jc w:val="both"/>
              <w:rPr>
                <w:rFonts w:ascii="Book Antiqua" w:hAnsi="Book Antiqua" w:cs="Arial"/>
                <w:b/>
              </w:rPr>
            </w:pPr>
            <w:r>
              <w:rPr>
                <w:rFonts w:ascii="Book Antiqua" w:hAnsi="Book Antiqua" w:cs="Arial"/>
                <w:b/>
              </w:rPr>
              <w:t xml:space="preserve">On </w:t>
            </w:r>
            <w:r w:rsidR="00EC29B4">
              <w:rPr>
                <w:rFonts w:ascii="Book Antiqua" w:hAnsi="Book Antiqua" w:cs="Arial"/>
                <w:b/>
              </w:rPr>
              <w:t>09</w:t>
            </w:r>
            <w:r>
              <w:rPr>
                <w:rFonts w:ascii="Book Antiqua" w:hAnsi="Book Antiqua" w:cs="Arial"/>
                <w:b/>
              </w:rPr>
              <w:t xml:space="preserve"> </w:t>
            </w:r>
            <w:r w:rsidR="00EC29B4">
              <w:rPr>
                <w:rFonts w:ascii="Book Antiqua" w:hAnsi="Book Antiqua" w:cs="Arial"/>
                <w:b/>
              </w:rPr>
              <w:t xml:space="preserve">March </w:t>
            </w:r>
            <w:r w:rsidR="00B0186D" w:rsidRPr="000171C4">
              <w:rPr>
                <w:rFonts w:ascii="Book Antiqua" w:hAnsi="Book Antiqua" w:cs="Arial"/>
                <w:b/>
              </w:rPr>
              <w:t>2018</w:t>
            </w:r>
          </w:p>
        </w:tc>
        <w:tc>
          <w:tcPr>
            <w:tcW w:w="5080" w:type="dxa"/>
            <w:gridSpan w:val="2"/>
          </w:tcPr>
          <w:p w:rsidR="00B0186D" w:rsidRPr="000171C4" w:rsidRDefault="009F6832" w:rsidP="00F11BCD">
            <w:pPr>
              <w:jc w:val="both"/>
              <w:rPr>
                <w:rFonts w:ascii="Book Antiqua" w:hAnsi="Book Antiqua" w:cs="Arial"/>
                <w:b/>
              </w:rPr>
            </w:pPr>
            <w:r>
              <w:rPr>
                <w:rFonts w:ascii="Book Antiqua" w:hAnsi="Book Antiqua" w:cs="Arial"/>
                <w:b/>
              </w:rPr>
              <w:t>On</w:t>
            </w:r>
            <w:r w:rsidR="00885221">
              <w:rPr>
                <w:rFonts w:ascii="Book Antiqua" w:hAnsi="Book Antiqua" w:cs="Arial"/>
                <w:b/>
              </w:rPr>
              <w:t xml:space="preserve"> 26 July 2018 </w:t>
            </w:r>
          </w:p>
        </w:tc>
      </w:tr>
      <w:tr w:rsidR="00B0186D" w:rsidRPr="00B57D66" w:rsidTr="00885221">
        <w:tc>
          <w:tcPr>
            <w:tcW w:w="6048" w:type="dxa"/>
            <w:gridSpan w:val="2"/>
          </w:tcPr>
          <w:p w:rsidR="00B0186D" w:rsidRPr="000171C4" w:rsidRDefault="00B0186D" w:rsidP="00F11BCD">
            <w:pPr>
              <w:jc w:val="both"/>
              <w:rPr>
                <w:rFonts w:ascii="Book Antiqua" w:hAnsi="Book Antiqua" w:cs="Arial"/>
                <w:b/>
              </w:rPr>
            </w:pPr>
          </w:p>
        </w:tc>
        <w:tc>
          <w:tcPr>
            <w:tcW w:w="3960" w:type="dxa"/>
          </w:tcPr>
          <w:p w:rsidR="00B0186D" w:rsidRPr="000171C4" w:rsidRDefault="00B0186D" w:rsidP="00F11BCD">
            <w:pPr>
              <w:jc w:val="both"/>
              <w:rPr>
                <w:rFonts w:ascii="Book Antiqua" w:hAnsi="Book Antiqua" w:cs="Arial"/>
                <w:b/>
              </w:rPr>
            </w:pPr>
          </w:p>
        </w:tc>
      </w:tr>
    </w:tbl>
    <w:p w:rsidR="00B0186D" w:rsidRPr="00B57D66" w:rsidRDefault="00B0186D" w:rsidP="00B0186D">
      <w:pPr>
        <w:jc w:val="center"/>
        <w:rPr>
          <w:rFonts w:ascii="Book Antiqua" w:hAnsi="Book Antiqua" w:cs="Arial"/>
        </w:rPr>
      </w:pPr>
    </w:p>
    <w:p w:rsidR="00B0186D" w:rsidRPr="00B57D66" w:rsidRDefault="00B0186D" w:rsidP="00B0186D">
      <w:pPr>
        <w:jc w:val="center"/>
        <w:rPr>
          <w:rFonts w:ascii="Book Antiqua" w:hAnsi="Book Antiqua" w:cs="Arial"/>
          <w:b/>
        </w:rPr>
      </w:pPr>
      <w:r w:rsidRPr="00B57D66">
        <w:rPr>
          <w:rFonts w:ascii="Book Antiqua" w:hAnsi="Book Antiqua" w:cs="Arial"/>
          <w:b/>
        </w:rPr>
        <w:t>Before</w:t>
      </w:r>
    </w:p>
    <w:p w:rsidR="00B0186D" w:rsidRPr="00B57D66" w:rsidRDefault="00B0186D" w:rsidP="00B0186D">
      <w:pPr>
        <w:jc w:val="center"/>
        <w:rPr>
          <w:rFonts w:ascii="Book Antiqua" w:hAnsi="Book Antiqua" w:cs="Arial"/>
          <w:b/>
        </w:rPr>
      </w:pPr>
    </w:p>
    <w:p w:rsidR="00B0186D" w:rsidRPr="00B57D66" w:rsidRDefault="000C0825" w:rsidP="000C0825">
      <w:pPr>
        <w:jc w:val="center"/>
        <w:rPr>
          <w:rFonts w:ascii="Book Antiqua" w:hAnsi="Book Antiqua" w:cs="Arial"/>
          <w:b/>
          <w:color w:val="000000"/>
        </w:rPr>
      </w:pPr>
      <w:r>
        <w:rPr>
          <w:rFonts w:ascii="Book Antiqua" w:hAnsi="Book Antiqua" w:cs="Arial"/>
          <w:b/>
          <w:color w:val="000000"/>
        </w:rPr>
        <w:t>DEPUTY UPPER TRIBUNAL JUDGE BAGRAL</w:t>
      </w:r>
    </w:p>
    <w:p w:rsidR="00B0186D" w:rsidRDefault="00B0186D" w:rsidP="000C0825">
      <w:pPr>
        <w:rPr>
          <w:rFonts w:ascii="Book Antiqua" w:hAnsi="Book Antiqua" w:cs="Arial"/>
          <w:b/>
        </w:rPr>
      </w:pPr>
    </w:p>
    <w:p w:rsidR="001D4EAD" w:rsidRDefault="001D4EAD" w:rsidP="00B0186D">
      <w:pPr>
        <w:jc w:val="center"/>
        <w:rPr>
          <w:rFonts w:ascii="Book Antiqua" w:hAnsi="Book Antiqua" w:cs="Arial"/>
          <w:b/>
        </w:rPr>
      </w:pPr>
    </w:p>
    <w:p w:rsidR="00B0186D" w:rsidRPr="00B57D66" w:rsidRDefault="00B0186D" w:rsidP="00B0186D">
      <w:pPr>
        <w:jc w:val="center"/>
        <w:rPr>
          <w:rFonts w:ascii="Book Antiqua" w:hAnsi="Book Antiqua" w:cs="Arial"/>
          <w:b/>
        </w:rPr>
      </w:pPr>
      <w:r w:rsidRPr="00B57D66">
        <w:rPr>
          <w:rFonts w:ascii="Book Antiqua" w:hAnsi="Book Antiqua" w:cs="Arial"/>
          <w:b/>
        </w:rPr>
        <w:t>Between</w:t>
      </w:r>
    </w:p>
    <w:p w:rsidR="00B0186D" w:rsidRPr="00B57D66" w:rsidRDefault="00B0186D" w:rsidP="00B0186D">
      <w:pPr>
        <w:jc w:val="center"/>
        <w:rPr>
          <w:rFonts w:ascii="Book Antiqua" w:hAnsi="Book Antiqua" w:cs="Arial"/>
          <w:b/>
        </w:rPr>
      </w:pPr>
    </w:p>
    <w:p w:rsidR="00B0186D" w:rsidRDefault="000C0825" w:rsidP="00B0186D">
      <w:pPr>
        <w:jc w:val="center"/>
        <w:rPr>
          <w:rFonts w:ascii="Book Antiqua" w:hAnsi="Book Antiqua" w:cs="Arial"/>
          <w:b/>
          <w:caps/>
        </w:rPr>
      </w:pPr>
      <w:r>
        <w:rPr>
          <w:rFonts w:ascii="Book Antiqua" w:hAnsi="Book Antiqua" w:cs="Arial"/>
          <w:b/>
          <w:caps/>
        </w:rPr>
        <w:t xml:space="preserve">JAKER </w:t>
      </w:r>
      <w:r w:rsidR="001D4EAD">
        <w:rPr>
          <w:rFonts w:ascii="Book Antiqua" w:hAnsi="Book Antiqua" w:cs="Arial"/>
          <w:b/>
          <w:caps/>
        </w:rPr>
        <w:t>[</w:t>
      </w:r>
      <w:r>
        <w:rPr>
          <w:rFonts w:ascii="Book Antiqua" w:hAnsi="Book Antiqua" w:cs="Arial"/>
          <w:b/>
          <w:caps/>
        </w:rPr>
        <w:t>H</w:t>
      </w:r>
      <w:r w:rsidR="001D4EAD">
        <w:rPr>
          <w:rFonts w:ascii="Book Antiqua" w:hAnsi="Book Antiqua" w:cs="Arial"/>
          <w:b/>
          <w:caps/>
        </w:rPr>
        <w:t>]</w:t>
      </w:r>
    </w:p>
    <w:p w:rsidR="00B0186D" w:rsidRPr="00321D3C" w:rsidRDefault="00B0186D" w:rsidP="00B0186D">
      <w:pPr>
        <w:jc w:val="center"/>
        <w:rPr>
          <w:rFonts w:ascii="Book Antiqua" w:hAnsi="Book Antiqua" w:cs="Arial"/>
          <w:b/>
          <w:caps/>
          <w:sz w:val="22"/>
          <w:szCs w:val="22"/>
        </w:rPr>
      </w:pPr>
      <w:r w:rsidRPr="00321D3C">
        <w:rPr>
          <w:rFonts w:ascii="Book Antiqua" w:hAnsi="Book Antiqua" w:cs="Arial"/>
          <w:b/>
          <w:caps/>
          <w:sz w:val="22"/>
          <w:szCs w:val="22"/>
        </w:rPr>
        <w:t>(ANONYMITY DIRECTION NOT MADE)</w:t>
      </w:r>
    </w:p>
    <w:p w:rsidR="00B0186D" w:rsidRPr="00B57D66" w:rsidRDefault="00CB10E9" w:rsidP="005C61D7">
      <w:pPr>
        <w:ind w:left="7200" w:firstLine="720"/>
        <w:jc w:val="center"/>
        <w:rPr>
          <w:rFonts w:ascii="Book Antiqua" w:hAnsi="Book Antiqua" w:cs="Arial"/>
          <w:u w:val="single"/>
        </w:rPr>
      </w:pPr>
      <w:r>
        <w:rPr>
          <w:rFonts w:ascii="Book Antiqua" w:hAnsi="Book Antiqua" w:cs="Arial"/>
        </w:rPr>
        <w:t xml:space="preserve">      </w:t>
      </w:r>
      <w:r w:rsidR="00B0186D" w:rsidRPr="00B57D66">
        <w:rPr>
          <w:rFonts w:ascii="Book Antiqua" w:hAnsi="Book Antiqua" w:cs="Arial"/>
          <w:u w:val="single"/>
        </w:rPr>
        <w:t>Appellant</w:t>
      </w:r>
    </w:p>
    <w:p w:rsidR="00B0186D" w:rsidRPr="00B57D66" w:rsidRDefault="00B0186D" w:rsidP="00B0186D">
      <w:pPr>
        <w:jc w:val="center"/>
        <w:rPr>
          <w:rFonts w:ascii="Book Antiqua" w:hAnsi="Book Antiqua" w:cs="Arial"/>
          <w:b/>
        </w:rPr>
      </w:pPr>
      <w:r w:rsidRPr="00B57D66">
        <w:rPr>
          <w:rFonts w:ascii="Book Antiqua" w:hAnsi="Book Antiqua" w:cs="Arial"/>
          <w:b/>
        </w:rPr>
        <w:t>and</w:t>
      </w:r>
    </w:p>
    <w:p w:rsidR="00B0186D" w:rsidRPr="00B57D66" w:rsidRDefault="00B0186D" w:rsidP="00B0186D">
      <w:pPr>
        <w:jc w:val="center"/>
        <w:rPr>
          <w:rFonts w:ascii="Book Antiqua" w:hAnsi="Book Antiqua" w:cs="Arial"/>
          <w:b/>
        </w:rPr>
      </w:pPr>
    </w:p>
    <w:bookmarkStart w:id="1" w:name="Text7"/>
    <w:p w:rsidR="00B0186D" w:rsidRPr="00B57D66" w:rsidRDefault="00B0186D" w:rsidP="00B0186D">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rsidR="00B0186D" w:rsidRPr="00B57D66" w:rsidRDefault="00B0186D" w:rsidP="00B0186D">
      <w:pPr>
        <w:jc w:val="right"/>
        <w:rPr>
          <w:rFonts w:ascii="Book Antiqua" w:hAnsi="Book Antiqua" w:cs="Arial"/>
          <w:u w:val="single"/>
        </w:rPr>
      </w:pPr>
      <w:r w:rsidRPr="00B57D66">
        <w:rPr>
          <w:rFonts w:ascii="Book Antiqua" w:hAnsi="Book Antiqua" w:cs="Arial"/>
          <w:u w:val="single"/>
        </w:rPr>
        <w:t>Respondent</w:t>
      </w:r>
    </w:p>
    <w:p w:rsidR="00B0186D" w:rsidRPr="00B57D66" w:rsidRDefault="00B0186D" w:rsidP="00B0186D">
      <w:pPr>
        <w:rPr>
          <w:rFonts w:ascii="Book Antiqua" w:hAnsi="Book Antiqua" w:cs="Arial"/>
          <w:u w:val="single"/>
        </w:rPr>
      </w:pPr>
    </w:p>
    <w:p w:rsidR="00B0186D" w:rsidRPr="00B57D66" w:rsidRDefault="00B0186D" w:rsidP="00B0186D">
      <w:pPr>
        <w:rPr>
          <w:rFonts w:ascii="Book Antiqua" w:hAnsi="Book Antiqua" w:cs="Arial"/>
          <w:u w:val="single"/>
        </w:rPr>
      </w:pPr>
    </w:p>
    <w:p w:rsidR="00B0186D" w:rsidRPr="00B57D66" w:rsidRDefault="00B0186D" w:rsidP="00B0186D">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rsidR="00B0186D" w:rsidRPr="00B57D66" w:rsidRDefault="00B0186D" w:rsidP="00B0186D">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0C0825">
        <w:rPr>
          <w:rFonts w:ascii="Book Antiqua" w:hAnsi="Book Antiqua" w:cs="Arial"/>
        </w:rPr>
        <w:t>Mr T Aitken</w:t>
      </w:r>
      <w:r>
        <w:rPr>
          <w:rFonts w:ascii="Book Antiqua" w:hAnsi="Book Antiqua" w:cs="Arial"/>
        </w:rPr>
        <w:t>,</w:t>
      </w:r>
      <w:r w:rsidR="00F11BCD">
        <w:rPr>
          <w:rFonts w:ascii="Book Antiqua" w:hAnsi="Book Antiqua" w:cs="Arial"/>
        </w:rPr>
        <w:t xml:space="preserve"> of</w:t>
      </w:r>
      <w:r>
        <w:rPr>
          <w:rFonts w:ascii="Book Antiqua" w:hAnsi="Book Antiqua" w:cs="Arial"/>
        </w:rPr>
        <w:t xml:space="preserve"> </w:t>
      </w:r>
      <w:r w:rsidR="000C0825">
        <w:rPr>
          <w:rFonts w:ascii="Book Antiqua" w:hAnsi="Book Antiqua" w:cs="Arial"/>
        </w:rPr>
        <w:t>Counsel instructed by Novells Legal Practice</w:t>
      </w:r>
    </w:p>
    <w:p w:rsidR="00B0186D" w:rsidRPr="00B57D66" w:rsidRDefault="00B0186D" w:rsidP="00B0186D">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0C0825">
        <w:rPr>
          <w:rFonts w:ascii="Book Antiqua" w:hAnsi="Book Antiqua" w:cs="Arial"/>
        </w:rPr>
        <w:t>Mr P Duffy</w:t>
      </w:r>
      <w:r>
        <w:rPr>
          <w:rFonts w:ascii="Book Antiqua" w:hAnsi="Book Antiqua" w:cs="Arial"/>
        </w:rPr>
        <w:t>, Home Office Presenting Officer</w:t>
      </w:r>
    </w:p>
    <w:p w:rsidR="00B0186D" w:rsidRDefault="00B0186D" w:rsidP="00DA4DAF">
      <w:pPr>
        <w:tabs>
          <w:tab w:val="left" w:pos="2520"/>
        </w:tabs>
        <w:rPr>
          <w:rFonts w:ascii="Book Antiqua" w:hAnsi="Book Antiqua" w:cs="Arial"/>
        </w:rPr>
      </w:pPr>
    </w:p>
    <w:p w:rsidR="001D4EAD" w:rsidRPr="00B57D66" w:rsidRDefault="001D4EAD" w:rsidP="00DA4DAF">
      <w:pPr>
        <w:tabs>
          <w:tab w:val="left" w:pos="2520"/>
        </w:tabs>
        <w:rPr>
          <w:rFonts w:ascii="Book Antiqua" w:hAnsi="Book Antiqua" w:cs="Arial"/>
        </w:rPr>
      </w:pPr>
    </w:p>
    <w:p w:rsidR="00B0186D" w:rsidRDefault="00B0186D" w:rsidP="00B0186D">
      <w:pPr>
        <w:tabs>
          <w:tab w:val="left" w:pos="2520"/>
        </w:tabs>
        <w:jc w:val="center"/>
        <w:rPr>
          <w:rFonts w:ascii="Book Antiqua" w:hAnsi="Book Antiqua" w:cs="Arial"/>
          <w:b/>
          <w:u w:val="single"/>
        </w:rPr>
      </w:pPr>
      <w:r>
        <w:rPr>
          <w:rFonts w:ascii="Book Antiqua" w:hAnsi="Book Antiqua" w:cs="Arial"/>
          <w:b/>
          <w:u w:val="single"/>
        </w:rPr>
        <w:t xml:space="preserve">DECISION </w:t>
      </w:r>
      <w:r w:rsidRPr="00B57D66">
        <w:rPr>
          <w:rFonts w:ascii="Book Antiqua" w:hAnsi="Book Antiqua" w:cs="Arial"/>
          <w:b/>
          <w:u w:val="single"/>
        </w:rPr>
        <w:t>AND REASONS</w:t>
      </w:r>
    </w:p>
    <w:p w:rsidR="002D0E2D" w:rsidRDefault="002D0E2D" w:rsidP="002D0E2D">
      <w:pPr>
        <w:tabs>
          <w:tab w:val="left" w:pos="2520"/>
        </w:tabs>
        <w:rPr>
          <w:rFonts w:ascii="Book Antiqua" w:hAnsi="Book Antiqua" w:cs="Arial"/>
          <w:b/>
          <w:u w:val="single"/>
        </w:rPr>
      </w:pPr>
    </w:p>
    <w:p w:rsidR="002D0E2D" w:rsidRPr="00E3274D" w:rsidRDefault="002D0E2D" w:rsidP="002D0E2D">
      <w:pPr>
        <w:tabs>
          <w:tab w:val="left" w:pos="2520"/>
        </w:tabs>
        <w:rPr>
          <w:rFonts w:ascii="Book Antiqua" w:hAnsi="Book Antiqua" w:cs="Arial"/>
          <w:b/>
          <w:u w:val="single"/>
        </w:rPr>
      </w:pPr>
      <w:r w:rsidRPr="00E3274D">
        <w:rPr>
          <w:rFonts w:ascii="Book Antiqua" w:hAnsi="Book Antiqua" w:cs="Arial"/>
          <w:b/>
          <w:u w:val="single"/>
        </w:rPr>
        <w:t>Background</w:t>
      </w:r>
    </w:p>
    <w:p w:rsidR="00B0186D" w:rsidRDefault="00B0186D" w:rsidP="00B0186D">
      <w:pPr>
        <w:tabs>
          <w:tab w:val="left" w:pos="567"/>
        </w:tabs>
        <w:spacing w:before="240"/>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Pr>
          <w:rFonts w:ascii="Book Antiqua" w:hAnsi="Book Antiqua" w:cs="Arial"/>
        </w:rPr>
        <w:t>T</w:t>
      </w:r>
      <w:r w:rsidR="00EF7F2A">
        <w:rPr>
          <w:rFonts w:ascii="Book Antiqua" w:hAnsi="Book Antiqua" w:cs="Arial"/>
        </w:rPr>
        <w:t>he appellant, a citizen of Bangladesh</w:t>
      </w:r>
      <w:r>
        <w:rPr>
          <w:rFonts w:ascii="Book Antiqua" w:hAnsi="Book Antiqua" w:cs="Arial"/>
        </w:rPr>
        <w:t>, brings a challenge t</w:t>
      </w:r>
      <w:r w:rsidR="00EF7F2A">
        <w:rPr>
          <w:rFonts w:ascii="Book Antiqua" w:hAnsi="Book Antiqua" w:cs="Arial"/>
        </w:rPr>
        <w:t>o the decision of</w:t>
      </w:r>
      <w:r w:rsidR="00E16044">
        <w:rPr>
          <w:rFonts w:ascii="Book Antiqua" w:hAnsi="Book Antiqua" w:cs="Arial"/>
        </w:rPr>
        <w:t xml:space="preserve"> First-tie</w:t>
      </w:r>
      <w:r w:rsidR="00CA0A09">
        <w:rPr>
          <w:rFonts w:ascii="Book Antiqua" w:hAnsi="Book Antiqua" w:cs="Arial"/>
        </w:rPr>
        <w:t>r Tribunal</w:t>
      </w:r>
      <w:r w:rsidR="00EF7F2A">
        <w:rPr>
          <w:rFonts w:ascii="Book Antiqua" w:hAnsi="Book Antiqua" w:cs="Arial"/>
        </w:rPr>
        <w:t xml:space="preserve"> Judge E B Grant</w:t>
      </w:r>
      <w:r w:rsidR="009B3A41">
        <w:rPr>
          <w:rFonts w:ascii="Book Antiqua" w:hAnsi="Book Antiqua" w:cs="Arial"/>
        </w:rPr>
        <w:t xml:space="preserve"> (“the judge”)</w:t>
      </w:r>
      <w:r w:rsidR="00CA0A09">
        <w:rPr>
          <w:rFonts w:ascii="Book Antiqua" w:hAnsi="Book Antiqua" w:cs="Arial"/>
        </w:rPr>
        <w:t xml:space="preserve"> </w:t>
      </w:r>
      <w:r w:rsidR="00107647">
        <w:rPr>
          <w:rFonts w:ascii="Book Antiqua" w:hAnsi="Book Antiqua" w:cs="Arial"/>
        </w:rPr>
        <w:t>pr</w:t>
      </w:r>
      <w:r w:rsidR="00E16044">
        <w:rPr>
          <w:rFonts w:ascii="Book Antiqua" w:hAnsi="Book Antiqua" w:cs="Arial"/>
        </w:rPr>
        <w:t>o</w:t>
      </w:r>
      <w:r w:rsidR="00107647">
        <w:rPr>
          <w:rFonts w:ascii="Book Antiqua" w:hAnsi="Book Antiqua" w:cs="Arial"/>
        </w:rPr>
        <w:t>mulgated</w:t>
      </w:r>
      <w:r w:rsidR="00EF7F2A">
        <w:rPr>
          <w:rFonts w:ascii="Book Antiqua" w:hAnsi="Book Antiqua" w:cs="Arial"/>
        </w:rPr>
        <w:t xml:space="preserve"> on 24 November</w:t>
      </w:r>
      <w:r>
        <w:rPr>
          <w:rFonts w:ascii="Book Antiqua" w:hAnsi="Book Antiqua" w:cs="Arial"/>
        </w:rPr>
        <w:t xml:space="preserve"> 2017 dismissing his appeal against the decis</w:t>
      </w:r>
      <w:r w:rsidR="00EF7F2A">
        <w:rPr>
          <w:rFonts w:ascii="Book Antiqua" w:hAnsi="Book Antiqua" w:cs="Arial"/>
        </w:rPr>
        <w:t>ion made by the re</w:t>
      </w:r>
      <w:r w:rsidR="00B36E0F">
        <w:rPr>
          <w:rFonts w:ascii="Book Antiqua" w:hAnsi="Book Antiqua" w:cs="Arial"/>
        </w:rPr>
        <w:t>spondent on 7</w:t>
      </w:r>
      <w:r w:rsidR="00EF7F2A">
        <w:rPr>
          <w:rFonts w:ascii="Book Antiqua" w:hAnsi="Book Antiqua" w:cs="Arial"/>
        </w:rPr>
        <w:t xml:space="preserve"> May</w:t>
      </w:r>
      <w:r>
        <w:rPr>
          <w:rFonts w:ascii="Book Antiqua" w:hAnsi="Book Antiqua" w:cs="Arial"/>
        </w:rPr>
        <w:t xml:space="preserve"> 2</w:t>
      </w:r>
      <w:r w:rsidR="00EF7F2A">
        <w:rPr>
          <w:rFonts w:ascii="Book Antiqua" w:hAnsi="Book Antiqua" w:cs="Arial"/>
        </w:rPr>
        <w:t>015</w:t>
      </w:r>
      <w:r>
        <w:rPr>
          <w:rFonts w:ascii="Book Antiqua" w:hAnsi="Book Antiqua" w:cs="Arial"/>
        </w:rPr>
        <w:t xml:space="preserve"> refusing him leave to remain</w:t>
      </w:r>
      <w:r w:rsidR="00EF7F2A">
        <w:rPr>
          <w:rFonts w:ascii="Book Antiqua" w:hAnsi="Book Antiqua" w:cs="Arial"/>
        </w:rPr>
        <w:t xml:space="preserve"> on human rights grounds</w:t>
      </w:r>
      <w:r>
        <w:rPr>
          <w:rFonts w:ascii="Book Antiqua" w:hAnsi="Book Antiqua" w:cs="Arial"/>
        </w:rPr>
        <w:t>.</w:t>
      </w:r>
      <w:r w:rsidR="00107647">
        <w:rPr>
          <w:rFonts w:ascii="Book Antiqua" w:hAnsi="Book Antiqua" w:cs="Arial"/>
        </w:rPr>
        <w:t xml:space="preserve"> He relies on his family life</w:t>
      </w:r>
      <w:r w:rsidR="003403F4">
        <w:rPr>
          <w:rFonts w:ascii="Book Antiqua" w:hAnsi="Book Antiqua" w:cs="Arial"/>
        </w:rPr>
        <w:t xml:space="preserve"> and</w:t>
      </w:r>
      <w:r w:rsidR="00107647">
        <w:rPr>
          <w:rFonts w:ascii="Book Antiqua" w:hAnsi="Book Antiqua" w:cs="Arial"/>
        </w:rPr>
        <w:t>, in particular</w:t>
      </w:r>
      <w:r w:rsidR="005D332C">
        <w:rPr>
          <w:rFonts w:ascii="Book Antiqua" w:hAnsi="Book Antiqua" w:cs="Arial"/>
        </w:rPr>
        <w:t>,</w:t>
      </w:r>
      <w:r w:rsidR="003403F4">
        <w:rPr>
          <w:rFonts w:ascii="Book Antiqua" w:hAnsi="Book Antiqua" w:cs="Arial"/>
        </w:rPr>
        <w:t xml:space="preserve"> </w:t>
      </w:r>
      <w:r w:rsidR="00107647">
        <w:rPr>
          <w:rFonts w:ascii="Book Antiqua" w:hAnsi="Book Antiqua" w:cs="Arial"/>
        </w:rPr>
        <w:t>the</w:t>
      </w:r>
      <w:r w:rsidR="003403F4">
        <w:rPr>
          <w:rFonts w:ascii="Book Antiqua" w:hAnsi="Book Antiqua" w:cs="Arial"/>
        </w:rPr>
        <w:t xml:space="preserve"> fact that he is the</w:t>
      </w:r>
      <w:r w:rsidR="00107647">
        <w:rPr>
          <w:rFonts w:ascii="Book Antiqua" w:hAnsi="Book Antiqua" w:cs="Arial"/>
        </w:rPr>
        <w:t xml:space="preserve"> father of</w:t>
      </w:r>
      <w:r w:rsidR="00E16044">
        <w:rPr>
          <w:rFonts w:ascii="Book Antiqua" w:hAnsi="Book Antiqua" w:cs="Arial"/>
        </w:rPr>
        <w:t xml:space="preserve"> a British citizen child.</w:t>
      </w:r>
      <w:r w:rsidR="005D332C">
        <w:rPr>
          <w:rFonts w:ascii="Book Antiqua" w:hAnsi="Book Antiqua" w:cs="Arial"/>
        </w:rPr>
        <w:t xml:space="preserve"> </w:t>
      </w:r>
    </w:p>
    <w:p w:rsidR="00B0186D" w:rsidRPr="008B5901" w:rsidRDefault="00B0186D" w:rsidP="00B0186D">
      <w:pPr>
        <w:tabs>
          <w:tab w:val="left" w:pos="567"/>
        </w:tabs>
        <w:spacing w:before="240"/>
        <w:ind w:left="567" w:hanging="567"/>
        <w:jc w:val="both"/>
        <w:rPr>
          <w:rFonts w:ascii="Book Antiqua" w:hAnsi="Book Antiqua" w:cs="Arial"/>
        </w:rPr>
      </w:pPr>
      <w:r w:rsidRPr="008B5901">
        <w:rPr>
          <w:rFonts w:ascii="Book Antiqua" w:hAnsi="Book Antiqua" w:cs="Arial"/>
        </w:rPr>
        <w:lastRenderedPageBreak/>
        <w:t>2.</w:t>
      </w:r>
      <w:r w:rsidRPr="008B5901">
        <w:rPr>
          <w:rFonts w:ascii="Book Antiqua" w:hAnsi="Book Antiqua" w:cs="Arial"/>
        </w:rPr>
        <w:tab/>
      </w:r>
      <w:r w:rsidR="00EF7F2A">
        <w:rPr>
          <w:rFonts w:ascii="Book Antiqua" w:hAnsi="Book Antiqua" w:cs="Arial"/>
        </w:rPr>
        <w:t>The issue in this appeal, concerns</w:t>
      </w:r>
      <w:r>
        <w:rPr>
          <w:rFonts w:ascii="Book Antiqua" w:hAnsi="Book Antiqua" w:cs="Arial"/>
        </w:rPr>
        <w:t xml:space="preserve"> the judge’s assessment of the appellant’s circumstances under</w:t>
      </w:r>
      <w:r w:rsidR="00A35B6A">
        <w:rPr>
          <w:rFonts w:ascii="Book Antiqua" w:hAnsi="Book Antiqua" w:cs="Arial"/>
        </w:rPr>
        <w:t xml:space="preserve"> paragraph EX.</w:t>
      </w:r>
      <w:proofErr w:type="gramStart"/>
      <w:r w:rsidR="00EF7F2A">
        <w:rPr>
          <w:rFonts w:ascii="Book Antiqua" w:hAnsi="Book Antiqua" w:cs="Arial"/>
        </w:rPr>
        <w:t>1</w:t>
      </w:r>
      <w:r w:rsidR="00A35B6A">
        <w:rPr>
          <w:rFonts w:ascii="Book Antiqua" w:hAnsi="Book Antiqua" w:cs="Arial"/>
        </w:rPr>
        <w:t>.</w:t>
      </w:r>
      <w:r w:rsidR="00EF7F2A">
        <w:rPr>
          <w:rFonts w:ascii="Book Antiqua" w:hAnsi="Book Antiqua" w:cs="Arial"/>
        </w:rPr>
        <w:t>(</w:t>
      </w:r>
      <w:proofErr w:type="gramEnd"/>
      <w:r w:rsidR="00EF7F2A">
        <w:rPr>
          <w:rFonts w:ascii="Book Antiqua" w:hAnsi="Book Antiqua" w:cs="Arial"/>
        </w:rPr>
        <w:t>a)</w:t>
      </w:r>
      <w:r w:rsidR="00A35B6A">
        <w:rPr>
          <w:rFonts w:ascii="Book Antiqua" w:hAnsi="Book Antiqua" w:cs="Arial"/>
        </w:rPr>
        <w:t>(cc)</w:t>
      </w:r>
      <w:r w:rsidR="00B36E0F">
        <w:rPr>
          <w:rFonts w:ascii="Book Antiqua" w:hAnsi="Book Antiqua" w:cs="Arial"/>
        </w:rPr>
        <w:t xml:space="preserve"> of Appendix FM of the I</w:t>
      </w:r>
      <w:r w:rsidR="00747373">
        <w:rPr>
          <w:rFonts w:ascii="Book Antiqua" w:hAnsi="Book Antiqua" w:cs="Arial"/>
        </w:rPr>
        <w:t xml:space="preserve">mmigration Rules (“the Rules”) </w:t>
      </w:r>
      <w:r w:rsidR="00EF7F2A">
        <w:rPr>
          <w:rFonts w:ascii="Book Antiqua" w:hAnsi="Book Antiqua" w:cs="Arial"/>
        </w:rPr>
        <w:t>and</w:t>
      </w:r>
      <w:r>
        <w:rPr>
          <w:rFonts w:ascii="Book Antiqua" w:hAnsi="Book Antiqua" w:cs="Arial"/>
        </w:rPr>
        <w:t xml:space="preserve"> Article 8</w:t>
      </w:r>
      <w:r w:rsidR="00B36E0F">
        <w:rPr>
          <w:rFonts w:ascii="Book Antiqua" w:hAnsi="Book Antiqua" w:cs="Arial"/>
        </w:rPr>
        <w:t xml:space="preserve"> of the</w:t>
      </w:r>
      <w:r>
        <w:rPr>
          <w:rFonts w:ascii="Book Antiqua" w:hAnsi="Book Antiqua" w:cs="Arial"/>
        </w:rPr>
        <w:t xml:space="preserve"> ECHR outside the Rules.</w:t>
      </w:r>
    </w:p>
    <w:p w:rsidR="00B0186D" w:rsidRPr="008B5901" w:rsidRDefault="00B0186D" w:rsidP="002D0E2D">
      <w:pPr>
        <w:tabs>
          <w:tab w:val="left" w:pos="567"/>
        </w:tabs>
        <w:spacing w:before="240"/>
        <w:ind w:left="567" w:hanging="567"/>
        <w:jc w:val="both"/>
        <w:rPr>
          <w:rFonts w:ascii="Book Antiqua" w:hAnsi="Book Antiqua" w:cs="Arial"/>
        </w:rPr>
      </w:pPr>
      <w:r w:rsidRPr="008B5901">
        <w:rPr>
          <w:rFonts w:ascii="Book Antiqua" w:hAnsi="Book Antiqua" w:cs="Arial"/>
        </w:rPr>
        <w:t>3.</w:t>
      </w:r>
      <w:r w:rsidRPr="008B5901">
        <w:rPr>
          <w:rFonts w:ascii="Book Antiqua" w:hAnsi="Book Antiqua" w:cs="Arial"/>
        </w:rPr>
        <w:tab/>
      </w:r>
      <w:r w:rsidR="00A35B6A">
        <w:rPr>
          <w:rFonts w:ascii="Book Antiqua" w:hAnsi="Book Antiqua" w:cs="Arial"/>
        </w:rPr>
        <w:t>Mr Duffy</w:t>
      </w:r>
      <w:r>
        <w:rPr>
          <w:rFonts w:ascii="Book Antiqua" w:hAnsi="Book Antiqua" w:cs="Arial"/>
        </w:rPr>
        <w:t xml:space="preserve"> concedes that the judge</w:t>
      </w:r>
      <w:r w:rsidR="006461DF">
        <w:rPr>
          <w:rFonts w:ascii="Book Antiqua" w:hAnsi="Book Antiqua" w:cs="Arial"/>
        </w:rPr>
        <w:t>’s decision is legally flawed.</w:t>
      </w:r>
      <w:r>
        <w:rPr>
          <w:rFonts w:ascii="Book Antiqua" w:hAnsi="Book Antiqua" w:cs="Arial"/>
        </w:rPr>
        <w:t xml:space="preserve"> Despite noting that the appellant has a British citizen child, the judge did not apply the guidance set out in </w:t>
      </w:r>
      <w:r w:rsidRPr="002D5067">
        <w:rPr>
          <w:rFonts w:ascii="Book Antiqua" w:hAnsi="Book Antiqua" w:cs="Arial"/>
          <w:b/>
          <w:u w:val="single"/>
        </w:rPr>
        <w:t>SF and Others</w:t>
      </w:r>
      <w:r w:rsidRPr="002D5067">
        <w:rPr>
          <w:rFonts w:ascii="Book Antiqua" w:hAnsi="Book Antiqua" w:cs="Arial"/>
          <w:b/>
        </w:rPr>
        <w:t xml:space="preserve"> (Guidance, post-2014 Act) Albania [2017] UKUT 120 (IAC)</w:t>
      </w:r>
      <w:r>
        <w:rPr>
          <w:rFonts w:ascii="Book Antiqua" w:hAnsi="Book Antiqua" w:cs="Arial"/>
        </w:rPr>
        <w:t xml:space="preserve"> and</w:t>
      </w:r>
      <w:r w:rsidR="00362209">
        <w:rPr>
          <w:rFonts w:ascii="Book Antiqua" w:hAnsi="Book Antiqua" w:cs="Arial"/>
        </w:rPr>
        <w:t>,</w:t>
      </w:r>
      <w:r>
        <w:rPr>
          <w:rFonts w:ascii="Book Antiqua" w:hAnsi="Book Antiqua" w:cs="Arial"/>
        </w:rPr>
        <w:t xml:space="preserve"> wrongly concluded that it was reasonable to expect a British citizen child t</w:t>
      </w:r>
      <w:r w:rsidR="002D0E2D">
        <w:rPr>
          <w:rFonts w:ascii="Book Antiqua" w:hAnsi="Book Antiqua" w:cs="Arial"/>
        </w:rPr>
        <w:t xml:space="preserve">o leave the UK. </w:t>
      </w:r>
      <w:r>
        <w:rPr>
          <w:rFonts w:ascii="Book Antiqua" w:hAnsi="Book Antiqua" w:cs="Arial"/>
        </w:rPr>
        <w:t xml:space="preserve">The judge did seek to qualify this by adding </w:t>
      </w:r>
      <w:r w:rsidR="002D0E2D">
        <w:rPr>
          <w:rFonts w:ascii="Book Antiqua" w:hAnsi="Book Antiqua" w:cs="Arial"/>
        </w:rPr>
        <w:t>that the child as an infant</w:t>
      </w:r>
      <w:r w:rsidR="002D5067">
        <w:rPr>
          <w:rFonts w:ascii="Book Antiqua" w:hAnsi="Book Antiqua" w:cs="Arial"/>
        </w:rPr>
        <w:t xml:space="preserve"> (of 10 </w:t>
      </w:r>
      <w:r w:rsidR="00824C63">
        <w:rPr>
          <w:rFonts w:ascii="Book Antiqua" w:hAnsi="Book Antiqua" w:cs="Arial"/>
        </w:rPr>
        <w:t>months</w:t>
      </w:r>
      <w:r w:rsidR="002D5067">
        <w:rPr>
          <w:rFonts w:ascii="Book Antiqua" w:hAnsi="Book Antiqua" w:cs="Arial"/>
        </w:rPr>
        <w:t xml:space="preserve"> at the time)</w:t>
      </w:r>
      <w:r w:rsidR="002D0E2D">
        <w:rPr>
          <w:rFonts w:ascii="Book Antiqua" w:hAnsi="Book Antiqua" w:cs="Arial"/>
        </w:rPr>
        <w:t xml:space="preserve"> </w:t>
      </w:r>
      <w:r w:rsidR="00E94E58">
        <w:rPr>
          <w:rFonts w:ascii="Book Antiqua" w:hAnsi="Book Antiqua" w:cs="Arial"/>
        </w:rPr>
        <w:t xml:space="preserve">has </w:t>
      </w:r>
      <w:r w:rsidR="002D0E2D">
        <w:rPr>
          <w:rFonts w:ascii="Book Antiqua" w:hAnsi="Book Antiqua" w:cs="Arial"/>
        </w:rPr>
        <w:t>no aware</w:t>
      </w:r>
      <w:r w:rsidR="00107647">
        <w:rPr>
          <w:rFonts w:ascii="Book Antiqua" w:hAnsi="Book Antiqua" w:cs="Arial"/>
        </w:rPr>
        <w:t>ness of where she is (</w:t>
      </w:r>
      <w:r w:rsidR="00FA5C8F">
        <w:rPr>
          <w:rFonts w:ascii="Book Antiqua" w:hAnsi="Book Antiqua" w:cs="Arial"/>
        </w:rPr>
        <w:t>at [</w:t>
      </w:r>
      <w:r w:rsidR="002D0E2D">
        <w:rPr>
          <w:rFonts w:ascii="Book Antiqua" w:hAnsi="Book Antiqua" w:cs="Arial"/>
        </w:rPr>
        <w:t>20</w:t>
      </w:r>
      <w:r w:rsidR="00FA5C8F">
        <w:rPr>
          <w:rFonts w:ascii="Book Antiqua" w:hAnsi="Book Antiqua" w:cs="Arial"/>
        </w:rPr>
        <w:t>]</w:t>
      </w:r>
      <w:r>
        <w:rPr>
          <w:rFonts w:ascii="Book Antiqua" w:hAnsi="Book Antiqua" w:cs="Arial"/>
        </w:rPr>
        <w:t>), but such qualification could not redeem the fact that the judge was reversing the established principle set ou</w:t>
      </w:r>
      <w:r w:rsidR="00E94E58">
        <w:rPr>
          <w:rFonts w:ascii="Book Antiqua" w:hAnsi="Book Antiqua" w:cs="Arial"/>
        </w:rPr>
        <w:t>t in guidance</w:t>
      </w:r>
      <w:r>
        <w:rPr>
          <w:rFonts w:ascii="Book Antiqua" w:hAnsi="Book Antiqua" w:cs="Arial"/>
        </w:rPr>
        <w:t>.</w:t>
      </w:r>
      <w:r w:rsidR="002D0E2D">
        <w:rPr>
          <w:rFonts w:ascii="Book Antiqua" w:hAnsi="Book Antiqua" w:cs="Arial"/>
        </w:rPr>
        <w:t xml:space="preserve"> The error may not have been of the judge’s own making given that it is not clear whether the guidance was brought to her attention by the representatives </w:t>
      </w:r>
      <w:r w:rsidR="002D5067">
        <w:rPr>
          <w:rFonts w:ascii="Book Antiqua" w:hAnsi="Book Antiqua" w:cs="Arial"/>
        </w:rPr>
        <w:t>then</w:t>
      </w:r>
      <w:r w:rsidR="00E94E58">
        <w:rPr>
          <w:rFonts w:ascii="Book Antiqua" w:hAnsi="Book Antiqua" w:cs="Arial"/>
        </w:rPr>
        <w:t xml:space="preserve"> </w:t>
      </w:r>
      <w:r w:rsidR="002D0E2D">
        <w:rPr>
          <w:rFonts w:ascii="Book Antiqua" w:hAnsi="Book Antiqua" w:cs="Arial"/>
        </w:rPr>
        <w:t>before her. Nevertheless,</w:t>
      </w:r>
      <w:r w:rsidR="00E94E58">
        <w:rPr>
          <w:rFonts w:ascii="Book Antiqua" w:hAnsi="Book Antiqua" w:cs="Arial"/>
        </w:rPr>
        <w:t xml:space="preserve"> the failure to consider the guidance</w:t>
      </w:r>
      <w:r w:rsidR="002D0E2D">
        <w:rPr>
          <w:rFonts w:ascii="Book Antiqua" w:hAnsi="Book Antiqua" w:cs="Arial"/>
        </w:rPr>
        <w:t xml:space="preserve"> is an error all the same. </w:t>
      </w:r>
      <w:r>
        <w:rPr>
          <w:rFonts w:ascii="Book Antiqua" w:hAnsi="Book Antiqua" w:cs="Arial"/>
        </w:rPr>
        <w:t xml:space="preserve">  </w:t>
      </w:r>
    </w:p>
    <w:p w:rsidR="00B0186D" w:rsidRDefault="00B0186D" w:rsidP="002D0E2D">
      <w:pPr>
        <w:tabs>
          <w:tab w:val="left" w:pos="567"/>
        </w:tabs>
        <w:spacing w:before="240"/>
        <w:ind w:left="567" w:hanging="567"/>
        <w:jc w:val="both"/>
        <w:rPr>
          <w:rFonts w:ascii="Book Antiqua" w:hAnsi="Book Antiqua" w:cs="Arial"/>
        </w:rPr>
      </w:pPr>
      <w:r w:rsidRPr="008B5901">
        <w:rPr>
          <w:rFonts w:ascii="Book Antiqua" w:hAnsi="Book Antiqua" w:cs="Arial"/>
        </w:rPr>
        <w:t>4.</w:t>
      </w:r>
      <w:r w:rsidRPr="008B5901">
        <w:rPr>
          <w:rFonts w:ascii="Book Antiqua" w:hAnsi="Book Antiqua" w:cs="Arial"/>
        </w:rPr>
        <w:tab/>
      </w:r>
      <w:r>
        <w:rPr>
          <w:rFonts w:ascii="Book Antiqua" w:hAnsi="Book Antiqua" w:cs="Arial"/>
        </w:rPr>
        <w:t>The judge’s</w:t>
      </w:r>
      <w:r w:rsidR="002D0E2D">
        <w:rPr>
          <w:rFonts w:ascii="Book Antiqua" w:hAnsi="Book Antiqua" w:cs="Arial"/>
        </w:rPr>
        <w:t xml:space="preserve"> </w:t>
      </w:r>
      <w:r>
        <w:rPr>
          <w:rFonts w:ascii="Book Antiqua" w:hAnsi="Book Antiqua" w:cs="Arial"/>
        </w:rPr>
        <w:t xml:space="preserve">error in this regard suffices as </w:t>
      </w:r>
      <w:r w:rsidR="002D5067">
        <w:rPr>
          <w:rFonts w:ascii="Book Antiqua" w:hAnsi="Book Antiqua" w:cs="Arial"/>
        </w:rPr>
        <w:t>a reason for me to set aside her</w:t>
      </w:r>
      <w:r>
        <w:rPr>
          <w:rFonts w:ascii="Book Antiqua" w:hAnsi="Book Antiqua" w:cs="Arial"/>
        </w:rPr>
        <w:t xml:space="preserve"> decision.  </w:t>
      </w:r>
    </w:p>
    <w:p w:rsidR="00E94E58" w:rsidRDefault="00E36563" w:rsidP="00E36563">
      <w:pPr>
        <w:tabs>
          <w:tab w:val="left" w:pos="567"/>
        </w:tabs>
        <w:spacing w:before="240"/>
        <w:ind w:left="567" w:hanging="567"/>
        <w:jc w:val="both"/>
        <w:rPr>
          <w:rFonts w:ascii="Book Antiqua" w:hAnsi="Book Antiqua" w:cs="Arial"/>
          <w:b/>
          <w:u w:val="single"/>
        </w:rPr>
      </w:pPr>
      <w:r>
        <w:rPr>
          <w:rFonts w:ascii="Book Antiqua" w:hAnsi="Book Antiqua" w:cs="Arial"/>
        </w:rPr>
        <w:t>5.</w:t>
      </w:r>
      <w:r>
        <w:rPr>
          <w:rFonts w:ascii="Book Antiqua" w:hAnsi="Book Antiqua" w:cs="Arial"/>
        </w:rPr>
        <w:tab/>
      </w:r>
      <w:r w:rsidR="00E94E58">
        <w:rPr>
          <w:rFonts w:ascii="Book Antiqua" w:hAnsi="Book Antiqua" w:cs="Arial"/>
        </w:rPr>
        <w:t>The representatives agreed that no further evidence is require</w:t>
      </w:r>
      <w:r w:rsidR="002D5067">
        <w:rPr>
          <w:rFonts w:ascii="Book Antiqua" w:hAnsi="Book Antiqua" w:cs="Arial"/>
        </w:rPr>
        <w:t>d and as t</w:t>
      </w:r>
      <w:r w:rsidR="00BB6723">
        <w:rPr>
          <w:rFonts w:ascii="Book Antiqua" w:hAnsi="Book Antiqua" w:cs="Arial"/>
        </w:rPr>
        <w:t>his</w:t>
      </w:r>
      <w:r w:rsidR="00E94E58">
        <w:rPr>
          <w:rFonts w:ascii="Book Antiqua" w:hAnsi="Book Antiqua" w:cs="Arial"/>
        </w:rPr>
        <w:t xml:space="preserve"> appeal has been decided by the First-tier Tribunal</w:t>
      </w:r>
      <w:r w:rsidR="00BB6723">
        <w:rPr>
          <w:rFonts w:ascii="Book Antiqua" w:hAnsi="Book Antiqua" w:cs="Arial"/>
        </w:rPr>
        <w:t xml:space="preserve"> on two previous </w:t>
      </w:r>
      <w:r w:rsidR="002D5067">
        <w:rPr>
          <w:rFonts w:ascii="Book Antiqua" w:hAnsi="Book Antiqua" w:cs="Arial"/>
        </w:rPr>
        <w:t>occasions,</w:t>
      </w:r>
      <w:r w:rsidR="00E94E58">
        <w:rPr>
          <w:rFonts w:ascii="Book Antiqua" w:hAnsi="Book Antiqua" w:cs="Arial"/>
        </w:rPr>
        <w:t xml:space="preserve"> I consider that I should and am in a position to re-make the decision without further ado.</w:t>
      </w:r>
    </w:p>
    <w:p w:rsidR="00B0186D" w:rsidRPr="002D5067" w:rsidRDefault="00B0186D" w:rsidP="002D0E2D">
      <w:pPr>
        <w:tabs>
          <w:tab w:val="left" w:pos="567"/>
        </w:tabs>
        <w:spacing w:before="240"/>
        <w:jc w:val="both"/>
        <w:rPr>
          <w:rFonts w:ascii="Book Antiqua" w:hAnsi="Book Antiqua" w:cs="Arial"/>
          <w:b/>
          <w:u w:val="single"/>
        </w:rPr>
      </w:pPr>
      <w:r w:rsidRPr="002D5067">
        <w:rPr>
          <w:rFonts w:ascii="Book Antiqua" w:hAnsi="Book Antiqua" w:cs="Arial"/>
          <w:b/>
          <w:u w:val="single"/>
        </w:rPr>
        <w:t>Re-making of the Decision</w:t>
      </w:r>
    </w:p>
    <w:p w:rsidR="00FA215F" w:rsidRDefault="001A4FA2" w:rsidP="00107647">
      <w:pPr>
        <w:tabs>
          <w:tab w:val="left" w:pos="567"/>
        </w:tabs>
        <w:spacing w:before="240"/>
        <w:ind w:left="567" w:hanging="567"/>
        <w:jc w:val="both"/>
        <w:rPr>
          <w:rFonts w:ascii="Book Antiqua" w:hAnsi="Book Antiqua" w:cs="Arial"/>
        </w:rPr>
      </w:pPr>
      <w:r>
        <w:rPr>
          <w:rFonts w:ascii="Book Antiqua" w:hAnsi="Book Antiqua" w:cs="Arial"/>
        </w:rPr>
        <w:t>6</w:t>
      </w:r>
      <w:r w:rsidR="00B0186D" w:rsidRPr="008B5901">
        <w:rPr>
          <w:rFonts w:ascii="Book Antiqua" w:hAnsi="Book Antiqua" w:cs="Arial"/>
        </w:rPr>
        <w:t>.</w:t>
      </w:r>
      <w:r w:rsidR="00B0186D" w:rsidRPr="008B5901">
        <w:rPr>
          <w:rFonts w:ascii="Book Antiqua" w:hAnsi="Book Antiqua" w:cs="Arial"/>
        </w:rPr>
        <w:tab/>
      </w:r>
      <w:r w:rsidR="00107647">
        <w:rPr>
          <w:rFonts w:ascii="Book Antiqua" w:hAnsi="Book Antiqua" w:cs="Arial"/>
        </w:rPr>
        <w:t xml:space="preserve">The factual background is not in dispute. The material facts are as follows. </w:t>
      </w:r>
      <w:r w:rsidR="00584BFC">
        <w:rPr>
          <w:rFonts w:ascii="Book Antiqua" w:hAnsi="Book Antiqua" w:cs="Arial"/>
        </w:rPr>
        <w:t>The appellan</w:t>
      </w:r>
      <w:r w:rsidR="00D22991">
        <w:rPr>
          <w:rFonts w:ascii="Book Antiqua" w:hAnsi="Book Antiqua" w:cs="Arial"/>
        </w:rPr>
        <w:t xml:space="preserve">t has been living in the UK </w:t>
      </w:r>
      <w:r w:rsidR="00584BFC">
        <w:rPr>
          <w:rFonts w:ascii="Book Antiqua" w:hAnsi="Book Antiqua" w:cs="Arial"/>
        </w:rPr>
        <w:t xml:space="preserve">since </w:t>
      </w:r>
      <w:r w:rsidR="00762859">
        <w:rPr>
          <w:rFonts w:ascii="Book Antiqua" w:hAnsi="Book Antiqua" w:cs="Arial"/>
        </w:rPr>
        <w:t xml:space="preserve">his arrival as a visitor on </w:t>
      </w:r>
      <w:r w:rsidR="00584BFC">
        <w:rPr>
          <w:rFonts w:ascii="Book Antiqua" w:hAnsi="Book Antiqua" w:cs="Arial"/>
        </w:rPr>
        <w:t>24 A</w:t>
      </w:r>
      <w:r w:rsidR="00762859">
        <w:rPr>
          <w:rFonts w:ascii="Book Antiqua" w:hAnsi="Book Antiqua" w:cs="Arial"/>
        </w:rPr>
        <w:t xml:space="preserve">pril 2008. </w:t>
      </w:r>
      <w:r w:rsidR="00584BFC">
        <w:rPr>
          <w:rFonts w:ascii="Book Antiqua" w:hAnsi="Book Antiqua" w:cs="Arial"/>
        </w:rPr>
        <w:t>He has</w:t>
      </w:r>
      <w:r w:rsidR="00762859">
        <w:rPr>
          <w:rFonts w:ascii="Book Antiqua" w:hAnsi="Book Antiqua" w:cs="Arial"/>
        </w:rPr>
        <w:t xml:space="preserve"> been </w:t>
      </w:r>
      <w:r w:rsidR="00D22991">
        <w:rPr>
          <w:rFonts w:ascii="Book Antiqua" w:hAnsi="Book Antiqua" w:cs="Arial"/>
        </w:rPr>
        <w:t xml:space="preserve">residing here </w:t>
      </w:r>
      <w:r w:rsidR="00762859">
        <w:rPr>
          <w:rFonts w:ascii="Book Antiqua" w:hAnsi="Book Antiqua" w:cs="Arial"/>
        </w:rPr>
        <w:t>without</w:t>
      </w:r>
      <w:r w:rsidR="00584BFC">
        <w:rPr>
          <w:rFonts w:ascii="Book Antiqua" w:hAnsi="Book Antiqua" w:cs="Arial"/>
        </w:rPr>
        <w:t xml:space="preserve"> leave </w:t>
      </w:r>
      <w:r w:rsidR="00D22991">
        <w:rPr>
          <w:rFonts w:ascii="Book Antiqua" w:hAnsi="Book Antiqua" w:cs="Arial"/>
        </w:rPr>
        <w:t xml:space="preserve">to remain </w:t>
      </w:r>
      <w:r w:rsidR="00584BFC">
        <w:rPr>
          <w:rFonts w:ascii="Book Antiqua" w:hAnsi="Book Antiqua" w:cs="Arial"/>
        </w:rPr>
        <w:t xml:space="preserve">since </w:t>
      </w:r>
      <w:r w:rsidR="00BB6723">
        <w:rPr>
          <w:rFonts w:ascii="Book Antiqua" w:hAnsi="Book Antiqua" w:cs="Arial"/>
        </w:rPr>
        <w:t>15 September 2008.</w:t>
      </w:r>
      <w:r w:rsidR="00107647">
        <w:rPr>
          <w:rFonts w:ascii="Book Antiqua" w:hAnsi="Book Antiqua" w:cs="Arial"/>
        </w:rPr>
        <w:t xml:space="preserve"> </w:t>
      </w:r>
      <w:r w:rsidR="008726D9">
        <w:rPr>
          <w:rFonts w:ascii="Book Antiqua" w:hAnsi="Book Antiqua" w:cs="Arial"/>
        </w:rPr>
        <w:t>Since then h</w:t>
      </w:r>
      <w:r w:rsidR="00BB6723">
        <w:rPr>
          <w:rFonts w:ascii="Book Antiqua" w:hAnsi="Book Antiqua" w:cs="Arial"/>
        </w:rPr>
        <w:t>e</w:t>
      </w:r>
      <w:r w:rsidR="00584BFC">
        <w:rPr>
          <w:rFonts w:ascii="Book Antiqua" w:hAnsi="Book Antiqua" w:cs="Arial"/>
        </w:rPr>
        <w:t xml:space="preserve"> </w:t>
      </w:r>
      <w:r w:rsidR="00FA215F">
        <w:rPr>
          <w:rFonts w:ascii="Book Antiqua" w:hAnsi="Book Antiqua" w:cs="Arial"/>
        </w:rPr>
        <w:t xml:space="preserve">has established and </w:t>
      </w:r>
      <w:r w:rsidR="00584BFC">
        <w:rPr>
          <w:rFonts w:ascii="Book Antiqua" w:hAnsi="Book Antiqua" w:cs="Arial"/>
        </w:rPr>
        <w:t>enjoys</w:t>
      </w:r>
      <w:r w:rsidR="00FA215F">
        <w:rPr>
          <w:rFonts w:ascii="Book Antiqua" w:hAnsi="Book Antiqua" w:cs="Arial"/>
        </w:rPr>
        <w:t xml:space="preserve"> a</w:t>
      </w:r>
      <w:r w:rsidR="00584BFC">
        <w:rPr>
          <w:rFonts w:ascii="Book Antiqua" w:hAnsi="Book Antiqua" w:cs="Arial"/>
        </w:rPr>
        <w:t xml:space="preserve"> family life with his British</w:t>
      </w:r>
      <w:r w:rsidR="00762859">
        <w:rPr>
          <w:rFonts w:ascii="Book Antiqua" w:hAnsi="Book Antiqua" w:cs="Arial"/>
        </w:rPr>
        <w:t xml:space="preserve"> born</w:t>
      </w:r>
      <w:r w:rsidR="00584BFC">
        <w:rPr>
          <w:rFonts w:ascii="Book Antiqua" w:hAnsi="Book Antiqua" w:cs="Arial"/>
        </w:rPr>
        <w:t xml:space="preserve"> wife and baby daughter. His wife is expecting their second child. At the date of hearing before me she is on maternity leave with full pay earning £23,000. </w:t>
      </w:r>
      <w:r w:rsidR="00FA215F">
        <w:rPr>
          <w:rFonts w:ascii="Book Antiqua" w:hAnsi="Book Antiqua" w:cs="Arial"/>
        </w:rPr>
        <w:t xml:space="preserve">There is no dispute </w:t>
      </w:r>
      <w:r w:rsidR="008726D9">
        <w:rPr>
          <w:rFonts w:ascii="Book Antiqua" w:hAnsi="Book Antiqua" w:cs="Arial"/>
        </w:rPr>
        <w:t>that</w:t>
      </w:r>
      <w:r w:rsidR="00D22991">
        <w:rPr>
          <w:rFonts w:ascii="Book Antiqua" w:hAnsi="Book Antiqua" w:cs="Arial"/>
        </w:rPr>
        <w:t xml:space="preserve"> the</w:t>
      </w:r>
      <w:r w:rsidR="008726D9">
        <w:rPr>
          <w:rFonts w:ascii="Book Antiqua" w:hAnsi="Book Antiqua" w:cs="Arial"/>
        </w:rPr>
        <w:t xml:space="preserve"> a</w:t>
      </w:r>
      <w:r w:rsidR="00FA215F">
        <w:rPr>
          <w:rFonts w:ascii="Book Antiqua" w:hAnsi="Book Antiqua" w:cs="Arial"/>
        </w:rPr>
        <w:t>ppellant has a genuine and subsisting relationship with his wife and child.</w:t>
      </w:r>
    </w:p>
    <w:p w:rsidR="00365DE7" w:rsidRDefault="00E75B9F" w:rsidP="00E75B9F">
      <w:pPr>
        <w:tabs>
          <w:tab w:val="left" w:pos="567"/>
        </w:tabs>
        <w:spacing w:before="240"/>
        <w:ind w:left="567" w:hanging="567"/>
        <w:jc w:val="both"/>
        <w:rPr>
          <w:rFonts w:ascii="Book Antiqua" w:hAnsi="Book Antiqua" w:cs="Arial"/>
        </w:rPr>
      </w:pPr>
      <w:r>
        <w:rPr>
          <w:rFonts w:ascii="Book Antiqua" w:hAnsi="Book Antiqua" w:cs="Arial"/>
        </w:rPr>
        <w:t>7.</w:t>
      </w:r>
      <w:r>
        <w:rPr>
          <w:rFonts w:ascii="Book Antiqua" w:hAnsi="Book Antiqua" w:cs="Arial"/>
        </w:rPr>
        <w:tab/>
      </w:r>
      <w:r w:rsidR="00FA215F">
        <w:rPr>
          <w:rFonts w:ascii="Book Antiqua" w:hAnsi="Book Antiqua" w:cs="Arial"/>
        </w:rPr>
        <w:t>The appeal is not pursued before me on the basis of the appellant’s genuine and subsisting relationsh</w:t>
      </w:r>
      <w:r w:rsidR="00005F95">
        <w:rPr>
          <w:rFonts w:ascii="Book Antiqua" w:hAnsi="Book Antiqua" w:cs="Arial"/>
        </w:rPr>
        <w:t xml:space="preserve">ip with his wife under </w:t>
      </w:r>
      <w:r w:rsidR="00824C63">
        <w:rPr>
          <w:rFonts w:ascii="Book Antiqua" w:hAnsi="Book Antiqua" w:cs="Arial"/>
        </w:rPr>
        <w:t>paragraph</w:t>
      </w:r>
      <w:r w:rsidR="00FA215F">
        <w:rPr>
          <w:rFonts w:ascii="Book Antiqua" w:hAnsi="Book Antiqua" w:cs="Arial"/>
        </w:rPr>
        <w:t xml:space="preserve"> EX.</w:t>
      </w:r>
      <w:proofErr w:type="gramStart"/>
      <w:r w:rsidR="00FA215F">
        <w:rPr>
          <w:rFonts w:ascii="Book Antiqua" w:hAnsi="Book Antiqua" w:cs="Arial"/>
        </w:rPr>
        <w:t>1.(</w:t>
      </w:r>
      <w:proofErr w:type="gramEnd"/>
      <w:r w:rsidR="00FA215F">
        <w:rPr>
          <w:rFonts w:ascii="Book Antiqua" w:hAnsi="Book Antiqua" w:cs="Arial"/>
        </w:rPr>
        <w:t>b) of Appendix FM</w:t>
      </w:r>
      <w:r w:rsidR="008726D9">
        <w:rPr>
          <w:rFonts w:ascii="Book Antiqua" w:hAnsi="Book Antiqua" w:cs="Arial"/>
        </w:rPr>
        <w:t xml:space="preserve"> of the Rules</w:t>
      </w:r>
      <w:r w:rsidR="00FA215F">
        <w:rPr>
          <w:rFonts w:ascii="Book Antiqua" w:hAnsi="Book Antiqua" w:cs="Arial"/>
        </w:rPr>
        <w:t>. The representatives confined the</w:t>
      </w:r>
      <w:r w:rsidR="00137CB6">
        <w:rPr>
          <w:rFonts w:ascii="Book Antiqua" w:hAnsi="Book Antiqua" w:cs="Arial"/>
        </w:rPr>
        <w:t>ir</w:t>
      </w:r>
      <w:r w:rsidR="00FA215F">
        <w:rPr>
          <w:rFonts w:ascii="Book Antiqua" w:hAnsi="Book Antiqua" w:cs="Arial"/>
        </w:rPr>
        <w:t xml:space="preserve"> submissions to the applicability of </w:t>
      </w:r>
      <w:r w:rsidR="00824C63">
        <w:rPr>
          <w:rFonts w:ascii="Book Antiqua" w:hAnsi="Book Antiqua" w:cs="Arial"/>
        </w:rPr>
        <w:t>paragraph</w:t>
      </w:r>
      <w:r w:rsidR="00FA215F">
        <w:rPr>
          <w:rFonts w:ascii="Book Antiqua" w:hAnsi="Book Antiqua" w:cs="Arial"/>
        </w:rPr>
        <w:t xml:space="preserve"> EX.</w:t>
      </w:r>
      <w:proofErr w:type="gramStart"/>
      <w:r w:rsidR="00FA215F">
        <w:rPr>
          <w:rFonts w:ascii="Book Antiqua" w:hAnsi="Book Antiqua" w:cs="Arial"/>
        </w:rPr>
        <w:t>1.(</w:t>
      </w:r>
      <w:proofErr w:type="gramEnd"/>
      <w:r w:rsidR="00FA215F">
        <w:rPr>
          <w:rFonts w:ascii="Book Antiqua" w:hAnsi="Book Antiqua" w:cs="Arial"/>
        </w:rPr>
        <w:t>a).</w:t>
      </w:r>
      <w:r w:rsidR="008726D9">
        <w:rPr>
          <w:rFonts w:ascii="Book Antiqua" w:hAnsi="Book Antiqua" w:cs="Arial"/>
        </w:rPr>
        <w:t xml:space="preserve"> of the Rules</w:t>
      </w:r>
      <w:r w:rsidR="00137CB6">
        <w:rPr>
          <w:rFonts w:ascii="Book Antiqua" w:hAnsi="Book Antiqua" w:cs="Arial"/>
        </w:rPr>
        <w:t xml:space="preserve"> and the </w:t>
      </w:r>
      <w:r w:rsidR="008726D9">
        <w:rPr>
          <w:rFonts w:ascii="Book Antiqua" w:hAnsi="Book Antiqua" w:cs="Arial"/>
        </w:rPr>
        <w:t>r</w:t>
      </w:r>
      <w:r w:rsidR="00137CB6">
        <w:rPr>
          <w:rFonts w:ascii="Book Antiqua" w:hAnsi="Book Antiqua" w:cs="Arial"/>
        </w:rPr>
        <w:t>espondent’s guidance. No</w:t>
      </w:r>
      <w:r w:rsidR="008726D9">
        <w:rPr>
          <w:rFonts w:ascii="Book Antiqua" w:hAnsi="Book Antiqua" w:cs="Arial"/>
        </w:rPr>
        <w:t xml:space="preserve"> other matters</w:t>
      </w:r>
      <w:r w:rsidR="00137CB6">
        <w:rPr>
          <w:rFonts w:ascii="Book Antiqua" w:hAnsi="Book Antiqua" w:cs="Arial"/>
        </w:rPr>
        <w:t xml:space="preserve"> were raised as being in issue under the Rules. </w:t>
      </w:r>
      <w:r w:rsidR="00824C63">
        <w:rPr>
          <w:rFonts w:ascii="Book Antiqua" w:hAnsi="Book Antiqua" w:cs="Arial"/>
        </w:rPr>
        <w:t>Also,</w:t>
      </w:r>
      <w:r w:rsidR="008726D9">
        <w:rPr>
          <w:rFonts w:ascii="Book Antiqua" w:hAnsi="Book Antiqua" w:cs="Arial"/>
        </w:rPr>
        <w:t xml:space="preserve"> of relevance,</w:t>
      </w:r>
      <w:r w:rsidR="00134F9A">
        <w:rPr>
          <w:rFonts w:ascii="Book Antiqua" w:hAnsi="Book Antiqua" w:cs="Arial"/>
        </w:rPr>
        <w:t xml:space="preserve"> is whether the appellant is entitled to succeed under s.117</w:t>
      </w:r>
      <w:r w:rsidR="00824C63">
        <w:rPr>
          <w:rFonts w:ascii="Book Antiqua" w:hAnsi="Book Antiqua" w:cs="Arial"/>
        </w:rPr>
        <w:t>B (</w:t>
      </w:r>
      <w:r w:rsidR="00134F9A">
        <w:rPr>
          <w:rFonts w:ascii="Book Antiqua" w:hAnsi="Book Antiqua" w:cs="Arial"/>
        </w:rPr>
        <w:t>6) of the Nationality, Immigration and Asylum Act 2002</w:t>
      </w:r>
      <w:r w:rsidR="00B725BC">
        <w:rPr>
          <w:rFonts w:ascii="Book Antiqua" w:hAnsi="Book Antiqua" w:cs="Arial"/>
        </w:rPr>
        <w:t xml:space="preserve"> (“the 2002 Act”)</w:t>
      </w:r>
      <w:r w:rsidR="00134F9A">
        <w:rPr>
          <w:rFonts w:ascii="Book Antiqua" w:hAnsi="Book Antiqua" w:cs="Arial"/>
        </w:rPr>
        <w:t xml:space="preserve">. </w:t>
      </w:r>
      <w:r w:rsidR="007566A4">
        <w:rPr>
          <w:rFonts w:ascii="Book Antiqua" w:hAnsi="Book Antiqua" w:cs="Arial"/>
        </w:rPr>
        <w:t xml:space="preserve">The wording of that provision is essentially in the same form to that of </w:t>
      </w:r>
      <w:r w:rsidR="00824C63">
        <w:rPr>
          <w:rFonts w:ascii="Book Antiqua" w:hAnsi="Book Antiqua" w:cs="Arial"/>
        </w:rPr>
        <w:t>paragraph</w:t>
      </w:r>
      <w:r w:rsidR="007566A4">
        <w:rPr>
          <w:rFonts w:ascii="Book Antiqua" w:hAnsi="Book Antiqua" w:cs="Arial"/>
        </w:rPr>
        <w:t xml:space="preserve"> EX.1(a) and does not </w:t>
      </w:r>
      <w:r w:rsidR="00B725BC">
        <w:rPr>
          <w:rFonts w:ascii="Book Antiqua" w:hAnsi="Book Antiqua" w:cs="Arial"/>
        </w:rPr>
        <w:t xml:space="preserve">require separate consideration. </w:t>
      </w:r>
    </w:p>
    <w:p w:rsidR="004B1223" w:rsidRDefault="003B4ED1" w:rsidP="00E75B9F">
      <w:pPr>
        <w:tabs>
          <w:tab w:val="left" w:pos="567"/>
        </w:tabs>
        <w:spacing w:before="240"/>
        <w:ind w:left="567" w:hanging="567"/>
        <w:jc w:val="both"/>
        <w:rPr>
          <w:rFonts w:ascii="Book Antiqua" w:hAnsi="Book Antiqua" w:cs="Arial"/>
        </w:rPr>
      </w:pPr>
      <w:r>
        <w:rPr>
          <w:rFonts w:ascii="Book Antiqua" w:hAnsi="Book Antiqua" w:cs="Arial"/>
        </w:rPr>
        <w:t>8.</w:t>
      </w:r>
      <w:r>
        <w:rPr>
          <w:rFonts w:ascii="Book Antiqua" w:hAnsi="Book Antiqua" w:cs="Arial"/>
        </w:rPr>
        <w:tab/>
      </w:r>
      <w:r w:rsidR="007566A4">
        <w:rPr>
          <w:rFonts w:ascii="Book Antiqua" w:hAnsi="Book Antiqua" w:cs="Arial"/>
        </w:rPr>
        <w:t>It is not disputed t</w:t>
      </w:r>
      <w:r w:rsidR="008726D9">
        <w:rPr>
          <w:rFonts w:ascii="Book Antiqua" w:hAnsi="Book Antiqua" w:cs="Arial"/>
        </w:rPr>
        <w:t>hat, as a British citizen, the a</w:t>
      </w:r>
      <w:r w:rsidR="007566A4">
        <w:rPr>
          <w:rFonts w:ascii="Book Antiqua" w:hAnsi="Book Antiqua" w:cs="Arial"/>
        </w:rPr>
        <w:t>ppellant’s</w:t>
      </w:r>
      <w:r w:rsidR="00B725BC">
        <w:rPr>
          <w:rFonts w:ascii="Book Antiqua" w:hAnsi="Book Antiqua" w:cs="Arial"/>
        </w:rPr>
        <w:t xml:space="preserve"> child is a “qualifying child”, but what</w:t>
      </w:r>
      <w:r w:rsidR="004B1223">
        <w:rPr>
          <w:rFonts w:ascii="Book Antiqua" w:hAnsi="Book Antiqua" w:cs="Arial"/>
        </w:rPr>
        <w:t xml:space="preserve"> i</w:t>
      </w:r>
      <w:r w:rsidR="00FA215F">
        <w:rPr>
          <w:rFonts w:ascii="Book Antiqua" w:hAnsi="Book Antiqua" w:cs="Arial"/>
        </w:rPr>
        <w:t>s</w:t>
      </w:r>
      <w:r w:rsidR="00B725BC">
        <w:rPr>
          <w:rFonts w:ascii="Book Antiqua" w:hAnsi="Book Antiqua" w:cs="Arial"/>
        </w:rPr>
        <w:t xml:space="preserve"> in dispute is</w:t>
      </w:r>
      <w:r w:rsidR="00FA215F">
        <w:rPr>
          <w:rFonts w:ascii="Book Antiqua" w:hAnsi="Book Antiqua" w:cs="Arial"/>
        </w:rPr>
        <w:t xml:space="preserve"> the question of reasonableness</w:t>
      </w:r>
      <w:r w:rsidR="00B41421">
        <w:rPr>
          <w:rFonts w:ascii="Book Antiqua" w:hAnsi="Book Antiqua" w:cs="Arial"/>
        </w:rPr>
        <w:t xml:space="preserve"> and</w:t>
      </w:r>
      <w:r w:rsidR="002A4230">
        <w:rPr>
          <w:rFonts w:ascii="Book Antiqua" w:hAnsi="Book Antiqua" w:cs="Arial"/>
        </w:rPr>
        <w:t xml:space="preserve"> whether</w:t>
      </w:r>
      <w:r w:rsidR="00B41421">
        <w:rPr>
          <w:rFonts w:ascii="Book Antiqua" w:hAnsi="Book Antiqua" w:cs="Arial"/>
        </w:rPr>
        <w:t xml:space="preserve"> “it would not be reasonable to </w:t>
      </w:r>
      <w:r w:rsidR="00824C63">
        <w:rPr>
          <w:rFonts w:ascii="Book Antiqua" w:hAnsi="Book Antiqua" w:cs="Arial"/>
        </w:rPr>
        <w:t>expect</w:t>
      </w:r>
      <w:r w:rsidR="00B41421">
        <w:rPr>
          <w:rFonts w:ascii="Book Antiqua" w:hAnsi="Book Antiqua" w:cs="Arial"/>
        </w:rPr>
        <w:t xml:space="preserve"> the child to leave the United Kingdom”.</w:t>
      </w:r>
      <w:r w:rsidR="007566A4">
        <w:rPr>
          <w:rFonts w:ascii="Book Antiqua" w:hAnsi="Book Antiqua" w:cs="Arial"/>
        </w:rPr>
        <w:t xml:space="preserve"> </w:t>
      </w:r>
      <w:r w:rsidR="00FA215F">
        <w:rPr>
          <w:rFonts w:ascii="Book Antiqua" w:hAnsi="Book Antiqua" w:cs="Arial"/>
        </w:rPr>
        <w:t xml:space="preserve"> </w:t>
      </w:r>
    </w:p>
    <w:p w:rsidR="00B0186D" w:rsidRDefault="003B4ED1" w:rsidP="00E75B9F">
      <w:pPr>
        <w:tabs>
          <w:tab w:val="left" w:pos="567"/>
        </w:tabs>
        <w:spacing w:before="240"/>
        <w:ind w:left="567" w:hanging="567"/>
        <w:jc w:val="both"/>
        <w:rPr>
          <w:rFonts w:ascii="Book Antiqua" w:hAnsi="Book Antiqua" w:cs="Arial"/>
        </w:rPr>
      </w:pPr>
      <w:r>
        <w:rPr>
          <w:rFonts w:ascii="Book Antiqua" w:hAnsi="Book Antiqua" w:cs="Arial"/>
        </w:rPr>
        <w:t>9</w:t>
      </w:r>
      <w:r w:rsidR="00E75B9F">
        <w:rPr>
          <w:rFonts w:ascii="Book Antiqua" w:hAnsi="Book Antiqua" w:cs="Arial"/>
        </w:rPr>
        <w:t>.</w:t>
      </w:r>
      <w:r w:rsidR="00E75B9F">
        <w:rPr>
          <w:rFonts w:ascii="Book Antiqua" w:hAnsi="Book Antiqua" w:cs="Arial"/>
        </w:rPr>
        <w:tab/>
      </w:r>
      <w:r w:rsidR="00105A07">
        <w:rPr>
          <w:rFonts w:ascii="Book Antiqua" w:hAnsi="Book Antiqua" w:cs="Arial"/>
        </w:rPr>
        <w:t xml:space="preserve">In my consideration of the issues, </w:t>
      </w:r>
      <w:r w:rsidR="00762859">
        <w:rPr>
          <w:rFonts w:ascii="Book Antiqua" w:hAnsi="Book Antiqua" w:cs="Arial"/>
        </w:rPr>
        <w:t>Mr Duffy</w:t>
      </w:r>
      <w:r w:rsidR="00B0186D">
        <w:rPr>
          <w:rFonts w:ascii="Book Antiqua" w:hAnsi="Book Antiqua" w:cs="Arial"/>
        </w:rPr>
        <w:t xml:space="preserve"> does not dispute that it would be right for me to apply the </w:t>
      </w:r>
      <w:r w:rsidR="00FB7551">
        <w:rPr>
          <w:rFonts w:ascii="Book Antiqua" w:hAnsi="Book Antiqua" w:cs="Arial"/>
        </w:rPr>
        <w:t>respondent’s guidance but submits</w:t>
      </w:r>
      <w:r w:rsidR="00762859">
        <w:rPr>
          <w:rFonts w:ascii="Book Antiqua" w:hAnsi="Book Antiqua" w:cs="Arial"/>
        </w:rPr>
        <w:t>:</w:t>
      </w:r>
    </w:p>
    <w:p w:rsidR="00B0186D" w:rsidRDefault="00BB6723" w:rsidP="00BB6723">
      <w:pPr>
        <w:pStyle w:val="ListParagraph"/>
        <w:tabs>
          <w:tab w:val="left" w:pos="567"/>
        </w:tabs>
        <w:spacing w:before="120" w:after="120"/>
        <w:ind w:left="567"/>
        <w:jc w:val="both"/>
        <w:rPr>
          <w:rFonts w:ascii="Book Antiqua" w:hAnsi="Book Antiqua" w:cs="Arial"/>
        </w:rPr>
      </w:pPr>
      <w:r>
        <w:rPr>
          <w:rFonts w:ascii="Book Antiqua" w:hAnsi="Book Antiqua" w:cs="Arial"/>
        </w:rPr>
        <w:t xml:space="preserve">(i)      </w:t>
      </w:r>
      <w:r>
        <w:rPr>
          <w:rFonts w:ascii="Book Antiqua" w:hAnsi="Book Antiqua" w:cs="Arial"/>
        </w:rPr>
        <w:tab/>
        <w:t>T</w:t>
      </w:r>
      <w:r w:rsidR="00B0186D">
        <w:rPr>
          <w:rFonts w:ascii="Book Antiqua" w:hAnsi="Book Antiqua" w:cs="Arial"/>
        </w:rPr>
        <w:t>hat I must now apply the updated guidance dated 22 February 2018; and</w:t>
      </w:r>
    </w:p>
    <w:p w:rsidR="00B0186D" w:rsidRPr="00321D3C" w:rsidRDefault="00B0186D" w:rsidP="00B0186D">
      <w:pPr>
        <w:pStyle w:val="ListParagraph"/>
        <w:tabs>
          <w:tab w:val="left" w:pos="567"/>
        </w:tabs>
        <w:spacing w:before="120" w:after="120"/>
        <w:ind w:left="567"/>
        <w:jc w:val="both"/>
        <w:rPr>
          <w:rFonts w:ascii="Book Antiqua" w:hAnsi="Book Antiqua" w:cs="Arial"/>
          <w:sz w:val="16"/>
          <w:szCs w:val="16"/>
        </w:rPr>
      </w:pPr>
    </w:p>
    <w:p w:rsidR="00B0186D" w:rsidRPr="008B5901" w:rsidRDefault="00BB6723" w:rsidP="000827E9">
      <w:pPr>
        <w:pStyle w:val="ListParagraph"/>
        <w:tabs>
          <w:tab w:val="left" w:pos="567"/>
        </w:tabs>
        <w:spacing w:before="120" w:after="120"/>
        <w:ind w:left="1440" w:hanging="1440"/>
        <w:jc w:val="both"/>
        <w:rPr>
          <w:rFonts w:ascii="Book Antiqua" w:hAnsi="Book Antiqua" w:cs="Arial"/>
        </w:rPr>
      </w:pPr>
      <w:r>
        <w:rPr>
          <w:rFonts w:ascii="Book Antiqua" w:hAnsi="Book Antiqua" w:cs="Arial"/>
        </w:rPr>
        <w:lastRenderedPageBreak/>
        <w:t xml:space="preserve">         (ii)    </w:t>
      </w:r>
      <w:r>
        <w:rPr>
          <w:rFonts w:ascii="Book Antiqua" w:hAnsi="Book Antiqua" w:cs="Arial"/>
        </w:rPr>
        <w:tab/>
        <w:t>C</w:t>
      </w:r>
      <w:r w:rsidR="00762859">
        <w:rPr>
          <w:rFonts w:ascii="Book Antiqua" w:hAnsi="Book Antiqua" w:cs="Arial"/>
        </w:rPr>
        <w:t xml:space="preserve">onsider whether it is proportionate to expect the appellant to leave and make an application to </w:t>
      </w:r>
      <w:r w:rsidR="00824C63">
        <w:rPr>
          <w:rFonts w:ascii="Book Antiqua" w:hAnsi="Book Antiqua" w:cs="Arial"/>
        </w:rPr>
        <w:t>re-join</w:t>
      </w:r>
      <w:r w:rsidR="00762859">
        <w:rPr>
          <w:rFonts w:ascii="Book Antiqua" w:hAnsi="Book Antiqua" w:cs="Arial"/>
        </w:rPr>
        <w:t xml:space="preserve"> h</w:t>
      </w:r>
      <w:r w:rsidR="00FB7551">
        <w:rPr>
          <w:rFonts w:ascii="Book Antiqua" w:hAnsi="Book Antiqua" w:cs="Arial"/>
        </w:rPr>
        <w:t>is wife and child in the UK</w:t>
      </w:r>
      <w:r w:rsidR="00E94E58">
        <w:rPr>
          <w:rFonts w:ascii="Book Antiqua" w:hAnsi="Book Antiqua" w:cs="Arial"/>
        </w:rPr>
        <w:t>, this being a further issue that secured the appellant permission to appeal</w:t>
      </w:r>
      <w:r w:rsidR="00762859">
        <w:rPr>
          <w:rFonts w:ascii="Book Antiqua" w:hAnsi="Book Antiqua" w:cs="Arial"/>
        </w:rPr>
        <w:t>.</w:t>
      </w:r>
      <w:r w:rsidR="000827E9">
        <w:rPr>
          <w:rFonts w:ascii="Book Antiqua" w:hAnsi="Book Antiqua" w:cs="Arial"/>
        </w:rPr>
        <w:t xml:space="preserve">  </w:t>
      </w:r>
    </w:p>
    <w:p w:rsidR="00345903" w:rsidRDefault="003B4ED1" w:rsidP="00B0186D">
      <w:pPr>
        <w:tabs>
          <w:tab w:val="left" w:pos="567"/>
        </w:tabs>
        <w:spacing w:before="240"/>
        <w:ind w:left="567" w:hanging="567"/>
        <w:jc w:val="both"/>
        <w:rPr>
          <w:rFonts w:ascii="Book Antiqua" w:hAnsi="Book Antiqua" w:cs="Arial"/>
        </w:rPr>
      </w:pPr>
      <w:r>
        <w:rPr>
          <w:rFonts w:ascii="Book Antiqua" w:hAnsi="Book Antiqua" w:cs="Arial"/>
        </w:rPr>
        <w:t>10</w:t>
      </w:r>
      <w:r w:rsidR="00B0186D" w:rsidRPr="008B5901">
        <w:rPr>
          <w:rFonts w:ascii="Book Antiqua" w:hAnsi="Book Antiqua" w:cs="Arial"/>
        </w:rPr>
        <w:t>.</w:t>
      </w:r>
      <w:r w:rsidR="00B0186D" w:rsidRPr="008B5901">
        <w:rPr>
          <w:rFonts w:ascii="Book Antiqua" w:hAnsi="Book Antiqua" w:cs="Arial"/>
        </w:rPr>
        <w:tab/>
      </w:r>
      <w:r w:rsidR="00345903">
        <w:rPr>
          <w:rFonts w:ascii="Book Antiqua" w:hAnsi="Book Antiqua" w:cs="Arial"/>
        </w:rPr>
        <w:t xml:space="preserve">Mr Aitken did not dissent. </w:t>
      </w:r>
    </w:p>
    <w:p w:rsidR="00837EC5" w:rsidRDefault="003B4ED1" w:rsidP="00E75B9F">
      <w:pPr>
        <w:tabs>
          <w:tab w:val="left" w:pos="567"/>
        </w:tabs>
        <w:spacing w:before="240"/>
        <w:ind w:left="567" w:hanging="567"/>
        <w:jc w:val="both"/>
        <w:rPr>
          <w:rFonts w:ascii="Book Antiqua" w:hAnsi="Book Antiqua" w:cs="Arial"/>
        </w:rPr>
      </w:pPr>
      <w:r>
        <w:rPr>
          <w:rFonts w:ascii="Book Antiqua" w:hAnsi="Book Antiqua" w:cs="Arial"/>
        </w:rPr>
        <w:t>11</w:t>
      </w:r>
      <w:r w:rsidR="00E75B9F">
        <w:rPr>
          <w:rFonts w:ascii="Book Antiqua" w:hAnsi="Book Antiqua" w:cs="Arial"/>
        </w:rPr>
        <w:t>.</w:t>
      </w:r>
      <w:r w:rsidR="00E75B9F">
        <w:rPr>
          <w:rFonts w:ascii="Book Antiqua" w:hAnsi="Book Antiqua" w:cs="Arial"/>
        </w:rPr>
        <w:tab/>
      </w:r>
      <w:r w:rsidR="00837EC5">
        <w:rPr>
          <w:rFonts w:ascii="Book Antiqua" w:hAnsi="Book Antiqua" w:cs="Arial"/>
        </w:rPr>
        <w:t xml:space="preserve">Mr Duffy submitted that this case fell into the </w:t>
      </w:r>
      <w:r w:rsidR="00824C63">
        <w:rPr>
          <w:rFonts w:ascii="Book Antiqua" w:hAnsi="Book Antiqua" w:cs="Arial"/>
        </w:rPr>
        <w:t>category</w:t>
      </w:r>
      <w:r w:rsidR="00837EC5">
        <w:rPr>
          <w:rFonts w:ascii="Book Antiqua" w:hAnsi="Book Antiqua" w:cs="Arial"/>
        </w:rPr>
        <w:t xml:space="preserve"> of cases where it would be reasonable to require the appellant to leave the UK</w:t>
      </w:r>
      <w:r w:rsidR="00105A07">
        <w:rPr>
          <w:rFonts w:ascii="Book Antiqua" w:hAnsi="Book Antiqua" w:cs="Arial"/>
        </w:rPr>
        <w:t>,</w:t>
      </w:r>
      <w:r w:rsidR="00837EC5">
        <w:rPr>
          <w:rFonts w:ascii="Book Antiqua" w:hAnsi="Book Antiqua" w:cs="Arial"/>
        </w:rPr>
        <w:t xml:space="preserve"> without the qualifying child</w:t>
      </w:r>
      <w:r w:rsidR="00105A07">
        <w:rPr>
          <w:rFonts w:ascii="Book Antiqua" w:hAnsi="Book Antiqua" w:cs="Arial"/>
        </w:rPr>
        <w:t>,</w:t>
      </w:r>
      <w:r w:rsidR="00837EC5">
        <w:rPr>
          <w:rFonts w:ascii="Book Antiqua" w:hAnsi="Book Antiqua" w:cs="Arial"/>
        </w:rPr>
        <w:t xml:space="preserve"> in light of his poor immigration history and make an application for entry clearance to re-join his wife and child in the UK. That submission requires some further elaboration with reference to the guidance and law.</w:t>
      </w:r>
    </w:p>
    <w:p w:rsidR="00A633E8" w:rsidRPr="00837EC5" w:rsidRDefault="003B4ED1" w:rsidP="00837EC5">
      <w:pPr>
        <w:tabs>
          <w:tab w:val="left" w:pos="567"/>
        </w:tabs>
        <w:spacing w:before="240"/>
        <w:ind w:left="567" w:hanging="567"/>
        <w:jc w:val="both"/>
        <w:rPr>
          <w:rFonts w:ascii="Book Antiqua" w:hAnsi="Book Antiqua" w:cs="Arial"/>
        </w:rPr>
      </w:pPr>
      <w:r>
        <w:rPr>
          <w:rFonts w:ascii="Book Antiqua" w:hAnsi="Book Antiqua" w:cs="Arial"/>
        </w:rPr>
        <w:t>12</w:t>
      </w:r>
      <w:r w:rsidR="00E75B9F">
        <w:rPr>
          <w:rFonts w:ascii="Book Antiqua" w:hAnsi="Book Antiqua" w:cs="Arial"/>
        </w:rPr>
        <w:t>.</w:t>
      </w:r>
      <w:r w:rsidR="00E75B9F">
        <w:rPr>
          <w:rFonts w:ascii="Book Antiqua" w:hAnsi="Book Antiqua" w:cs="Arial"/>
        </w:rPr>
        <w:tab/>
      </w:r>
      <w:r w:rsidR="000827E9">
        <w:rPr>
          <w:rFonts w:ascii="Book Antiqua" w:hAnsi="Book Antiqua" w:cs="Arial"/>
        </w:rPr>
        <w:t>The respondent</w:t>
      </w:r>
      <w:r w:rsidR="008726D9">
        <w:rPr>
          <w:rFonts w:ascii="Book Antiqua" w:hAnsi="Book Antiqua" w:cs="Arial"/>
        </w:rPr>
        <w:t>’</w:t>
      </w:r>
      <w:r w:rsidR="000827E9">
        <w:rPr>
          <w:rFonts w:ascii="Book Antiqua" w:hAnsi="Book Antiqua" w:cs="Arial"/>
        </w:rPr>
        <w:t>s most</w:t>
      </w:r>
      <w:r w:rsidR="00144FC5">
        <w:rPr>
          <w:rFonts w:ascii="Book Antiqua" w:hAnsi="Book Antiqua" w:cs="Arial"/>
        </w:rPr>
        <w:t xml:space="preserve"> recent guidance</w:t>
      </w:r>
      <w:r w:rsidR="00A633E8">
        <w:rPr>
          <w:rFonts w:ascii="Book Antiqua" w:hAnsi="Book Antiqua" w:cs="Arial"/>
        </w:rPr>
        <w:t xml:space="preserve"> is set out in his</w:t>
      </w:r>
      <w:r w:rsidR="000827E9">
        <w:rPr>
          <w:rFonts w:ascii="Book Antiqua" w:hAnsi="Book Antiqua" w:cs="Arial"/>
        </w:rPr>
        <w:t xml:space="preserve"> policy document</w:t>
      </w:r>
      <w:r w:rsidR="00144FC5">
        <w:rPr>
          <w:rFonts w:ascii="Book Antiqua" w:hAnsi="Book Antiqua" w:cs="Arial"/>
        </w:rPr>
        <w:t>, “</w:t>
      </w:r>
      <w:r w:rsidR="00144FC5" w:rsidRPr="00851B59">
        <w:rPr>
          <w:rFonts w:ascii="Book Antiqua" w:hAnsi="Book Antiqua" w:cs="Arial"/>
          <w:i/>
        </w:rPr>
        <w:t>Family Migration: Appendix FM Section 1.0b, Family Life (as a Partner or Parent) and Private Life: 10-Year Routes</w:t>
      </w:r>
      <w:r w:rsidR="00FB7551">
        <w:rPr>
          <w:rFonts w:ascii="Book Antiqua" w:hAnsi="Book Antiqua" w:cs="Arial"/>
        </w:rPr>
        <w:t xml:space="preserve">” (22 February 2018). </w:t>
      </w:r>
      <w:r w:rsidR="00A633E8">
        <w:rPr>
          <w:rFonts w:ascii="Book Antiqua" w:hAnsi="Book Antiqua" w:cs="Arial"/>
        </w:rPr>
        <w:t>Mr Duffy</w:t>
      </w:r>
      <w:r w:rsidR="00A633E8" w:rsidRPr="001E6C64">
        <w:rPr>
          <w:rFonts w:ascii="Book Antiqua" w:hAnsi="Book Antiqua" w:cs="Arial"/>
        </w:rPr>
        <w:t xml:space="preserve"> directed</w:t>
      </w:r>
      <w:r w:rsidR="00A633E8">
        <w:rPr>
          <w:rFonts w:ascii="Book Antiqua" w:hAnsi="Book Antiqua" w:cs="Arial"/>
        </w:rPr>
        <w:t xml:space="preserve"> my attention</w:t>
      </w:r>
      <w:r w:rsidR="00012614">
        <w:rPr>
          <w:rFonts w:ascii="Book Antiqua" w:hAnsi="Book Antiqua" w:cs="Arial"/>
        </w:rPr>
        <w:t xml:space="preserve"> to the consideration</w:t>
      </w:r>
      <w:r w:rsidR="00A633E8">
        <w:rPr>
          <w:rFonts w:ascii="Book Antiqua" w:hAnsi="Book Antiqua" w:cs="Arial"/>
        </w:rPr>
        <w:t xml:space="preserve"> of reasonableness in the </w:t>
      </w:r>
      <w:r w:rsidR="00A633E8" w:rsidRPr="001E6C64">
        <w:rPr>
          <w:rFonts w:ascii="Book Antiqua" w:hAnsi="Book Antiqua" w:cs="Arial"/>
        </w:rPr>
        <w:t xml:space="preserve">section headed </w:t>
      </w:r>
      <w:r w:rsidR="00A633E8" w:rsidRPr="001E6C64">
        <w:rPr>
          <w:rFonts w:ascii="Book Antiqua" w:hAnsi="Book Antiqua" w:cs="Arial"/>
          <w:u w:val="single"/>
        </w:rPr>
        <w:t>“EX.1.</w:t>
      </w:r>
      <w:r w:rsidR="00A633E8">
        <w:rPr>
          <w:rFonts w:ascii="Book Antiqua" w:hAnsi="Book Antiqua" w:cs="Arial"/>
          <w:u w:val="single"/>
        </w:rPr>
        <w:t xml:space="preserve"> </w:t>
      </w:r>
      <w:r w:rsidR="00A633E8" w:rsidRPr="001E6C64">
        <w:rPr>
          <w:rFonts w:ascii="Book Antiqua" w:hAnsi="Book Antiqua" w:cs="Arial"/>
          <w:u w:val="single"/>
        </w:rPr>
        <w:t>(a) – Reasonable to expect</w:t>
      </w:r>
      <w:r w:rsidR="00675070">
        <w:rPr>
          <w:rFonts w:ascii="Book Antiqua" w:hAnsi="Book Antiqua" w:cs="Arial"/>
          <w:u w:val="single"/>
        </w:rPr>
        <w:t>”</w:t>
      </w:r>
      <w:r w:rsidR="00105A07">
        <w:rPr>
          <w:rFonts w:ascii="Book Antiqua" w:hAnsi="Book Antiqua" w:cs="Arial"/>
        </w:rPr>
        <w:t xml:space="preserve"> (page 35</w:t>
      </w:r>
      <w:r w:rsidR="00A633E8" w:rsidRPr="001E6C64">
        <w:rPr>
          <w:rFonts w:ascii="Book Antiqua" w:hAnsi="Book Antiqua" w:cs="Arial"/>
        </w:rPr>
        <w:t>) which it is said applies equally to the position under Section 117B</w:t>
      </w:r>
      <w:r w:rsidR="00A633E8">
        <w:rPr>
          <w:rFonts w:ascii="Book Antiqua" w:hAnsi="Book Antiqua" w:cs="Arial"/>
        </w:rPr>
        <w:t xml:space="preserve"> </w:t>
      </w:r>
      <w:r w:rsidR="00A633E8" w:rsidRPr="001E6C64">
        <w:rPr>
          <w:rFonts w:ascii="Book Antiqua" w:hAnsi="Book Antiqua" w:cs="Arial"/>
        </w:rPr>
        <w:t>(6)</w:t>
      </w:r>
      <w:r w:rsidR="00012614">
        <w:rPr>
          <w:rFonts w:ascii="Book Antiqua" w:hAnsi="Book Antiqua" w:cs="Arial"/>
        </w:rPr>
        <w:t xml:space="preserve"> of the 2002 Act</w:t>
      </w:r>
      <w:r w:rsidR="00A633E8" w:rsidRPr="001E6C64">
        <w:rPr>
          <w:rFonts w:ascii="Book Antiqua" w:hAnsi="Book Antiqua" w:cs="Arial"/>
        </w:rPr>
        <w:t xml:space="preserve">.  </w:t>
      </w:r>
      <w:r w:rsidR="00A633E8">
        <w:rPr>
          <w:rFonts w:ascii="Book Antiqua" w:hAnsi="Book Antiqua" w:cs="Arial"/>
        </w:rPr>
        <w:t>That reads as follows:</w:t>
      </w:r>
    </w:p>
    <w:p w:rsidR="00A633E8" w:rsidRPr="001E6C64" w:rsidRDefault="00A633E8" w:rsidP="00A633E8">
      <w:pPr>
        <w:tabs>
          <w:tab w:val="left" w:pos="567"/>
        </w:tabs>
        <w:spacing w:before="120" w:after="120"/>
        <w:ind w:left="1440"/>
        <w:jc w:val="both"/>
        <w:rPr>
          <w:rFonts w:ascii="Book Antiqua" w:hAnsi="Book Antiqua" w:cs="Arial"/>
          <w:b/>
          <w:sz w:val="22"/>
          <w:szCs w:val="22"/>
          <w:u w:val="single"/>
        </w:rPr>
      </w:pPr>
      <w:r>
        <w:rPr>
          <w:rFonts w:ascii="Book Antiqua" w:hAnsi="Book Antiqua" w:cs="Arial"/>
          <w:sz w:val="22"/>
          <w:szCs w:val="22"/>
        </w:rPr>
        <w:t xml:space="preserve">“First, the decision maker must assess whether refusal of the application will mean that the child will have to leave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xml:space="preserve"> or is likely to have to do so. Where the decision maker decides that the answer to this first stage is yes, then they must go on to consider secondly, whether, taking into account their best interests as a primary consideration, it is reasonable to expect the child to leave the UK…”</w:t>
      </w:r>
    </w:p>
    <w:p w:rsidR="00A633E8" w:rsidRPr="001E6C64" w:rsidRDefault="003B4ED1" w:rsidP="003B4ED1">
      <w:pPr>
        <w:tabs>
          <w:tab w:val="left" w:pos="567"/>
        </w:tabs>
        <w:ind w:left="567" w:hanging="567"/>
        <w:jc w:val="both"/>
        <w:rPr>
          <w:rFonts w:ascii="Book Antiqua" w:hAnsi="Book Antiqua" w:cs="Arial"/>
          <w:b/>
          <w:u w:val="single"/>
        </w:rPr>
      </w:pPr>
      <w:r>
        <w:rPr>
          <w:rFonts w:ascii="Book Antiqua" w:hAnsi="Book Antiqua" w:cs="Arial"/>
        </w:rPr>
        <w:t>13</w:t>
      </w:r>
      <w:r w:rsidR="00A84274">
        <w:rPr>
          <w:rFonts w:ascii="Book Antiqua" w:hAnsi="Book Antiqua" w:cs="Arial"/>
        </w:rPr>
        <w:t>.</w:t>
      </w:r>
      <w:r w:rsidR="00A84274">
        <w:rPr>
          <w:rFonts w:ascii="Book Antiqua" w:hAnsi="Book Antiqua" w:cs="Arial"/>
        </w:rPr>
        <w:tab/>
      </w:r>
      <w:r w:rsidR="00A633E8" w:rsidRPr="001E6C64">
        <w:rPr>
          <w:rFonts w:ascii="Book Antiqua" w:hAnsi="Book Antiqua" w:cs="Arial"/>
        </w:rPr>
        <w:t xml:space="preserve">That interpretation of the provision whether it is reasonable to expect </w:t>
      </w:r>
      <w:r w:rsidR="00A633E8">
        <w:rPr>
          <w:rFonts w:ascii="Book Antiqua" w:hAnsi="Book Antiqua" w:cs="Arial"/>
        </w:rPr>
        <w:t xml:space="preserve">the child to leave </w:t>
      </w:r>
      <w:r w:rsidR="00A633E8" w:rsidRPr="001E6C64">
        <w:rPr>
          <w:rFonts w:ascii="Book Antiqua" w:hAnsi="Book Antiqua" w:cs="Arial"/>
        </w:rPr>
        <w:t>also</w:t>
      </w:r>
      <w:r w:rsidR="00105A07">
        <w:rPr>
          <w:rFonts w:ascii="Book Antiqua" w:hAnsi="Book Antiqua" w:cs="Arial"/>
        </w:rPr>
        <w:t xml:space="preserve"> appears in the section of the g</w:t>
      </w:r>
      <w:r w:rsidR="00A633E8" w:rsidRPr="001E6C64">
        <w:rPr>
          <w:rFonts w:ascii="Book Antiqua" w:hAnsi="Book Antiqua" w:cs="Arial"/>
        </w:rPr>
        <w:t xml:space="preserve">uidance which is headed </w:t>
      </w:r>
      <w:r w:rsidR="00A633E8" w:rsidRPr="001E6C64">
        <w:rPr>
          <w:rFonts w:ascii="Book Antiqua" w:hAnsi="Book Antiqua" w:cs="Arial"/>
          <w:u w:val="single"/>
        </w:rPr>
        <w:t>“Reasonable to expect a child to leave the UK?</w:t>
      </w:r>
      <w:r w:rsidR="00A633E8" w:rsidRPr="001E6C64">
        <w:rPr>
          <w:rFonts w:ascii="Book Antiqua" w:hAnsi="Book Antiqua" w:cs="Arial"/>
        </w:rPr>
        <w:t xml:space="preserve">” </w:t>
      </w:r>
      <w:r w:rsidR="00105A07">
        <w:rPr>
          <w:rFonts w:ascii="Book Antiqua" w:hAnsi="Book Antiqua" w:cs="Arial"/>
        </w:rPr>
        <w:t>(</w:t>
      </w:r>
      <w:r w:rsidR="00A633E8" w:rsidRPr="001E6C64">
        <w:rPr>
          <w:rFonts w:ascii="Book Antiqua" w:hAnsi="Book Antiqua" w:cs="Arial"/>
        </w:rPr>
        <w:t>page 74 onwards</w:t>
      </w:r>
      <w:r w:rsidR="00105A07">
        <w:rPr>
          <w:rFonts w:ascii="Book Antiqua" w:hAnsi="Book Antiqua" w:cs="Arial"/>
        </w:rPr>
        <w:t>)</w:t>
      </w:r>
      <w:r w:rsidR="00A633E8">
        <w:rPr>
          <w:rFonts w:ascii="Book Antiqua" w:hAnsi="Book Antiqua" w:cs="Arial"/>
        </w:rPr>
        <w:t xml:space="preserve">. </w:t>
      </w:r>
      <w:r w:rsidR="00A633E8" w:rsidRPr="001E6C64">
        <w:rPr>
          <w:rFonts w:ascii="Book Antiqua" w:hAnsi="Book Antiqua" w:cs="Arial"/>
        </w:rPr>
        <w:t xml:space="preserve">That begins with the following </w:t>
      </w:r>
      <w:proofErr w:type="gramStart"/>
      <w:r w:rsidR="00A633E8" w:rsidRPr="001E6C64">
        <w:rPr>
          <w:rFonts w:ascii="Book Antiqua" w:hAnsi="Book Antiqua" w:cs="Arial"/>
        </w:rPr>
        <w:t>statement</w:t>
      </w:r>
      <w:r w:rsidR="00A633E8">
        <w:rPr>
          <w:rFonts w:ascii="Book Antiqua" w:hAnsi="Book Antiqua" w:cs="Arial"/>
        </w:rPr>
        <w:t xml:space="preserve"> </w:t>
      </w:r>
      <w:r w:rsidR="00A633E8" w:rsidRPr="001E6C64">
        <w:rPr>
          <w:rFonts w:ascii="Book Antiqua" w:hAnsi="Book Antiqua" w:cs="Arial"/>
        </w:rPr>
        <w:t>:</w:t>
      </w:r>
      <w:proofErr w:type="gramEnd"/>
    </w:p>
    <w:p w:rsidR="00A84274" w:rsidRDefault="00A633E8" w:rsidP="00A84274">
      <w:pPr>
        <w:spacing w:before="120" w:after="120"/>
        <w:ind w:left="1440"/>
        <w:jc w:val="both"/>
        <w:rPr>
          <w:rFonts w:ascii="Book Antiqua" w:hAnsi="Book Antiqua" w:cs="Arial"/>
          <w:b/>
          <w:sz w:val="22"/>
          <w:szCs w:val="22"/>
          <w:u w:val="single"/>
        </w:rPr>
      </w:pPr>
      <w:r>
        <w:rPr>
          <w:rFonts w:ascii="Book Antiqua" w:hAnsi="Book Antiqua" w:cs="Arial"/>
          <w:sz w:val="22"/>
          <w:szCs w:val="22"/>
        </w:rPr>
        <w:t xml:space="preserve">“If the effect of the refusal of the application would be, or is likely to be, that the child would have to leave the </w:t>
      </w:r>
      <w:smartTag w:uri="urn:schemas-microsoft-com:office:smarttags" w:element="country-region">
        <w:r>
          <w:rPr>
            <w:rFonts w:ascii="Book Antiqua" w:hAnsi="Book Antiqua" w:cs="Arial"/>
            <w:sz w:val="22"/>
            <w:szCs w:val="22"/>
          </w:rPr>
          <w:t>UK</w:t>
        </w:r>
      </w:smartTag>
      <w:r>
        <w:rPr>
          <w:rFonts w:ascii="Book Antiqua" w:hAnsi="Book Antiqua" w:cs="Arial"/>
          <w:sz w:val="22"/>
          <w:szCs w:val="22"/>
        </w:rPr>
        <w:t xml:space="preserve">, the decision maker must go on to consider whether it would be reasonable to expect the child to leave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w:t>
      </w:r>
    </w:p>
    <w:p w:rsidR="00A633E8" w:rsidRPr="00A84274" w:rsidRDefault="003B4ED1" w:rsidP="00A84274">
      <w:pPr>
        <w:spacing w:before="120" w:after="120"/>
        <w:jc w:val="both"/>
        <w:rPr>
          <w:rFonts w:ascii="Book Antiqua" w:hAnsi="Book Antiqua" w:cs="Arial"/>
          <w:b/>
          <w:sz w:val="22"/>
          <w:szCs w:val="22"/>
          <w:u w:val="single"/>
        </w:rPr>
      </w:pPr>
      <w:r>
        <w:rPr>
          <w:rFonts w:ascii="Book Antiqua" w:hAnsi="Book Antiqua" w:cs="Arial"/>
          <w:sz w:val="22"/>
          <w:szCs w:val="22"/>
        </w:rPr>
        <w:t>14</w:t>
      </w:r>
      <w:r w:rsidR="00A84274">
        <w:rPr>
          <w:rFonts w:ascii="Book Antiqua" w:hAnsi="Book Antiqua" w:cs="Arial"/>
          <w:sz w:val="22"/>
          <w:szCs w:val="22"/>
        </w:rPr>
        <w:t>.</w:t>
      </w:r>
      <w:r w:rsidR="00A84274">
        <w:rPr>
          <w:rFonts w:ascii="Book Antiqua" w:hAnsi="Book Antiqua" w:cs="Arial"/>
          <w:sz w:val="22"/>
          <w:szCs w:val="22"/>
        </w:rPr>
        <w:tab/>
      </w:r>
      <w:r w:rsidR="00492271">
        <w:rPr>
          <w:rFonts w:ascii="Book Antiqua" w:hAnsi="Book Antiqua" w:cs="Arial"/>
        </w:rPr>
        <w:t>The g</w:t>
      </w:r>
      <w:r w:rsidR="00A633E8">
        <w:rPr>
          <w:rFonts w:ascii="Book Antiqua" w:hAnsi="Book Antiqua" w:cs="Arial"/>
        </w:rPr>
        <w:t>uidance then goes on to say this ([p76]):</w:t>
      </w:r>
    </w:p>
    <w:p w:rsidR="00A633E8" w:rsidRDefault="00A633E8" w:rsidP="00A633E8">
      <w:pPr>
        <w:spacing w:before="120" w:after="120"/>
        <w:ind w:left="1134" w:firstLine="306"/>
        <w:jc w:val="both"/>
        <w:rPr>
          <w:rFonts w:ascii="Book Antiqua" w:hAnsi="Book Antiqua" w:cs="Arial"/>
          <w:b/>
          <w:sz w:val="22"/>
          <w:szCs w:val="22"/>
        </w:rPr>
      </w:pPr>
      <w:r>
        <w:rPr>
          <w:rFonts w:ascii="Book Antiqua" w:hAnsi="Book Antiqua" w:cs="Arial"/>
          <w:b/>
          <w:sz w:val="22"/>
          <w:szCs w:val="22"/>
        </w:rPr>
        <w:t>“Where the child is a British citizen</w:t>
      </w:r>
    </w:p>
    <w:p w:rsidR="00A633E8" w:rsidRDefault="00A633E8" w:rsidP="00A633E8">
      <w:pPr>
        <w:spacing w:before="120" w:after="120"/>
        <w:ind w:left="1440"/>
        <w:jc w:val="both"/>
        <w:rPr>
          <w:rFonts w:ascii="Book Antiqua" w:hAnsi="Book Antiqua" w:cs="Arial"/>
          <w:sz w:val="22"/>
          <w:szCs w:val="22"/>
        </w:rPr>
      </w:pPr>
      <w:r>
        <w:rPr>
          <w:rFonts w:ascii="Book Antiqua" w:hAnsi="Book Antiqua" w:cs="Arial"/>
          <w:sz w:val="22"/>
          <w:szCs w:val="22"/>
        </w:rPr>
        <w:t xml:space="preserve">Where the child is a British citizen, it will not be reasonable to expect them to leave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xml:space="preserve"> with the applicant parent or</w:t>
      </w:r>
      <w:r w:rsidR="00065C35">
        <w:rPr>
          <w:rFonts w:ascii="Book Antiqua" w:hAnsi="Book Antiqua" w:cs="Arial"/>
          <w:sz w:val="22"/>
          <w:szCs w:val="22"/>
        </w:rPr>
        <w:t xml:space="preserve"> primary carer facing removal. </w:t>
      </w:r>
      <w:r>
        <w:rPr>
          <w:rFonts w:ascii="Book Antiqua" w:hAnsi="Book Antiqua" w:cs="Arial"/>
          <w:sz w:val="22"/>
          <w:szCs w:val="22"/>
        </w:rPr>
        <w:t>Accordingly, where this means that the child would have to leave to the UK because, in practice, the child will not, or is not likely to continue to live in the UK with another parent or primary carer, EX.1(a) is likely to apply.</w:t>
      </w:r>
    </w:p>
    <w:p w:rsidR="00A633E8" w:rsidRPr="00382DB1" w:rsidRDefault="00A633E8" w:rsidP="00A633E8">
      <w:pPr>
        <w:spacing w:before="120" w:after="120"/>
        <w:ind w:left="1440"/>
        <w:jc w:val="both"/>
        <w:rPr>
          <w:rFonts w:ascii="Book Antiqua" w:hAnsi="Book Antiqua" w:cs="Arial"/>
          <w:sz w:val="22"/>
          <w:szCs w:val="22"/>
          <w:u w:val="single"/>
        </w:rPr>
      </w:pPr>
      <w:r>
        <w:rPr>
          <w:rFonts w:ascii="Book Antiqua" w:hAnsi="Book Antiqua" w:cs="Arial"/>
          <w:sz w:val="22"/>
          <w:szCs w:val="22"/>
        </w:rPr>
        <w:t xml:space="preserve">In particular circumstances it may be appropriate to refuse to grant leave to a parent or primary carer where their conduct gives rise to public interest considerations of such weight as to justify their removal, where the British citizen child could remain in the UK with another parent or alternative primary carer, who is a British citizen or settled in the UK or who has or is </w:t>
      </w:r>
      <w:r w:rsidR="00105A07">
        <w:rPr>
          <w:rFonts w:ascii="Book Antiqua" w:hAnsi="Book Antiqua" w:cs="Arial"/>
          <w:sz w:val="22"/>
          <w:szCs w:val="22"/>
        </w:rPr>
        <w:t xml:space="preserve">being granted leave to remain. </w:t>
      </w:r>
      <w:r>
        <w:rPr>
          <w:rFonts w:ascii="Book Antiqua" w:hAnsi="Book Antiqua" w:cs="Arial"/>
          <w:sz w:val="22"/>
          <w:szCs w:val="22"/>
        </w:rPr>
        <w:t>The circumstances envisaged include those in which to grant leave could undermine our immigration controls, for example the applicant has committed significant or persistent criminal offences falling below the thresholds for deportation set out in paragraph 398 of the Immigration Rules or has a very poor immigration history, having repeatedly and deliberately breached the Immigration Rules.”</w:t>
      </w:r>
    </w:p>
    <w:p w:rsidR="000827E9" w:rsidRPr="00492271" w:rsidRDefault="003B4ED1" w:rsidP="00A84274">
      <w:pPr>
        <w:spacing w:before="240"/>
        <w:ind w:left="567" w:hanging="567"/>
        <w:jc w:val="both"/>
        <w:rPr>
          <w:rFonts w:ascii="Book Antiqua" w:hAnsi="Book Antiqua" w:cs="Arial"/>
        </w:rPr>
      </w:pPr>
      <w:r>
        <w:rPr>
          <w:rFonts w:ascii="Book Antiqua" w:hAnsi="Book Antiqua" w:cs="Arial"/>
        </w:rPr>
        <w:lastRenderedPageBreak/>
        <w:t>15</w:t>
      </w:r>
      <w:r w:rsidR="00A84274">
        <w:rPr>
          <w:rFonts w:ascii="Book Antiqua" w:hAnsi="Book Antiqua" w:cs="Arial"/>
        </w:rPr>
        <w:t>.</w:t>
      </w:r>
      <w:r w:rsidR="00A84274">
        <w:rPr>
          <w:rFonts w:ascii="Book Antiqua" w:hAnsi="Book Antiqua" w:cs="Arial"/>
        </w:rPr>
        <w:tab/>
      </w:r>
      <w:r w:rsidR="00492271">
        <w:rPr>
          <w:rFonts w:ascii="Book Antiqua" w:hAnsi="Book Antiqua" w:cs="Arial"/>
        </w:rPr>
        <w:t>The g</w:t>
      </w:r>
      <w:r w:rsidR="001B48D6">
        <w:rPr>
          <w:rFonts w:ascii="Book Antiqua" w:hAnsi="Book Antiqua" w:cs="Arial"/>
        </w:rPr>
        <w:t xml:space="preserve">uidance </w:t>
      </w:r>
      <w:r w:rsidR="00A633E8">
        <w:rPr>
          <w:rFonts w:ascii="Book Antiqua" w:hAnsi="Book Antiqua" w:cs="Arial"/>
        </w:rPr>
        <w:t>accepts that the usual presumption where a British Citizen child’s rights are at issue is that it is not reasonable to expect that child to leave and it is only where there are strong reasons of public interest for removal that a parent in a genuine and subsisting relationship with s</w:t>
      </w:r>
      <w:r w:rsidR="001B48D6">
        <w:rPr>
          <w:rFonts w:ascii="Book Antiqua" w:hAnsi="Book Antiqua" w:cs="Arial"/>
        </w:rPr>
        <w:t xml:space="preserve">uch a child should be removed. </w:t>
      </w:r>
      <w:r w:rsidR="00061DAB">
        <w:rPr>
          <w:rFonts w:ascii="Book Antiqua" w:hAnsi="Book Antiqua" w:cs="Arial"/>
        </w:rPr>
        <w:t>Again, this guidance is concerned with the relevant routes for a partner or parent under Appendix FM a</w:t>
      </w:r>
      <w:r w:rsidR="00105A07">
        <w:rPr>
          <w:rFonts w:ascii="Book Antiqua" w:hAnsi="Book Antiqua" w:cs="Arial"/>
        </w:rPr>
        <w:t xml:space="preserve">nd not section </w:t>
      </w:r>
      <w:r w:rsidR="00492271">
        <w:rPr>
          <w:rFonts w:ascii="Book Antiqua" w:hAnsi="Book Antiqua" w:cs="Arial"/>
        </w:rPr>
        <w:t>117</w:t>
      </w:r>
      <w:proofErr w:type="gramStart"/>
      <w:r w:rsidR="00492271">
        <w:rPr>
          <w:rFonts w:ascii="Book Antiqua" w:hAnsi="Book Antiqua" w:cs="Arial"/>
        </w:rPr>
        <w:t>B(</w:t>
      </w:r>
      <w:proofErr w:type="gramEnd"/>
      <w:r w:rsidR="00492271">
        <w:rPr>
          <w:rFonts w:ascii="Book Antiqua" w:hAnsi="Book Antiqua" w:cs="Arial"/>
        </w:rPr>
        <w:t xml:space="preserve">6) of the </w:t>
      </w:r>
      <w:r w:rsidR="00061DAB">
        <w:rPr>
          <w:rFonts w:ascii="Book Antiqua" w:hAnsi="Book Antiqua" w:cs="Arial"/>
        </w:rPr>
        <w:t>2002</w:t>
      </w:r>
      <w:r w:rsidR="00492271">
        <w:rPr>
          <w:rFonts w:ascii="Book Antiqua" w:hAnsi="Book Antiqua" w:cs="Arial"/>
        </w:rPr>
        <w:t xml:space="preserve"> Act specifically. </w:t>
      </w:r>
      <w:r w:rsidR="00061DAB">
        <w:rPr>
          <w:rFonts w:ascii="Book Antiqua" w:hAnsi="Book Antiqua" w:cs="Arial"/>
        </w:rPr>
        <w:t xml:space="preserve">It was, </w:t>
      </w:r>
      <w:r w:rsidR="00492271">
        <w:rPr>
          <w:rFonts w:ascii="Book Antiqua" w:hAnsi="Book Antiqua" w:cs="Arial"/>
        </w:rPr>
        <w:t>however, not suggested</w:t>
      </w:r>
      <w:r w:rsidR="00061DAB">
        <w:rPr>
          <w:rFonts w:ascii="Book Antiqua" w:hAnsi="Book Antiqua" w:cs="Arial"/>
        </w:rPr>
        <w:t xml:space="preserve"> that it did not re</w:t>
      </w:r>
      <w:r w:rsidR="00492271">
        <w:rPr>
          <w:rFonts w:ascii="Book Antiqua" w:hAnsi="Book Antiqua" w:cs="Arial"/>
        </w:rPr>
        <w:t>present the respondent’s</w:t>
      </w:r>
      <w:r w:rsidR="00105A07">
        <w:rPr>
          <w:rFonts w:ascii="Book Antiqua" w:hAnsi="Book Antiqua" w:cs="Arial"/>
        </w:rPr>
        <w:t xml:space="preserve"> policy in applying section </w:t>
      </w:r>
      <w:r w:rsidR="00492271">
        <w:rPr>
          <w:rFonts w:ascii="Book Antiqua" w:hAnsi="Book Antiqua" w:cs="Arial"/>
        </w:rPr>
        <w:t>117</w:t>
      </w:r>
      <w:proofErr w:type="gramStart"/>
      <w:r w:rsidR="00492271">
        <w:rPr>
          <w:rFonts w:ascii="Book Antiqua" w:hAnsi="Book Antiqua" w:cs="Arial"/>
        </w:rPr>
        <w:t>B(</w:t>
      </w:r>
      <w:proofErr w:type="gramEnd"/>
      <w:r w:rsidR="00492271">
        <w:rPr>
          <w:rFonts w:ascii="Book Antiqua" w:hAnsi="Book Antiqua" w:cs="Arial"/>
        </w:rPr>
        <w:t>6).</w:t>
      </w:r>
    </w:p>
    <w:p w:rsidR="00F84A79" w:rsidRPr="00B35659" w:rsidRDefault="003B4ED1" w:rsidP="00C9568F">
      <w:pPr>
        <w:spacing w:before="240"/>
        <w:ind w:left="567" w:hanging="567"/>
        <w:jc w:val="both"/>
        <w:rPr>
          <w:rFonts w:ascii="Book Antiqua" w:hAnsi="Book Antiqua" w:cs="Arial"/>
          <w:b/>
          <w:u w:val="single"/>
        </w:rPr>
      </w:pPr>
      <w:r>
        <w:rPr>
          <w:rFonts w:ascii="Book Antiqua" w:hAnsi="Book Antiqua" w:cs="Arial"/>
        </w:rPr>
        <w:t>16</w:t>
      </w:r>
      <w:r w:rsidR="00C9568F">
        <w:rPr>
          <w:rFonts w:ascii="Book Antiqua" w:hAnsi="Book Antiqua" w:cs="Arial"/>
        </w:rPr>
        <w:t>.</w:t>
      </w:r>
      <w:r w:rsidR="00C9568F">
        <w:rPr>
          <w:rFonts w:ascii="Book Antiqua" w:hAnsi="Book Antiqua" w:cs="Arial"/>
        </w:rPr>
        <w:tab/>
      </w:r>
      <w:r w:rsidR="00F84A79">
        <w:rPr>
          <w:rFonts w:ascii="Book Antiqua" w:hAnsi="Book Antiqua" w:cs="Arial"/>
        </w:rPr>
        <w:t xml:space="preserve">Starting then with the best </w:t>
      </w:r>
      <w:r w:rsidR="00675070">
        <w:rPr>
          <w:rFonts w:ascii="Book Antiqua" w:hAnsi="Book Antiqua" w:cs="Arial"/>
        </w:rPr>
        <w:t>interests of the child, s</w:t>
      </w:r>
      <w:r w:rsidR="00F84A79">
        <w:rPr>
          <w:rFonts w:ascii="Book Antiqua" w:hAnsi="Book Antiqua" w:cs="Arial"/>
        </w:rPr>
        <w:t>he is a British citizen, born and raised in this country. I</w:t>
      </w:r>
      <w:r w:rsidR="00492271">
        <w:rPr>
          <w:rFonts w:ascii="Book Antiqua" w:hAnsi="Book Antiqua" w:cs="Arial"/>
        </w:rPr>
        <w:t xml:space="preserve"> acknowledge that she is an</w:t>
      </w:r>
      <w:r w:rsidR="00F84A79">
        <w:rPr>
          <w:rFonts w:ascii="Book Antiqua" w:hAnsi="Book Antiqua" w:cs="Arial"/>
        </w:rPr>
        <w:t xml:space="preserve"> infant and may well be capable of adapti</w:t>
      </w:r>
      <w:r w:rsidR="00B35659">
        <w:rPr>
          <w:rFonts w:ascii="Book Antiqua" w:hAnsi="Book Antiqua" w:cs="Arial"/>
        </w:rPr>
        <w:t>ng to life in another country. There is</w:t>
      </w:r>
      <w:r w:rsidR="00F84A79" w:rsidRPr="00B35659">
        <w:rPr>
          <w:rFonts w:ascii="Book Antiqua" w:hAnsi="Book Antiqua" w:cs="Arial"/>
        </w:rPr>
        <w:t xml:space="preserve"> little if any evidence from th</w:t>
      </w:r>
      <w:r w:rsidR="00675070">
        <w:rPr>
          <w:rFonts w:ascii="Book Antiqua" w:hAnsi="Book Antiqua" w:cs="Arial"/>
        </w:rPr>
        <w:t>e a</w:t>
      </w:r>
      <w:r w:rsidR="00B35659">
        <w:rPr>
          <w:rFonts w:ascii="Book Antiqua" w:hAnsi="Book Antiqua" w:cs="Arial"/>
        </w:rPr>
        <w:t>ppellant as to the child’s</w:t>
      </w:r>
      <w:r w:rsidR="00675070">
        <w:rPr>
          <w:rFonts w:ascii="Book Antiqua" w:hAnsi="Book Antiqua" w:cs="Arial"/>
        </w:rPr>
        <w:t xml:space="preserve"> best interests. </w:t>
      </w:r>
      <w:r w:rsidR="00F84A79" w:rsidRPr="00B35659">
        <w:rPr>
          <w:rFonts w:ascii="Book Antiqua" w:hAnsi="Book Antiqua" w:cs="Arial"/>
        </w:rPr>
        <w:t>There is no suggestion that</w:t>
      </w:r>
      <w:r w:rsidR="00B35659">
        <w:rPr>
          <w:rFonts w:ascii="Book Antiqua" w:hAnsi="Book Antiqua" w:cs="Arial"/>
        </w:rPr>
        <w:t xml:space="preserve"> she has any </w:t>
      </w:r>
      <w:r w:rsidR="00F84A79" w:rsidRPr="00B35659">
        <w:rPr>
          <w:rFonts w:ascii="Book Antiqua" w:hAnsi="Book Antiqua" w:cs="Arial"/>
        </w:rPr>
        <w:t>health issues or that there are other cons</w:t>
      </w:r>
      <w:r w:rsidR="00B35659">
        <w:rPr>
          <w:rFonts w:ascii="Book Antiqua" w:hAnsi="Book Antiqua" w:cs="Arial"/>
        </w:rPr>
        <w:t>iderations which mean that her</w:t>
      </w:r>
      <w:r w:rsidR="00F84A79" w:rsidRPr="00B35659">
        <w:rPr>
          <w:rFonts w:ascii="Book Antiqua" w:hAnsi="Book Antiqua" w:cs="Arial"/>
        </w:rPr>
        <w:t xml:space="preserve"> best interests are in</w:t>
      </w:r>
      <w:r w:rsidR="00B35659">
        <w:rPr>
          <w:rFonts w:ascii="Book Antiqua" w:hAnsi="Book Antiqua" w:cs="Arial"/>
        </w:rPr>
        <w:t>evitably to remain in the UK.</w:t>
      </w:r>
    </w:p>
    <w:p w:rsidR="00F84A79" w:rsidRDefault="003B4ED1" w:rsidP="00C9568F">
      <w:pPr>
        <w:spacing w:before="240"/>
        <w:ind w:left="567" w:hanging="567"/>
        <w:jc w:val="both"/>
        <w:rPr>
          <w:rFonts w:ascii="Book Antiqua" w:hAnsi="Book Antiqua" w:cs="Arial"/>
        </w:rPr>
      </w:pPr>
      <w:r>
        <w:rPr>
          <w:rFonts w:ascii="Book Antiqua" w:hAnsi="Book Antiqua" w:cs="Arial"/>
        </w:rPr>
        <w:t>17</w:t>
      </w:r>
      <w:r w:rsidR="00C9568F">
        <w:rPr>
          <w:rFonts w:ascii="Book Antiqua" w:hAnsi="Book Antiqua" w:cs="Arial"/>
        </w:rPr>
        <w:t>.</w:t>
      </w:r>
      <w:r w:rsidR="00C9568F">
        <w:rPr>
          <w:rFonts w:ascii="Book Antiqua" w:hAnsi="Book Antiqua" w:cs="Arial"/>
        </w:rPr>
        <w:tab/>
      </w:r>
      <w:r w:rsidR="00B35659">
        <w:rPr>
          <w:rFonts w:ascii="Book Antiqua" w:hAnsi="Book Antiqua" w:cs="Arial"/>
        </w:rPr>
        <w:t>The fact of her</w:t>
      </w:r>
      <w:r w:rsidR="00F84A79">
        <w:rPr>
          <w:rFonts w:ascii="Book Antiqua" w:hAnsi="Book Antiqua" w:cs="Arial"/>
        </w:rPr>
        <w:t xml:space="preserve"> British citizenship is however </w:t>
      </w:r>
      <w:r w:rsidR="00492271">
        <w:rPr>
          <w:rFonts w:ascii="Book Antiqua" w:hAnsi="Book Antiqua" w:cs="Arial"/>
        </w:rPr>
        <w:t xml:space="preserve">a factor of some significance. </w:t>
      </w:r>
      <w:r w:rsidR="00F84A79">
        <w:rPr>
          <w:rFonts w:ascii="Book Antiqua" w:hAnsi="Book Antiqua" w:cs="Arial"/>
        </w:rPr>
        <w:t>The importance of British citizenship was underlined in the speech of Lady Hale (as she then was) in</w:t>
      </w:r>
      <w:r w:rsidR="00F84A79" w:rsidRPr="00A84274">
        <w:rPr>
          <w:rFonts w:ascii="Book Antiqua" w:hAnsi="Book Antiqua" w:cs="Arial"/>
          <w:b/>
        </w:rPr>
        <w:t xml:space="preserve"> ZH (Tanzania) v Secretary of State for the Home Department [2011] UKSC 4</w:t>
      </w:r>
      <w:r w:rsidR="00F84A79" w:rsidRPr="00A84274">
        <w:rPr>
          <w:rFonts w:ascii="Book Antiqua" w:hAnsi="Book Antiqua" w:cs="Arial"/>
        </w:rPr>
        <w:t xml:space="preserve"> </w:t>
      </w:r>
      <w:r w:rsidR="00F84A79">
        <w:rPr>
          <w:rFonts w:ascii="Book Antiqua" w:hAnsi="Book Antiqua" w:cs="Arial"/>
        </w:rPr>
        <w:t xml:space="preserve">in the following </w:t>
      </w:r>
      <w:proofErr w:type="gramStart"/>
      <w:r w:rsidR="00F84A79">
        <w:rPr>
          <w:rFonts w:ascii="Book Antiqua" w:hAnsi="Book Antiqua" w:cs="Arial"/>
        </w:rPr>
        <w:t>terms :</w:t>
      </w:r>
      <w:proofErr w:type="gramEnd"/>
      <w:r w:rsidR="00F84A79">
        <w:rPr>
          <w:rFonts w:ascii="Book Antiqua" w:hAnsi="Book Antiqua" w:cs="Arial"/>
        </w:rPr>
        <w:t>-</w:t>
      </w:r>
    </w:p>
    <w:p w:rsidR="00F84A79" w:rsidRPr="00771ADD" w:rsidRDefault="00F84A79" w:rsidP="00F84A79">
      <w:pPr>
        <w:spacing w:before="120" w:after="120"/>
        <w:ind w:left="2160" w:right="567" w:hanging="720"/>
        <w:jc w:val="both"/>
        <w:rPr>
          <w:rFonts w:ascii="Book Antiqua" w:hAnsi="Book Antiqua"/>
          <w:sz w:val="22"/>
          <w:szCs w:val="22"/>
        </w:rPr>
      </w:pPr>
      <w:bookmarkStart w:id="2" w:name="para30"/>
      <w:r>
        <w:t xml:space="preserve">    “30.</w:t>
      </w:r>
      <w:r w:rsidRPr="00771ADD">
        <w:rPr>
          <w:rFonts w:ascii="Book Antiqua" w:hAnsi="Book Antiqua"/>
          <w:sz w:val="22"/>
          <w:szCs w:val="22"/>
        </w:rPr>
        <w:tab/>
        <w:t>Although nationality is not a "trump card" it is of particular importance in assessing the best interests of any child</w:t>
      </w:r>
      <w:r>
        <w:rPr>
          <w:rFonts w:ascii="Book Antiqua" w:hAnsi="Book Antiqua"/>
          <w:sz w:val="22"/>
          <w:szCs w:val="22"/>
        </w:rPr>
        <w:t xml:space="preserve"> </w:t>
      </w:r>
      <w:r w:rsidRPr="00771ADD">
        <w:rPr>
          <w:rFonts w:ascii="Book Antiqua" w:hAnsi="Book Antiqua"/>
          <w:sz w:val="22"/>
          <w:szCs w:val="22"/>
        </w:rPr>
        <w:t xml:space="preserve">… </w:t>
      </w:r>
      <w:bookmarkStart w:id="3" w:name="para31"/>
      <w:bookmarkEnd w:id="2"/>
    </w:p>
    <w:p w:rsidR="00F84A79" w:rsidRPr="00771ADD" w:rsidRDefault="00F84A79" w:rsidP="00F84A79">
      <w:pPr>
        <w:numPr>
          <w:ilvl w:val="0"/>
          <w:numId w:val="5"/>
        </w:numPr>
        <w:spacing w:before="120" w:after="120"/>
        <w:ind w:right="567"/>
        <w:jc w:val="both"/>
        <w:rPr>
          <w:rFonts w:ascii="Book Antiqua" w:hAnsi="Book Antiqua"/>
          <w:sz w:val="22"/>
          <w:szCs w:val="22"/>
        </w:rPr>
      </w:pPr>
      <w:r w:rsidRPr="00771ADD">
        <w:rPr>
          <w:rFonts w:ascii="Book Antiqua" w:hAnsi="Book Antiqua"/>
          <w:sz w:val="22"/>
          <w:szCs w:val="22"/>
        </w:rPr>
        <w:t>…</w:t>
      </w:r>
      <w:r w:rsidR="001D4EAD">
        <w:rPr>
          <w:rFonts w:ascii="Book Antiqua" w:hAnsi="Book Antiqua"/>
          <w:sz w:val="22"/>
          <w:szCs w:val="22"/>
        </w:rPr>
        <w:t xml:space="preserve"> </w:t>
      </w:r>
      <w:r w:rsidRPr="00771ADD">
        <w:rPr>
          <w:rFonts w:ascii="Book Antiqua" w:hAnsi="Book Antiqua"/>
          <w:sz w:val="22"/>
          <w:szCs w:val="22"/>
        </w:rPr>
        <w:t>all of these considerations apply to the children in this case. They are British children; they are British, not just through the "accident" of being born here, but by descent from a British parent; they have an unqualified right of abode here; they have lived here all their lives; they are being educated here; they have other social links with the community here; they have a good relationship with their father here. It is not enough to say that a young child may readily adapt to life in another country. That may well be so, particularly if she moves with both her parents to a country which they know well and where they can easily re-integrate in their own community …</w:t>
      </w:r>
      <w:r w:rsidR="001D4EAD">
        <w:rPr>
          <w:rFonts w:ascii="Book Antiqua" w:hAnsi="Book Antiqua"/>
          <w:sz w:val="22"/>
          <w:szCs w:val="22"/>
        </w:rPr>
        <w:t xml:space="preserve"> </w:t>
      </w:r>
      <w:r w:rsidRPr="00771ADD">
        <w:rPr>
          <w:rFonts w:ascii="Book Antiqua" w:hAnsi="Book Antiqua"/>
          <w:sz w:val="22"/>
          <w:szCs w:val="22"/>
        </w:rPr>
        <w:t xml:space="preserve">But it is very different in the case of children who have lived here all their lives and are being expected to move to a country which they do not know and will be separated from a parent whom they also know well. </w:t>
      </w:r>
      <w:bookmarkEnd w:id="3"/>
    </w:p>
    <w:p w:rsidR="00F84A79" w:rsidRPr="00771ADD" w:rsidRDefault="00F84A79" w:rsidP="00F84A79">
      <w:pPr>
        <w:numPr>
          <w:ilvl w:val="0"/>
          <w:numId w:val="5"/>
        </w:numPr>
        <w:spacing w:before="120" w:after="120"/>
        <w:ind w:right="567"/>
        <w:jc w:val="both"/>
        <w:rPr>
          <w:rFonts w:ascii="Book Antiqua" w:hAnsi="Book Antiqua"/>
          <w:sz w:val="22"/>
          <w:szCs w:val="22"/>
        </w:rPr>
      </w:pPr>
      <w:bookmarkStart w:id="4" w:name="para32"/>
      <w:r w:rsidRPr="00771ADD">
        <w:rPr>
          <w:rFonts w:ascii="Book Antiqua" w:hAnsi="Book Antiqua"/>
          <w:sz w:val="22"/>
          <w:szCs w:val="22"/>
        </w:rPr>
        <w:t xml:space="preserve">Nor should the intrinsic importance of citizenship be played down. As citizens these children have rights which they will not be able to exercise if they move to another country. They will lose the advantages of growing up and being educated in their own country, their own culture and their own language. They will have lost all this when they come back as adults. </w:t>
      </w:r>
      <w:bookmarkStart w:id="5" w:name="para33"/>
      <w:bookmarkEnd w:id="4"/>
      <w:r w:rsidRPr="00771ADD">
        <w:rPr>
          <w:rFonts w:ascii="Book Antiqua" w:hAnsi="Book Antiqua"/>
          <w:sz w:val="22"/>
          <w:szCs w:val="22"/>
        </w:rPr>
        <w:t>…”</w:t>
      </w:r>
    </w:p>
    <w:bookmarkEnd w:id="5"/>
    <w:p w:rsidR="00F84A79" w:rsidRPr="00016086" w:rsidRDefault="003B4ED1" w:rsidP="00824C63">
      <w:pPr>
        <w:spacing w:before="240"/>
        <w:ind w:left="567" w:hanging="567"/>
        <w:jc w:val="both"/>
        <w:rPr>
          <w:rFonts w:ascii="Book Antiqua" w:hAnsi="Book Antiqua" w:cs="Arial"/>
        </w:rPr>
      </w:pPr>
      <w:r>
        <w:rPr>
          <w:rFonts w:ascii="Book Antiqua" w:hAnsi="Book Antiqua" w:cs="Arial"/>
        </w:rPr>
        <w:t>18</w:t>
      </w:r>
      <w:r w:rsidR="00824C63">
        <w:rPr>
          <w:rFonts w:ascii="Book Antiqua" w:hAnsi="Book Antiqua" w:cs="Arial"/>
        </w:rPr>
        <w:t>.</w:t>
      </w:r>
      <w:r w:rsidR="00824C63">
        <w:rPr>
          <w:rFonts w:ascii="Book Antiqua" w:hAnsi="Book Antiqua" w:cs="Arial"/>
        </w:rPr>
        <w:tab/>
      </w:r>
      <w:r w:rsidR="00B35659">
        <w:rPr>
          <w:rFonts w:ascii="Book Antiqua" w:hAnsi="Book Antiqua" w:cs="Arial"/>
        </w:rPr>
        <w:t>Based on her</w:t>
      </w:r>
      <w:r w:rsidR="00F84A79">
        <w:rPr>
          <w:rFonts w:ascii="Book Antiqua" w:hAnsi="Book Antiqua" w:cs="Arial"/>
        </w:rPr>
        <w:t xml:space="preserve"> citizen</w:t>
      </w:r>
      <w:r w:rsidR="00B35659">
        <w:rPr>
          <w:rFonts w:ascii="Book Antiqua" w:hAnsi="Book Antiqua" w:cs="Arial"/>
        </w:rPr>
        <w:t xml:space="preserve">ship, and notwithstanding her </w:t>
      </w:r>
      <w:r w:rsidR="00F84A79">
        <w:rPr>
          <w:rFonts w:ascii="Book Antiqua" w:hAnsi="Book Antiqua" w:cs="Arial"/>
        </w:rPr>
        <w:t>young age, I am satisfied that it is in the best intere</w:t>
      </w:r>
      <w:r w:rsidR="003F095D">
        <w:rPr>
          <w:rFonts w:ascii="Book Antiqua" w:hAnsi="Book Antiqua" w:cs="Arial"/>
        </w:rPr>
        <w:t>sts of the a</w:t>
      </w:r>
      <w:r w:rsidR="00B35659">
        <w:rPr>
          <w:rFonts w:ascii="Book Antiqua" w:hAnsi="Book Antiqua" w:cs="Arial"/>
        </w:rPr>
        <w:t>ppellant</w:t>
      </w:r>
      <w:r w:rsidR="00675070">
        <w:rPr>
          <w:rFonts w:ascii="Book Antiqua" w:hAnsi="Book Antiqua" w:cs="Arial"/>
        </w:rPr>
        <w:t>’s</w:t>
      </w:r>
      <w:r w:rsidR="00B35659">
        <w:rPr>
          <w:rFonts w:ascii="Book Antiqua" w:hAnsi="Book Antiqua" w:cs="Arial"/>
        </w:rPr>
        <w:t xml:space="preserve"> child</w:t>
      </w:r>
      <w:r w:rsidR="00F84A79">
        <w:rPr>
          <w:rFonts w:ascii="Book Antiqua" w:hAnsi="Book Antiqua" w:cs="Arial"/>
        </w:rPr>
        <w:t xml:space="preserve"> to remain in the UK.</w:t>
      </w:r>
      <w:r w:rsidR="00A84274">
        <w:rPr>
          <w:rFonts w:ascii="Book Antiqua" w:hAnsi="Book Antiqua" w:cs="Arial"/>
        </w:rPr>
        <w:t xml:space="preserve"> The child</w:t>
      </w:r>
      <w:r w:rsidR="003F095D">
        <w:rPr>
          <w:rFonts w:ascii="Book Antiqua" w:hAnsi="Book Antiqua" w:cs="Arial"/>
        </w:rPr>
        <w:t xml:space="preserve"> lives with her pregnant mother and</w:t>
      </w:r>
      <w:r w:rsidR="00A84274">
        <w:rPr>
          <w:rFonts w:ascii="Book Antiqua" w:hAnsi="Book Antiqua" w:cs="Arial"/>
        </w:rPr>
        <w:t xml:space="preserve"> her</w:t>
      </w:r>
      <w:r w:rsidR="003F095D">
        <w:rPr>
          <w:rFonts w:ascii="Book Antiqua" w:hAnsi="Book Antiqua" w:cs="Arial"/>
        </w:rPr>
        <w:t xml:space="preserve"> father</w:t>
      </w:r>
      <w:r w:rsidR="00B35659">
        <w:rPr>
          <w:rFonts w:ascii="Book Antiqua" w:hAnsi="Book Antiqua" w:cs="Arial"/>
        </w:rPr>
        <w:t xml:space="preserve"> in a settled family unit</w:t>
      </w:r>
      <w:r w:rsidR="00A84274">
        <w:rPr>
          <w:rFonts w:ascii="Book Antiqua" w:hAnsi="Book Antiqua" w:cs="Arial"/>
        </w:rPr>
        <w:t xml:space="preserve"> and has ties </w:t>
      </w:r>
      <w:r w:rsidR="003F095D">
        <w:rPr>
          <w:rFonts w:ascii="Book Antiqua" w:hAnsi="Book Antiqua" w:cs="Arial"/>
        </w:rPr>
        <w:t xml:space="preserve">to other close family members here. The child </w:t>
      </w:r>
      <w:r w:rsidR="00675070">
        <w:rPr>
          <w:rFonts w:ascii="Book Antiqua" w:hAnsi="Book Antiqua" w:cs="Arial"/>
        </w:rPr>
        <w:t>and has no direct connection</w:t>
      </w:r>
      <w:r w:rsidR="003F095D">
        <w:rPr>
          <w:rFonts w:ascii="Book Antiqua" w:hAnsi="Book Antiqua" w:cs="Arial"/>
        </w:rPr>
        <w:t>s</w:t>
      </w:r>
      <w:r w:rsidR="00675070">
        <w:rPr>
          <w:rFonts w:ascii="Book Antiqua" w:hAnsi="Book Antiqua" w:cs="Arial"/>
        </w:rPr>
        <w:t xml:space="preserve"> to </w:t>
      </w:r>
      <w:r w:rsidR="00824C63">
        <w:rPr>
          <w:rFonts w:ascii="Book Antiqua" w:hAnsi="Book Antiqua" w:cs="Arial"/>
        </w:rPr>
        <w:t>Bangladesh</w:t>
      </w:r>
      <w:r w:rsidR="003F095D">
        <w:rPr>
          <w:rFonts w:ascii="Book Antiqua" w:hAnsi="Book Antiqua" w:cs="Arial"/>
        </w:rPr>
        <w:t xml:space="preserve"> and has not visited that country</w:t>
      </w:r>
      <w:r w:rsidR="00B35659">
        <w:rPr>
          <w:rFonts w:ascii="Book Antiqua" w:hAnsi="Book Antiqua" w:cs="Arial"/>
        </w:rPr>
        <w:t xml:space="preserve">. </w:t>
      </w:r>
      <w:r w:rsidR="004423FC">
        <w:rPr>
          <w:rFonts w:ascii="Book Antiqua" w:hAnsi="Book Antiqua" w:cs="Arial"/>
        </w:rPr>
        <w:t xml:space="preserve">It is not in the child’s best interests to forego the opportunity of growing up and being educated in the UK. </w:t>
      </w:r>
      <w:r w:rsidR="00675070">
        <w:rPr>
          <w:rFonts w:ascii="Book Antiqua" w:hAnsi="Book Antiqua" w:cs="Arial"/>
        </w:rPr>
        <w:t>The a</w:t>
      </w:r>
      <w:r w:rsidR="00016086">
        <w:rPr>
          <w:rFonts w:ascii="Book Antiqua" w:hAnsi="Book Antiqua" w:cs="Arial"/>
        </w:rPr>
        <w:t xml:space="preserve">ppellant has joint parental </w:t>
      </w:r>
      <w:r w:rsidR="00016086">
        <w:rPr>
          <w:rFonts w:ascii="Book Antiqua" w:hAnsi="Book Antiqua" w:cs="Arial"/>
        </w:rPr>
        <w:lastRenderedPageBreak/>
        <w:t xml:space="preserve">responsibility for the child and he has lived with her since birth. </w:t>
      </w:r>
      <w:r w:rsidR="00A84274">
        <w:rPr>
          <w:rFonts w:ascii="Book Antiqua" w:hAnsi="Book Antiqua" w:cs="Arial"/>
        </w:rPr>
        <w:t>It is accepted that the a</w:t>
      </w:r>
      <w:r w:rsidR="00F84A79" w:rsidRPr="00016086">
        <w:rPr>
          <w:rFonts w:ascii="Book Antiqua" w:hAnsi="Book Antiqua" w:cs="Arial"/>
        </w:rPr>
        <w:t>ppellant has a genuine and subsisting relatio</w:t>
      </w:r>
      <w:r w:rsidR="00A84274">
        <w:rPr>
          <w:rFonts w:ascii="Book Antiqua" w:hAnsi="Book Antiqua" w:cs="Arial"/>
        </w:rPr>
        <w:t>nship with his wife and child</w:t>
      </w:r>
      <w:r w:rsidR="00F84A79" w:rsidRPr="00016086">
        <w:rPr>
          <w:rFonts w:ascii="Book Antiqua" w:hAnsi="Book Antiqua" w:cs="Arial"/>
        </w:rPr>
        <w:t>.</w:t>
      </w:r>
      <w:r w:rsidR="005D5AA4" w:rsidRPr="005D5AA4">
        <w:rPr>
          <w:rFonts w:ascii="Book Antiqua" w:hAnsi="Book Antiqua" w:cs="Arial"/>
        </w:rPr>
        <w:t xml:space="preserve"> </w:t>
      </w:r>
      <w:r w:rsidR="005D5AA4">
        <w:rPr>
          <w:rFonts w:ascii="Book Antiqua" w:hAnsi="Book Antiqua" w:cs="Arial"/>
        </w:rPr>
        <w:t>I</w:t>
      </w:r>
      <w:r w:rsidR="005D5AA4" w:rsidRPr="00B35659">
        <w:rPr>
          <w:rFonts w:ascii="Book Antiqua" w:hAnsi="Book Antiqua" w:cs="Arial"/>
        </w:rPr>
        <w:t xml:space="preserve"> </w:t>
      </w:r>
      <w:r w:rsidR="005D5AA4">
        <w:rPr>
          <w:rFonts w:ascii="Book Antiqua" w:hAnsi="Book Antiqua" w:cs="Arial"/>
        </w:rPr>
        <w:t xml:space="preserve">thus </w:t>
      </w:r>
      <w:r w:rsidR="005D5AA4" w:rsidRPr="00B35659">
        <w:rPr>
          <w:rFonts w:ascii="Book Antiqua" w:hAnsi="Book Antiqua" w:cs="Arial"/>
        </w:rPr>
        <w:t>have no difficulty in finding that it is in the best interests of the child to continue to live with both parents</w:t>
      </w:r>
      <w:r w:rsidR="0005548F">
        <w:rPr>
          <w:rFonts w:ascii="Book Antiqua" w:hAnsi="Book Antiqua" w:cs="Arial"/>
        </w:rPr>
        <w:t xml:space="preserve"> in the UK</w:t>
      </w:r>
      <w:r w:rsidR="005D5AA4" w:rsidRPr="00B35659">
        <w:rPr>
          <w:rFonts w:ascii="Book Antiqua" w:hAnsi="Book Antiqua" w:cs="Arial"/>
        </w:rPr>
        <w:t>.</w:t>
      </w:r>
    </w:p>
    <w:p w:rsidR="00F84A79" w:rsidRPr="006F0712" w:rsidRDefault="003B4ED1" w:rsidP="00824C63">
      <w:pPr>
        <w:spacing w:before="240"/>
        <w:ind w:left="567" w:hanging="567"/>
        <w:jc w:val="both"/>
        <w:rPr>
          <w:rFonts w:ascii="Book Antiqua" w:hAnsi="Book Antiqua" w:cs="Arial"/>
        </w:rPr>
      </w:pPr>
      <w:r>
        <w:rPr>
          <w:rFonts w:ascii="Book Antiqua" w:hAnsi="Book Antiqua" w:cs="Arial"/>
        </w:rPr>
        <w:t>19</w:t>
      </w:r>
      <w:r w:rsidR="00824C63">
        <w:rPr>
          <w:rFonts w:ascii="Book Antiqua" w:hAnsi="Book Antiqua" w:cs="Arial"/>
        </w:rPr>
        <w:t>.</w:t>
      </w:r>
      <w:r w:rsidR="00824C63">
        <w:rPr>
          <w:rFonts w:ascii="Book Antiqua" w:hAnsi="Book Antiqua" w:cs="Arial"/>
        </w:rPr>
        <w:tab/>
      </w:r>
      <w:r w:rsidR="00F84A79">
        <w:rPr>
          <w:rFonts w:ascii="Book Antiqua" w:hAnsi="Book Antiqua" w:cs="Arial"/>
        </w:rPr>
        <w:t>The starting point for consideration whether it is reasonable t</w:t>
      </w:r>
      <w:r w:rsidR="007E2FCC">
        <w:rPr>
          <w:rFonts w:ascii="Book Antiqua" w:hAnsi="Book Antiqua" w:cs="Arial"/>
        </w:rPr>
        <w:t>o expect the a</w:t>
      </w:r>
      <w:r w:rsidR="00016086">
        <w:rPr>
          <w:rFonts w:ascii="Book Antiqua" w:hAnsi="Book Antiqua" w:cs="Arial"/>
        </w:rPr>
        <w:t>ppellant’s child</w:t>
      </w:r>
      <w:r w:rsidR="00F84A79">
        <w:rPr>
          <w:rFonts w:ascii="Book Antiqua" w:hAnsi="Book Antiqua" w:cs="Arial"/>
        </w:rPr>
        <w:t xml:space="preserve"> to leave the UK </w:t>
      </w:r>
      <w:r w:rsidR="009F6C1A">
        <w:rPr>
          <w:rFonts w:ascii="Book Antiqua" w:hAnsi="Book Antiqua" w:cs="Arial"/>
        </w:rPr>
        <w:t>is therefore that it is in her</w:t>
      </w:r>
      <w:r w:rsidR="00F84A79">
        <w:rPr>
          <w:rFonts w:ascii="Book Antiqua" w:hAnsi="Book Antiqua" w:cs="Arial"/>
        </w:rPr>
        <w:t xml:space="preserve"> best interests to remain in the UK living with both parents.  </w:t>
      </w:r>
    </w:p>
    <w:p w:rsidR="007E2FCC" w:rsidRDefault="003B4ED1" w:rsidP="00824C63">
      <w:pPr>
        <w:spacing w:before="240"/>
        <w:ind w:left="567" w:hanging="567"/>
        <w:jc w:val="both"/>
        <w:rPr>
          <w:rFonts w:ascii="Book Antiqua" w:hAnsi="Book Antiqua" w:cs="Arial"/>
        </w:rPr>
      </w:pPr>
      <w:r>
        <w:rPr>
          <w:rFonts w:ascii="Book Antiqua" w:hAnsi="Book Antiqua" w:cs="Arial"/>
        </w:rPr>
        <w:t>20</w:t>
      </w:r>
      <w:r w:rsidR="00824C63">
        <w:rPr>
          <w:rFonts w:ascii="Book Antiqua" w:hAnsi="Book Antiqua" w:cs="Arial"/>
        </w:rPr>
        <w:t>.</w:t>
      </w:r>
      <w:r w:rsidR="00824C63">
        <w:rPr>
          <w:rFonts w:ascii="Book Antiqua" w:hAnsi="Book Antiqua" w:cs="Arial"/>
        </w:rPr>
        <w:tab/>
      </w:r>
      <w:r w:rsidR="007E2FCC">
        <w:rPr>
          <w:rFonts w:ascii="Book Antiqua" w:hAnsi="Book Antiqua" w:cs="Arial"/>
        </w:rPr>
        <w:t xml:space="preserve">The question then arises whether there are strong reasons </w:t>
      </w:r>
      <w:r w:rsidR="00F84A79">
        <w:rPr>
          <w:rFonts w:ascii="Book Antiqua" w:hAnsi="Book Antiqua" w:cs="Arial"/>
        </w:rPr>
        <w:t xml:space="preserve">to refuse leave to a parent to whom </w:t>
      </w:r>
      <w:r w:rsidR="00832D79">
        <w:rPr>
          <w:rFonts w:ascii="Book Antiqua" w:hAnsi="Book Antiqua" w:cs="Arial"/>
        </w:rPr>
        <w:t xml:space="preserve">paragraph EX.1 and </w:t>
      </w:r>
      <w:r w:rsidR="00F84A79">
        <w:rPr>
          <w:rFonts w:ascii="Book Antiqua" w:hAnsi="Book Antiqua" w:cs="Arial"/>
        </w:rPr>
        <w:t>section</w:t>
      </w:r>
      <w:r w:rsidR="007E2FCC">
        <w:rPr>
          <w:rFonts w:ascii="Book Antiqua" w:hAnsi="Book Antiqua" w:cs="Arial"/>
        </w:rPr>
        <w:t xml:space="preserve"> 117B (6) </w:t>
      </w:r>
      <w:r w:rsidR="00832D79">
        <w:rPr>
          <w:rFonts w:ascii="Book Antiqua" w:hAnsi="Book Antiqua" w:cs="Arial"/>
        </w:rPr>
        <w:t xml:space="preserve">of the 2002 Act </w:t>
      </w:r>
      <w:r w:rsidR="007E2FCC">
        <w:rPr>
          <w:rFonts w:ascii="Book Antiqua" w:hAnsi="Book Antiqua" w:cs="Arial"/>
        </w:rPr>
        <w:t xml:space="preserve">potentially applies. </w:t>
      </w:r>
    </w:p>
    <w:p w:rsidR="00E129EB" w:rsidRPr="00C439DE" w:rsidRDefault="003B4ED1" w:rsidP="003C65EC">
      <w:pPr>
        <w:spacing w:before="240"/>
        <w:ind w:left="567" w:hanging="567"/>
        <w:jc w:val="both"/>
        <w:rPr>
          <w:rFonts w:ascii="Book Antiqua" w:hAnsi="Book Antiqua" w:cs="Arial"/>
        </w:rPr>
      </w:pPr>
      <w:r>
        <w:rPr>
          <w:rFonts w:ascii="Book Antiqua" w:hAnsi="Book Antiqua" w:cs="Arial"/>
        </w:rPr>
        <w:t>21</w:t>
      </w:r>
      <w:r w:rsidR="00824C63">
        <w:rPr>
          <w:rFonts w:ascii="Book Antiqua" w:hAnsi="Book Antiqua" w:cs="Arial"/>
        </w:rPr>
        <w:t>.</w:t>
      </w:r>
      <w:r w:rsidR="00824C63">
        <w:rPr>
          <w:rFonts w:ascii="Book Antiqua" w:hAnsi="Book Antiqua" w:cs="Arial"/>
        </w:rPr>
        <w:tab/>
      </w:r>
      <w:r w:rsidR="00A16573">
        <w:rPr>
          <w:rFonts w:ascii="Book Antiqua" w:hAnsi="Book Antiqua" w:cs="Arial"/>
        </w:rPr>
        <w:t xml:space="preserve">Mr Aitken </w:t>
      </w:r>
      <w:r w:rsidR="00824C63">
        <w:rPr>
          <w:rFonts w:ascii="Book Antiqua" w:hAnsi="Book Antiqua" w:cs="Arial"/>
        </w:rPr>
        <w:t>acknowledged</w:t>
      </w:r>
      <w:r w:rsidR="00526F99">
        <w:rPr>
          <w:rFonts w:ascii="Book Antiqua" w:hAnsi="Book Antiqua" w:cs="Arial"/>
        </w:rPr>
        <w:t xml:space="preserve"> that the a</w:t>
      </w:r>
      <w:r w:rsidR="007E2FCC">
        <w:rPr>
          <w:rFonts w:ascii="Book Antiqua" w:hAnsi="Book Antiqua" w:cs="Arial"/>
        </w:rPr>
        <w:t xml:space="preserve">ppellant has an “unedifying” </w:t>
      </w:r>
      <w:r w:rsidR="00A312F6">
        <w:rPr>
          <w:rFonts w:ascii="Book Antiqua" w:hAnsi="Book Antiqua" w:cs="Arial"/>
        </w:rPr>
        <w:t>immigration history.</w:t>
      </w:r>
      <w:r w:rsidR="00A16573">
        <w:rPr>
          <w:rFonts w:ascii="Book Antiqua" w:hAnsi="Book Antiqua" w:cs="Arial"/>
        </w:rPr>
        <w:t xml:space="preserve"> Perhaps the appropriate</w:t>
      </w:r>
      <w:r w:rsidR="004A4570">
        <w:rPr>
          <w:rFonts w:ascii="Book Antiqua" w:hAnsi="Book Antiqua" w:cs="Arial"/>
        </w:rPr>
        <w:t xml:space="preserve"> characterisation of that </w:t>
      </w:r>
      <w:r w:rsidR="00824C63">
        <w:rPr>
          <w:rFonts w:ascii="Book Antiqua" w:hAnsi="Book Antiqua" w:cs="Arial"/>
        </w:rPr>
        <w:t>history</w:t>
      </w:r>
      <w:r w:rsidR="00A16573">
        <w:rPr>
          <w:rFonts w:ascii="Book Antiqua" w:hAnsi="Book Antiqua" w:cs="Arial"/>
        </w:rPr>
        <w:t xml:space="preserve"> is “</w:t>
      </w:r>
      <w:r w:rsidR="00526F99">
        <w:rPr>
          <w:rFonts w:ascii="Book Antiqua" w:hAnsi="Book Antiqua" w:cs="Arial"/>
        </w:rPr>
        <w:t xml:space="preserve">very </w:t>
      </w:r>
      <w:r w:rsidR="00A16573">
        <w:rPr>
          <w:rFonts w:ascii="Book Antiqua" w:hAnsi="Book Antiqua" w:cs="Arial"/>
        </w:rPr>
        <w:t>poor”.</w:t>
      </w:r>
      <w:r w:rsidR="00A312F6">
        <w:rPr>
          <w:rFonts w:ascii="Book Antiqua" w:hAnsi="Book Antiqua" w:cs="Arial"/>
        </w:rPr>
        <w:t xml:space="preserve"> Although</w:t>
      </w:r>
      <w:r w:rsidR="00F84A79">
        <w:rPr>
          <w:rFonts w:ascii="Book Antiqua" w:hAnsi="Book Antiqua" w:cs="Arial"/>
        </w:rPr>
        <w:t xml:space="preserve"> t</w:t>
      </w:r>
      <w:r w:rsidR="004A4570">
        <w:rPr>
          <w:rFonts w:ascii="Book Antiqua" w:hAnsi="Book Antiqua" w:cs="Arial"/>
        </w:rPr>
        <w:t>he a</w:t>
      </w:r>
      <w:r w:rsidR="00A16573">
        <w:rPr>
          <w:rFonts w:ascii="Book Antiqua" w:hAnsi="Book Antiqua" w:cs="Arial"/>
        </w:rPr>
        <w:t xml:space="preserve">ppellant did enter the UK </w:t>
      </w:r>
      <w:r w:rsidR="00F84A79">
        <w:rPr>
          <w:rFonts w:ascii="Book Antiqua" w:hAnsi="Book Antiqua" w:cs="Arial"/>
        </w:rPr>
        <w:t xml:space="preserve">legally, </w:t>
      </w:r>
      <w:r w:rsidR="00A16573">
        <w:rPr>
          <w:rFonts w:ascii="Book Antiqua" w:hAnsi="Book Antiqua" w:cs="Arial"/>
        </w:rPr>
        <w:t>he has since</w:t>
      </w:r>
      <w:r w:rsidR="004A4570">
        <w:rPr>
          <w:rFonts w:ascii="Book Antiqua" w:hAnsi="Book Antiqua" w:cs="Arial"/>
        </w:rPr>
        <w:t xml:space="preserve"> 2008</w:t>
      </w:r>
      <w:r w:rsidR="00A16573">
        <w:rPr>
          <w:rFonts w:ascii="Book Antiqua" w:hAnsi="Book Antiqua" w:cs="Arial"/>
        </w:rPr>
        <w:t xml:space="preserve"> r</w:t>
      </w:r>
      <w:r w:rsidR="003F095D">
        <w:rPr>
          <w:rFonts w:ascii="Book Antiqua" w:hAnsi="Book Antiqua" w:cs="Arial"/>
        </w:rPr>
        <w:t>emained in the UK without leave and established a relatio</w:t>
      </w:r>
      <w:r w:rsidR="004A4570">
        <w:rPr>
          <w:rFonts w:ascii="Book Antiqua" w:hAnsi="Book Antiqua" w:cs="Arial"/>
        </w:rPr>
        <w:t>nship with his wife while</w:t>
      </w:r>
      <w:r w:rsidR="003F095D">
        <w:rPr>
          <w:rFonts w:ascii="Book Antiqua" w:hAnsi="Book Antiqua" w:cs="Arial"/>
        </w:rPr>
        <w:t xml:space="preserve"> here unlawfull</w:t>
      </w:r>
      <w:r w:rsidR="004A4570">
        <w:rPr>
          <w:rFonts w:ascii="Book Antiqua" w:hAnsi="Book Antiqua" w:cs="Arial"/>
        </w:rPr>
        <w:t xml:space="preserve">y, which under section 117B of the 2002 Act attracts little weight. </w:t>
      </w:r>
      <w:r w:rsidR="004A4570" w:rsidRPr="004A4570">
        <w:rPr>
          <w:rFonts w:ascii="Book Antiqua" w:hAnsi="Book Antiqua" w:cs="Arial"/>
        </w:rPr>
        <w:t>I have however borne in mind that the appellant</w:t>
      </w:r>
      <w:r w:rsidR="008F507A">
        <w:rPr>
          <w:rFonts w:ascii="Book Antiqua" w:hAnsi="Book Antiqua" w:cs="Arial"/>
        </w:rPr>
        <w:t xml:space="preserve"> who is</w:t>
      </w:r>
      <w:r w:rsidR="00CD6714">
        <w:rPr>
          <w:rFonts w:ascii="Book Antiqua" w:hAnsi="Book Antiqua" w:cs="Arial"/>
        </w:rPr>
        <w:t xml:space="preserve"> of</w:t>
      </w:r>
      <w:r w:rsidR="008F507A">
        <w:rPr>
          <w:rFonts w:ascii="Book Antiqua" w:hAnsi="Book Antiqua" w:cs="Arial"/>
        </w:rPr>
        <w:t xml:space="preserve"> good character</w:t>
      </w:r>
      <w:r w:rsidR="004A4570" w:rsidRPr="004A4570">
        <w:rPr>
          <w:rFonts w:ascii="Book Antiqua" w:hAnsi="Book Antiqua" w:cs="Arial"/>
        </w:rPr>
        <w:t xml:space="preserve"> has sought</w:t>
      </w:r>
      <w:r w:rsidR="003C65EC">
        <w:rPr>
          <w:rFonts w:ascii="Book Antiqua" w:hAnsi="Book Antiqua" w:cs="Arial"/>
        </w:rPr>
        <w:t xml:space="preserve"> to regularise his immigration status</w:t>
      </w:r>
      <w:r w:rsidR="004A4570" w:rsidRPr="004A4570">
        <w:rPr>
          <w:rFonts w:ascii="Book Antiqua" w:hAnsi="Book Antiqua" w:cs="Arial"/>
        </w:rPr>
        <w:t xml:space="preserve"> since 2011 following the inception of the relationship with his wife</w:t>
      </w:r>
      <w:r w:rsidR="004A4570">
        <w:rPr>
          <w:rFonts w:ascii="Book Antiqua" w:hAnsi="Book Antiqua" w:cs="Arial"/>
        </w:rPr>
        <w:t>,</w:t>
      </w:r>
      <w:r w:rsidR="004A4570" w:rsidRPr="004A4570">
        <w:rPr>
          <w:rFonts w:ascii="Book Antiqua" w:hAnsi="Book Antiqua" w:cs="Arial"/>
        </w:rPr>
        <w:t xml:space="preserve"> and that</w:t>
      </w:r>
      <w:r w:rsidR="004A4570">
        <w:rPr>
          <w:rFonts w:ascii="Book Antiqua" w:hAnsi="Book Antiqua" w:cs="Arial"/>
        </w:rPr>
        <w:t>, the</w:t>
      </w:r>
      <w:r w:rsidR="004A4570" w:rsidRPr="004A4570">
        <w:rPr>
          <w:rFonts w:ascii="Book Antiqua" w:hAnsi="Book Antiqua" w:cs="Arial"/>
        </w:rPr>
        <w:t xml:space="preserve"> child should</w:t>
      </w:r>
      <w:r w:rsidR="003C65EC">
        <w:rPr>
          <w:rFonts w:ascii="Book Antiqua" w:hAnsi="Book Antiqua" w:cs="Arial"/>
        </w:rPr>
        <w:t xml:space="preserve"> not be punished for his breach of immigration laws</w:t>
      </w:r>
      <w:r w:rsidR="004A4570">
        <w:rPr>
          <w:rFonts w:ascii="Book Antiqua" w:hAnsi="Book Antiqua" w:cs="Arial"/>
        </w:rPr>
        <w:t xml:space="preserve">. </w:t>
      </w:r>
      <w:r w:rsidR="004A4570" w:rsidRPr="004A4570">
        <w:rPr>
          <w:rFonts w:ascii="Book Antiqua" w:hAnsi="Book Antiqua" w:cs="Arial"/>
        </w:rPr>
        <w:t xml:space="preserve">There are also other factors to consider. </w:t>
      </w:r>
      <w:r w:rsidR="003F095D" w:rsidRPr="004A4570">
        <w:rPr>
          <w:rFonts w:ascii="Book Antiqua" w:hAnsi="Book Antiqua" w:cs="Arial"/>
        </w:rPr>
        <w:t>While the appellant speaks English</w:t>
      </w:r>
      <w:r w:rsidR="004A4570" w:rsidRPr="004A4570">
        <w:rPr>
          <w:rFonts w:ascii="Book Antiqua" w:hAnsi="Book Antiqua" w:cs="Arial"/>
        </w:rPr>
        <w:t>,</w:t>
      </w:r>
      <w:r w:rsidR="003F095D" w:rsidRPr="004A4570">
        <w:rPr>
          <w:rFonts w:ascii="Book Antiqua" w:hAnsi="Book Antiqua" w:cs="Arial"/>
        </w:rPr>
        <w:t xml:space="preserve"> he</w:t>
      </w:r>
      <w:r w:rsidR="004A4570">
        <w:rPr>
          <w:rFonts w:ascii="Book Antiqua" w:hAnsi="Book Antiqua" w:cs="Arial"/>
        </w:rPr>
        <w:t xml:space="preserve"> is not financially </w:t>
      </w:r>
      <w:r w:rsidR="00824C63">
        <w:rPr>
          <w:rFonts w:ascii="Book Antiqua" w:hAnsi="Book Antiqua" w:cs="Arial"/>
        </w:rPr>
        <w:t>independent,</w:t>
      </w:r>
      <w:r w:rsidR="004A4570">
        <w:rPr>
          <w:rFonts w:ascii="Book Antiqua" w:hAnsi="Book Antiqua" w:cs="Arial"/>
        </w:rPr>
        <w:t xml:space="preserve"> and this is an additional factor that weighs against him</w:t>
      </w:r>
      <w:r w:rsidR="00F84A79" w:rsidRPr="004A4570">
        <w:rPr>
          <w:rFonts w:ascii="Book Antiqua" w:hAnsi="Book Antiqua" w:cs="Arial"/>
        </w:rPr>
        <w:t xml:space="preserve"> and in favo</w:t>
      </w:r>
      <w:r w:rsidR="004A4570">
        <w:rPr>
          <w:rFonts w:ascii="Book Antiqua" w:hAnsi="Book Antiqua" w:cs="Arial"/>
        </w:rPr>
        <w:t>ur of the public interest</w:t>
      </w:r>
      <w:r w:rsidR="00F84A79" w:rsidRPr="004A4570">
        <w:rPr>
          <w:rFonts w:ascii="Book Antiqua" w:hAnsi="Book Antiqua" w:cs="Arial"/>
        </w:rPr>
        <w:t>.</w:t>
      </w:r>
    </w:p>
    <w:p w:rsidR="00354EEF" w:rsidRPr="00773D25" w:rsidRDefault="00824C63" w:rsidP="00824C63">
      <w:pPr>
        <w:pStyle w:val="p"/>
        <w:numPr>
          <w:ilvl w:val="0"/>
          <w:numId w:val="0"/>
        </w:numPr>
        <w:ind w:left="567" w:hanging="567"/>
      </w:pPr>
      <w:r>
        <w:t>22.</w:t>
      </w:r>
      <w:r>
        <w:tab/>
      </w:r>
      <w:r w:rsidR="003C65EC">
        <w:t xml:space="preserve">Further, </w:t>
      </w:r>
      <w:r w:rsidR="00E129EB">
        <w:t xml:space="preserve">in my judgment, </w:t>
      </w:r>
      <w:r w:rsidR="003C65EC">
        <w:t xml:space="preserve">it is </w:t>
      </w:r>
      <w:r w:rsidR="00E129EB">
        <w:t xml:space="preserve">a material consideration to say that the case was not argued </w:t>
      </w:r>
      <w:r w:rsidR="00773D25">
        <w:t>by Mr D</w:t>
      </w:r>
      <w:r w:rsidR="00354EEF">
        <w:t>uffy on the basis that the requirements for entry clearanc</w:t>
      </w:r>
      <w:r w:rsidR="001E5E60">
        <w:t>e would not be met. Rather it i</w:t>
      </w:r>
      <w:r w:rsidR="00354EEF">
        <w:t>s sai</w:t>
      </w:r>
      <w:r w:rsidR="001E5E60">
        <w:t>d that it would be in the public interest</w:t>
      </w:r>
      <w:r w:rsidR="00354EEF">
        <w:t xml:space="preserve"> for the appellant to leave and make an application for e</w:t>
      </w:r>
      <w:r w:rsidR="003C65EC">
        <w:t>ntry clearance given that he has</w:t>
      </w:r>
      <w:r w:rsidR="00354EEF">
        <w:t xml:space="preserve"> established a relations</w:t>
      </w:r>
      <w:r w:rsidR="003C65EC">
        <w:t>hip</w:t>
      </w:r>
      <w:r w:rsidR="00773D25">
        <w:t xml:space="preserve"> while here unlawful</w:t>
      </w:r>
      <w:r w:rsidR="001E5E60">
        <w:t>ly.</w:t>
      </w:r>
    </w:p>
    <w:p w:rsidR="004423FC" w:rsidRPr="00824C63" w:rsidRDefault="00824C63" w:rsidP="00824C63">
      <w:pPr>
        <w:tabs>
          <w:tab w:val="left" w:pos="567"/>
        </w:tabs>
        <w:spacing w:before="240"/>
        <w:ind w:left="567" w:hanging="567"/>
        <w:jc w:val="both"/>
        <w:rPr>
          <w:rFonts w:ascii="Book Antiqua" w:hAnsi="Book Antiqua"/>
          <w:color w:val="000000"/>
        </w:rPr>
      </w:pPr>
      <w:r>
        <w:rPr>
          <w:rFonts w:ascii="Book Antiqua" w:hAnsi="Book Antiqua" w:cs="Arial"/>
        </w:rPr>
        <w:t>23.</w:t>
      </w:r>
      <w:r>
        <w:rPr>
          <w:rFonts w:ascii="Book Antiqua" w:hAnsi="Book Antiqua" w:cs="Arial"/>
        </w:rPr>
        <w:tab/>
      </w:r>
      <w:r w:rsidR="004423FC">
        <w:rPr>
          <w:rFonts w:ascii="Book Antiqua" w:hAnsi="Book Antiqua" w:cs="Arial"/>
        </w:rPr>
        <w:t xml:space="preserve">I have considered the </w:t>
      </w:r>
      <w:r w:rsidR="004423FC" w:rsidRPr="001E5E60">
        <w:rPr>
          <w:rFonts w:ascii="Book Antiqua" w:hAnsi="Book Antiqua" w:cs="Arial"/>
        </w:rPr>
        <w:t xml:space="preserve">lawfulness of requiring the appellant to leave to make an application for entry clearance to </w:t>
      </w:r>
      <w:r w:rsidRPr="001E5E60">
        <w:rPr>
          <w:rFonts w:ascii="Book Antiqua" w:hAnsi="Book Antiqua" w:cs="Arial"/>
        </w:rPr>
        <w:t>re-join</w:t>
      </w:r>
      <w:r w:rsidR="004423FC" w:rsidRPr="001E5E60">
        <w:rPr>
          <w:rFonts w:ascii="Book Antiqua" w:hAnsi="Book Antiqua" w:cs="Arial"/>
        </w:rPr>
        <w:t xml:space="preserve"> h</w:t>
      </w:r>
      <w:r w:rsidR="001E5E60" w:rsidRPr="001E5E60">
        <w:rPr>
          <w:rFonts w:ascii="Book Antiqua" w:hAnsi="Book Antiqua" w:cs="Arial"/>
        </w:rPr>
        <w:t>is wife and child in the UK</w:t>
      </w:r>
      <w:r w:rsidR="004423FC" w:rsidRPr="001E5E60">
        <w:rPr>
          <w:rFonts w:ascii="Book Antiqua" w:hAnsi="Book Antiqua" w:cs="Arial"/>
        </w:rPr>
        <w:t>. A factor of relevance is despite the appellant residing here unlawfully at a time wh</w:t>
      </w:r>
      <w:bookmarkStart w:id="6" w:name="para34"/>
      <w:r w:rsidR="003C65EC">
        <w:rPr>
          <w:rFonts w:ascii="Book Antiqua" w:hAnsi="Book Antiqua" w:cs="Arial"/>
        </w:rPr>
        <w:t>en the relationship was formed the question is whether he</w:t>
      </w:r>
      <w:r w:rsidR="004423FC" w:rsidRPr="001E5E60">
        <w:rPr>
          <w:rFonts w:ascii="Book Antiqua" w:hAnsi="Book Antiqua" w:cs="Arial"/>
        </w:rPr>
        <w:t xml:space="preserve"> </w:t>
      </w:r>
      <w:r w:rsidR="003C65EC">
        <w:rPr>
          <w:rFonts w:ascii="Book Antiqua" w:hAnsi="Book Antiqua"/>
          <w:color w:val="000000"/>
          <w:sz w:val="26"/>
          <w:szCs w:val="26"/>
        </w:rPr>
        <w:t>would be</w:t>
      </w:r>
      <w:r w:rsidR="004423FC" w:rsidRPr="001E5E60">
        <w:rPr>
          <w:rFonts w:ascii="Book Antiqua" w:hAnsi="Book Antiqua"/>
          <w:color w:val="000000"/>
          <w:sz w:val="26"/>
          <w:szCs w:val="26"/>
        </w:rPr>
        <w:t xml:space="preserve"> permitted to r</w:t>
      </w:r>
      <w:r w:rsidR="004423FC" w:rsidRPr="00824C63">
        <w:rPr>
          <w:rFonts w:ascii="Book Antiqua" w:hAnsi="Book Antiqua"/>
          <w:color w:val="000000"/>
        </w:rPr>
        <w:t xml:space="preserve">eside here lawfully if an application were made from outside the UK (see, for example, </w:t>
      </w:r>
      <w:r w:rsidR="004423FC" w:rsidRPr="00824C63">
        <w:rPr>
          <w:rFonts w:ascii="Book Antiqua" w:hAnsi="Book Antiqua"/>
          <w:b/>
          <w:iCs/>
          <w:color w:val="000000"/>
        </w:rPr>
        <w:t xml:space="preserve">Chikwamba v Secretary of State for the Home Department </w:t>
      </w:r>
      <w:bookmarkEnd w:id="6"/>
      <w:r w:rsidR="004423FC" w:rsidRPr="00824C63">
        <w:rPr>
          <w:rFonts w:ascii="Book Antiqua" w:hAnsi="Book Antiqua"/>
          <w:b/>
        </w:rPr>
        <w:t>[2008] UKHL 40</w:t>
      </w:r>
      <w:r w:rsidR="004423FC" w:rsidRPr="00824C63">
        <w:rPr>
          <w:rFonts w:ascii="Book Antiqua" w:hAnsi="Book Antiqua"/>
          <w:b/>
          <w:color w:val="000000"/>
        </w:rPr>
        <w:t xml:space="preserve"> </w:t>
      </w:r>
      <w:r w:rsidR="004423FC" w:rsidRPr="00824C63">
        <w:rPr>
          <w:rFonts w:ascii="Book Antiqua" w:hAnsi="Book Antiqua"/>
          <w:color w:val="000000"/>
        </w:rPr>
        <w:t xml:space="preserve">and </w:t>
      </w:r>
      <w:r w:rsidR="004423FC" w:rsidRPr="00824C63">
        <w:rPr>
          <w:rFonts w:ascii="Book Antiqua" w:hAnsi="Book Antiqua"/>
          <w:b/>
          <w:color w:val="000000"/>
        </w:rPr>
        <w:t xml:space="preserve">Hesham Ali (Iraq) v Secretary of State for the Home Department </w:t>
      </w:r>
      <w:r w:rsidR="001E5E60" w:rsidRPr="00824C63">
        <w:rPr>
          <w:rFonts w:ascii="Book Antiqua" w:hAnsi="Book Antiqua"/>
          <w:b/>
          <w:color w:val="000000"/>
        </w:rPr>
        <w:t>[2016] UKSC 60</w:t>
      </w:r>
      <w:r w:rsidR="004423FC" w:rsidRPr="00824C63">
        <w:rPr>
          <w:rFonts w:ascii="Book Antiqua" w:hAnsi="Book Antiqua"/>
          <w:color w:val="000000"/>
        </w:rPr>
        <w:t>.</w:t>
      </w:r>
    </w:p>
    <w:p w:rsidR="003F4E08" w:rsidRPr="00A60747" w:rsidRDefault="00824C63" w:rsidP="00A60747">
      <w:pPr>
        <w:tabs>
          <w:tab w:val="left" w:pos="567"/>
        </w:tabs>
        <w:spacing w:before="240"/>
        <w:ind w:left="567" w:hanging="567"/>
        <w:jc w:val="both"/>
        <w:rPr>
          <w:rFonts w:ascii="Book Antiqua" w:hAnsi="Book Antiqua"/>
          <w:color w:val="000000"/>
        </w:rPr>
      </w:pPr>
      <w:r>
        <w:rPr>
          <w:rFonts w:ascii="Book Antiqua" w:hAnsi="Book Antiqua"/>
          <w:color w:val="000000"/>
        </w:rPr>
        <w:t>24.</w:t>
      </w:r>
      <w:r>
        <w:rPr>
          <w:rFonts w:ascii="Book Antiqua" w:hAnsi="Book Antiqua"/>
          <w:color w:val="000000"/>
        </w:rPr>
        <w:tab/>
      </w:r>
      <w:r w:rsidR="003F4E08" w:rsidRPr="00824C63">
        <w:rPr>
          <w:rFonts w:ascii="Book Antiqua" w:hAnsi="Book Antiqua"/>
        </w:rPr>
        <w:t xml:space="preserve">The principal enunciated in </w:t>
      </w:r>
      <w:r w:rsidRPr="00A60747">
        <w:rPr>
          <w:rFonts w:ascii="Book Antiqua" w:eastAsia="Book Antiqua" w:hAnsi="Book Antiqua" w:cs="Book Antiqua"/>
          <w:b/>
        </w:rPr>
        <w:t>Chikwamba</w:t>
      </w:r>
      <w:r w:rsidRPr="00824C63">
        <w:rPr>
          <w:rFonts w:ascii="Book Antiqua" w:hAnsi="Book Antiqua"/>
        </w:rPr>
        <w:t xml:space="preserve"> only</w:t>
      </w:r>
      <w:r w:rsidR="003F4E08" w:rsidRPr="00824C63">
        <w:rPr>
          <w:rFonts w:ascii="Book Antiqua" w:hAnsi="Book Antiqua"/>
        </w:rPr>
        <w:t xml:space="preserve"> has application if a notional entry clearance application would be certain to be granted (see </w:t>
      </w:r>
      <w:r w:rsidR="003F4E08" w:rsidRPr="00824C63">
        <w:rPr>
          <w:rFonts w:ascii="Book Antiqua" w:eastAsia="Book Antiqua" w:hAnsi="Book Antiqua" w:cs="Book Antiqua"/>
          <w:i/>
        </w:rPr>
        <w:t>Agyarko</w:t>
      </w:r>
      <w:r w:rsidR="00CD3B18" w:rsidRPr="00824C63">
        <w:rPr>
          <w:rFonts w:ascii="Book Antiqua" w:hAnsi="Book Antiqua"/>
        </w:rPr>
        <w:t xml:space="preserve"> [2017] UKSC 11). </w:t>
      </w:r>
      <w:r w:rsidR="003F4E08" w:rsidRPr="00824C63">
        <w:rPr>
          <w:rFonts w:ascii="Book Antiqua" w:hAnsi="Book Antiqua"/>
        </w:rPr>
        <w:t xml:space="preserve">In </w:t>
      </w:r>
      <w:r w:rsidR="003F4E08" w:rsidRPr="00824C63">
        <w:rPr>
          <w:rFonts w:ascii="Book Antiqua" w:eastAsia="Book Antiqua" w:hAnsi="Book Antiqua" w:cs="Book Antiqua"/>
          <w:i/>
        </w:rPr>
        <w:t xml:space="preserve">Chen, </w:t>
      </w:r>
      <w:r w:rsidR="003F4E08" w:rsidRPr="00824C63">
        <w:rPr>
          <w:rFonts w:ascii="Book Antiqua" w:hAnsi="Book Antiqua"/>
        </w:rPr>
        <w:t xml:space="preserve">Upper Tribunal Judge Gill stated (at [39]), “In my judgement, if it is shown by an individual (the burden being upon him or her) that an application for entry clearance from abroad would be granted </w:t>
      </w:r>
      <w:r w:rsidR="003F4E08" w:rsidRPr="00824C63">
        <w:rPr>
          <w:rFonts w:ascii="Book Antiqua" w:eastAsia="Book Antiqua" w:hAnsi="Book Antiqua" w:cs="Book Antiqua"/>
          <w:i/>
          <w:u w:val="single" w:color="000000"/>
        </w:rPr>
        <w:t>and</w:t>
      </w:r>
      <w:r w:rsidR="003F4E08" w:rsidRPr="00824C63">
        <w:rPr>
          <w:rFonts w:ascii="Book Antiqua" w:hAnsi="Book Antiqua"/>
        </w:rPr>
        <w:t xml:space="preserve"> that there would be significant interference with family life by temporary removal, the weight to be accorded to the formal requirement of obtaining entry clearance is reduced.” </w:t>
      </w:r>
    </w:p>
    <w:p w:rsidR="00824C63" w:rsidRDefault="00824C63" w:rsidP="00CD3B18">
      <w:pPr>
        <w:spacing w:after="4" w:line="248" w:lineRule="auto"/>
        <w:ind w:right="73"/>
        <w:jc w:val="both"/>
        <w:rPr>
          <w:rFonts w:ascii="Book Antiqua" w:hAnsi="Book Antiqua"/>
        </w:rPr>
      </w:pPr>
    </w:p>
    <w:p w:rsidR="003C34FB" w:rsidRDefault="003B4ED1" w:rsidP="00824C63">
      <w:pPr>
        <w:spacing w:after="4" w:line="248" w:lineRule="auto"/>
        <w:ind w:left="567" w:right="73" w:hanging="567"/>
        <w:jc w:val="both"/>
        <w:rPr>
          <w:rFonts w:ascii="Book Antiqua" w:hAnsi="Book Antiqua"/>
        </w:rPr>
      </w:pPr>
      <w:r>
        <w:rPr>
          <w:rFonts w:ascii="Book Antiqua" w:hAnsi="Book Antiqua"/>
        </w:rPr>
        <w:t>25</w:t>
      </w:r>
      <w:r w:rsidR="00824C63">
        <w:rPr>
          <w:rFonts w:ascii="Book Antiqua" w:hAnsi="Book Antiqua"/>
        </w:rPr>
        <w:t>.</w:t>
      </w:r>
      <w:r w:rsidR="00824C63">
        <w:rPr>
          <w:rFonts w:ascii="Book Antiqua" w:hAnsi="Book Antiqua"/>
        </w:rPr>
        <w:tab/>
      </w:r>
      <w:r w:rsidR="00A60747" w:rsidRPr="00824C63">
        <w:rPr>
          <w:rFonts w:ascii="Book Antiqua" w:hAnsi="Book Antiqua"/>
          <w:color w:val="000000"/>
        </w:rPr>
        <w:t>Mr Duffy</w:t>
      </w:r>
      <w:r w:rsidR="00A60747">
        <w:rPr>
          <w:rFonts w:ascii="Book Antiqua" w:hAnsi="Book Antiqua"/>
          <w:color w:val="000000"/>
        </w:rPr>
        <w:t xml:space="preserve"> does not</w:t>
      </w:r>
      <w:r w:rsidR="00A60747" w:rsidRPr="00824C63">
        <w:rPr>
          <w:rFonts w:ascii="Book Antiqua" w:hAnsi="Book Antiqua"/>
          <w:color w:val="000000"/>
        </w:rPr>
        <w:t xml:space="preserve"> contest the financial circumstances of the appellant’s wife who is earning above the income threshold and nor </w:t>
      </w:r>
      <w:r w:rsidR="00A60747">
        <w:rPr>
          <w:rFonts w:ascii="Book Antiqua" w:hAnsi="Book Antiqua"/>
          <w:color w:val="000000"/>
        </w:rPr>
        <w:t xml:space="preserve">was it </w:t>
      </w:r>
      <w:r w:rsidR="002A4230">
        <w:rPr>
          <w:rFonts w:ascii="Book Antiqua" w:hAnsi="Book Antiqua"/>
          <w:color w:val="000000"/>
        </w:rPr>
        <w:t>suggested</w:t>
      </w:r>
      <w:r w:rsidR="00A60747" w:rsidRPr="00824C63">
        <w:rPr>
          <w:rFonts w:ascii="Book Antiqua" w:hAnsi="Book Antiqua"/>
          <w:color w:val="000000"/>
        </w:rPr>
        <w:t xml:space="preserve"> that the Rules would </w:t>
      </w:r>
      <w:r w:rsidR="00A60747" w:rsidRPr="00824C63">
        <w:rPr>
          <w:rFonts w:ascii="Book Antiqua" w:hAnsi="Book Antiqua"/>
          <w:color w:val="000000"/>
        </w:rPr>
        <w:lastRenderedPageBreak/>
        <w:t xml:space="preserve">not be satisfied. </w:t>
      </w:r>
      <w:r w:rsidR="00CD3B18" w:rsidRPr="00824C63">
        <w:rPr>
          <w:rFonts w:ascii="Book Antiqua" w:hAnsi="Book Antiqua"/>
        </w:rPr>
        <w:t xml:space="preserve">In view of how the case has argued before me I am satisfied that the appellant’s case does therefore fall within the parameters of the </w:t>
      </w:r>
      <w:r w:rsidR="00CD3B18" w:rsidRPr="00A60747">
        <w:rPr>
          <w:rFonts w:ascii="Book Antiqua" w:eastAsia="Book Antiqua" w:hAnsi="Book Antiqua" w:cs="Book Antiqua"/>
          <w:b/>
        </w:rPr>
        <w:t>Chikwamba</w:t>
      </w:r>
      <w:r w:rsidR="00A60747">
        <w:rPr>
          <w:rFonts w:ascii="Book Antiqua" w:hAnsi="Book Antiqua"/>
        </w:rPr>
        <w:t xml:space="preserve"> principle. </w:t>
      </w:r>
      <w:r>
        <w:rPr>
          <w:rFonts w:ascii="Book Antiqua" w:hAnsi="Book Antiqua"/>
        </w:rPr>
        <w:t>To expect him to leave behind his wife and child</w:t>
      </w:r>
      <w:r w:rsidR="00CD3B18" w:rsidRPr="00824C63">
        <w:rPr>
          <w:rFonts w:ascii="Book Antiqua" w:hAnsi="Book Antiqua"/>
        </w:rPr>
        <w:t xml:space="preserve"> in view of</w:t>
      </w:r>
      <w:r>
        <w:rPr>
          <w:rFonts w:ascii="Book Antiqua" w:hAnsi="Book Antiqua"/>
        </w:rPr>
        <w:t xml:space="preserve"> my</w:t>
      </w:r>
      <w:r w:rsidR="00CD3B18" w:rsidRPr="00824C63">
        <w:rPr>
          <w:rFonts w:ascii="Book Antiqua" w:hAnsi="Book Antiqua"/>
        </w:rPr>
        <w:t xml:space="preserve"> finding in relation to the child’s best interests would be </w:t>
      </w:r>
      <w:r>
        <w:rPr>
          <w:rFonts w:ascii="Book Antiqua" w:hAnsi="Book Antiqua"/>
        </w:rPr>
        <w:t xml:space="preserve">a </w:t>
      </w:r>
      <w:r w:rsidR="00CD3B18" w:rsidRPr="00824C63">
        <w:rPr>
          <w:rFonts w:ascii="Book Antiqua" w:hAnsi="Book Antiqua"/>
        </w:rPr>
        <w:t>disproportionate interference with family life at a time when the ap</w:t>
      </w:r>
      <w:r>
        <w:rPr>
          <w:rFonts w:ascii="Book Antiqua" w:hAnsi="Book Antiqua"/>
        </w:rPr>
        <w:t xml:space="preserve">pellant plays </w:t>
      </w:r>
      <w:r w:rsidR="002A4230">
        <w:rPr>
          <w:rFonts w:ascii="Book Antiqua" w:hAnsi="Book Antiqua"/>
        </w:rPr>
        <w:t>a significant role</w:t>
      </w:r>
      <w:r>
        <w:rPr>
          <w:rFonts w:ascii="Book Antiqua" w:hAnsi="Book Antiqua"/>
        </w:rPr>
        <w:t xml:space="preserve"> in the</w:t>
      </w:r>
      <w:r w:rsidR="00CD3B18" w:rsidRPr="00824C63">
        <w:rPr>
          <w:rFonts w:ascii="Book Antiqua" w:hAnsi="Book Antiqua"/>
        </w:rPr>
        <w:t xml:space="preserve"> child</w:t>
      </w:r>
      <w:r>
        <w:rPr>
          <w:rFonts w:ascii="Book Antiqua" w:hAnsi="Book Antiqua"/>
        </w:rPr>
        <w:t>’s life,</w:t>
      </w:r>
      <w:r w:rsidR="00CD3B18" w:rsidRPr="00824C63">
        <w:rPr>
          <w:rFonts w:ascii="Book Antiqua" w:hAnsi="Book Antiqua"/>
        </w:rPr>
        <w:t xml:space="preserve"> and indeed</w:t>
      </w:r>
      <w:r>
        <w:rPr>
          <w:rFonts w:ascii="Book Antiqua" w:hAnsi="Book Antiqua"/>
        </w:rPr>
        <w:t xml:space="preserve"> </w:t>
      </w:r>
      <w:r w:rsidR="00CD3B18" w:rsidRPr="00824C63">
        <w:rPr>
          <w:rFonts w:ascii="Book Antiqua" w:hAnsi="Book Antiqua"/>
        </w:rPr>
        <w:t xml:space="preserve">that of his wife who is expecting their second child. </w:t>
      </w:r>
    </w:p>
    <w:p w:rsidR="003C65EC" w:rsidRDefault="003C65EC" w:rsidP="00824C63">
      <w:pPr>
        <w:spacing w:after="4" w:line="248" w:lineRule="auto"/>
        <w:ind w:left="567" w:right="73" w:hanging="567"/>
        <w:jc w:val="both"/>
        <w:rPr>
          <w:rFonts w:ascii="Book Antiqua" w:hAnsi="Book Antiqua"/>
        </w:rPr>
      </w:pPr>
    </w:p>
    <w:p w:rsidR="003C65EC" w:rsidRPr="00824C63" w:rsidRDefault="003B4ED1" w:rsidP="00824C63">
      <w:pPr>
        <w:spacing w:after="4" w:line="248" w:lineRule="auto"/>
        <w:ind w:left="567" w:right="73" w:hanging="567"/>
        <w:jc w:val="both"/>
        <w:rPr>
          <w:rFonts w:ascii="Book Antiqua" w:hAnsi="Book Antiqua"/>
        </w:rPr>
      </w:pPr>
      <w:r>
        <w:rPr>
          <w:rFonts w:ascii="Book Antiqua" w:hAnsi="Book Antiqua" w:cs="Arial"/>
        </w:rPr>
        <w:t>26.</w:t>
      </w:r>
      <w:r>
        <w:rPr>
          <w:rFonts w:ascii="Book Antiqua" w:hAnsi="Book Antiqua" w:cs="Arial"/>
        </w:rPr>
        <w:tab/>
      </w:r>
      <w:r w:rsidR="003C65EC">
        <w:rPr>
          <w:rFonts w:ascii="Book Antiqua" w:hAnsi="Book Antiqua" w:cs="Arial"/>
        </w:rPr>
        <w:t xml:space="preserve">I take into account </w:t>
      </w:r>
      <w:r w:rsidR="002A4230">
        <w:rPr>
          <w:rFonts w:ascii="Book Antiqua" w:hAnsi="Book Antiqua" w:cs="Arial"/>
        </w:rPr>
        <w:t>all</w:t>
      </w:r>
      <w:r w:rsidR="003C65EC">
        <w:rPr>
          <w:rFonts w:ascii="Book Antiqua" w:hAnsi="Book Antiqua" w:cs="Arial"/>
        </w:rPr>
        <w:t xml:space="preserve"> the above factors. However, particularly strong reasons are required to refuse leave when the best interests of a British Citizen child </w:t>
      </w:r>
      <w:r w:rsidR="002A4230">
        <w:rPr>
          <w:rFonts w:ascii="Book Antiqua" w:hAnsi="Book Antiqua" w:cs="Arial"/>
        </w:rPr>
        <w:t>are</w:t>
      </w:r>
      <w:r w:rsidR="003C65EC">
        <w:rPr>
          <w:rFonts w:ascii="Book Antiqua" w:hAnsi="Book Antiqua" w:cs="Arial"/>
        </w:rPr>
        <w:t xml:space="preserve"> for her to remain living with both parents in the UK. In this case, the countervailing reasons are not sufficiently strong to outweigh those best in</w:t>
      </w:r>
      <w:r w:rsidR="0055696B">
        <w:rPr>
          <w:rFonts w:ascii="Book Antiqua" w:hAnsi="Book Antiqua" w:cs="Arial"/>
        </w:rPr>
        <w:t xml:space="preserve">terests. </w:t>
      </w:r>
      <w:r w:rsidR="003C65EC">
        <w:rPr>
          <w:rFonts w:ascii="Book Antiqua" w:hAnsi="Book Antiqua" w:cs="Arial"/>
        </w:rPr>
        <w:t>They are not, as the respondent’s guidance puts it “</w:t>
      </w:r>
      <w:r w:rsidR="003C65EC" w:rsidRPr="00D73949">
        <w:rPr>
          <w:rFonts w:ascii="Book Antiqua" w:hAnsi="Book Antiqua" w:cs="Arial"/>
        </w:rPr>
        <w:t xml:space="preserve">public interest considerations of </w:t>
      </w:r>
      <w:r>
        <w:rPr>
          <w:rFonts w:ascii="Book Antiqua" w:hAnsi="Book Antiqua" w:cs="Arial"/>
        </w:rPr>
        <w:t>such weight as to justify [the claim</w:t>
      </w:r>
      <w:r w:rsidR="003C65EC" w:rsidRPr="00D73949">
        <w:rPr>
          <w:rFonts w:ascii="Book Antiqua" w:hAnsi="Book Antiqua" w:cs="Arial"/>
        </w:rPr>
        <w:t>ant’s] removal</w:t>
      </w:r>
      <w:r w:rsidR="003C65EC">
        <w:rPr>
          <w:rFonts w:ascii="Book Antiqua" w:hAnsi="Book Antiqua" w:cs="Arial"/>
          <w:sz w:val="22"/>
          <w:szCs w:val="22"/>
        </w:rPr>
        <w:t xml:space="preserve">”. </w:t>
      </w:r>
      <w:r w:rsidR="003C65EC">
        <w:rPr>
          <w:rFonts w:ascii="Book Antiqua" w:hAnsi="Book Antiqua" w:cs="Arial"/>
        </w:rPr>
        <w:t xml:space="preserve"> </w:t>
      </w:r>
    </w:p>
    <w:p w:rsidR="00144FC5" w:rsidRPr="003B4ED1" w:rsidRDefault="00144FC5" w:rsidP="00144FC5">
      <w:pPr>
        <w:spacing w:before="240"/>
        <w:jc w:val="both"/>
        <w:rPr>
          <w:rFonts w:ascii="Book Antiqua" w:hAnsi="Book Antiqua" w:cs="Arial"/>
          <w:b/>
          <w:u w:val="single"/>
        </w:rPr>
      </w:pPr>
      <w:r w:rsidRPr="003B4ED1">
        <w:rPr>
          <w:rFonts w:ascii="Book Antiqua" w:hAnsi="Book Antiqua" w:cs="Arial"/>
          <w:b/>
          <w:u w:val="single"/>
        </w:rPr>
        <w:t>Decision</w:t>
      </w:r>
    </w:p>
    <w:p w:rsidR="00144FC5" w:rsidRPr="009B7433" w:rsidRDefault="00903102" w:rsidP="00824C63">
      <w:pPr>
        <w:spacing w:before="240"/>
        <w:jc w:val="both"/>
        <w:rPr>
          <w:rFonts w:ascii="Book Antiqua" w:hAnsi="Book Antiqua" w:cs="Arial"/>
        </w:rPr>
      </w:pPr>
      <w:r>
        <w:rPr>
          <w:rFonts w:ascii="Book Antiqua" w:hAnsi="Book Antiqua" w:cs="Arial"/>
        </w:rPr>
        <w:t>For the above reasons</w:t>
      </w:r>
      <w:r w:rsidR="000F5751">
        <w:rPr>
          <w:rFonts w:ascii="Book Antiqua" w:hAnsi="Book Antiqua" w:cs="Arial"/>
        </w:rPr>
        <w:t>, I</w:t>
      </w:r>
      <w:r w:rsidR="00144FC5">
        <w:rPr>
          <w:rFonts w:ascii="Book Antiqua" w:hAnsi="Book Antiqua" w:cs="Arial"/>
        </w:rPr>
        <w:t xml:space="preserve"> conclude that the First-tier Tribu</w:t>
      </w:r>
      <w:r w:rsidR="000F5751">
        <w:rPr>
          <w:rFonts w:ascii="Book Antiqua" w:hAnsi="Book Antiqua" w:cs="Arial"/>
        </w:rPr>
        <w:t>nal materially erred in law.  I</w:t>
      </w:r>
      <w:r w:rsidR="00144FC5">
        <w:rPr>
          <w:rFonts w:ascii="Book Antiqua" w:hAnsi="Book Antiqua" w:cs="Arial"/>
        </w:rPr>
        <w:t xml:space="preserve"> set aside the decision and remake it allowing the appellant’s appeal under</w:t>
      </w:r>
      <w:r w:rsidR="00912B28">
        <w:rPr>
          <w:rFonts w:ascii="Book Antiqua" w:hAnsi="Book Antiqua" w:cs="Arial"/>
        </w:rPr>
        <w:t xml:space="preserve"> </w:t>
      </w:r>
      <w:r w:rsidR="00824C63">
        <w:rPr>
          <w:rFonts w:ascii="Book Antiqua" w:hAnsi="Book Antiqua" w:cs="Arial"/>
        </w:rPr>
        <w:t>paragraph</w:t>
      </w:r>
      <w:r w:rsidR="00912B28">
        <w:rPr>
          <w:rFonts w:ascii="Book Antiqua" w:hAnsi="Book Antiqua" w:cs="Arial"/>
        </w:rPr>
        <w:t xml:space="preserve"> EX.</w:t>
      </w:r>
      <w:proofErr w:type="gramStart"/>
      <w:r w:rsidR="00912B28">
        <w:rPr>
          <w:rFonts w:ascii="Book Antiqua" w:hAnsi="Book Antiqua" w:cs="Arial"/>
        </w:rPr>
        <w:t>1.(</w:t>
      </w:r>
      <w:proofErr w:type="gramEnd"/>
      <w:r w:rsidR="00912B28">
        <w:rPr>
          <w:rFonts w:ascii="Book Antiqua" w:hAnsi="Book Antiqua" w:cs="Arial"/>
        </w:rPr>
        <w:t>a) and</w:t>
      </w:r>
      <w:r w:rsidR="00144FC5">
        <w:rPr>
          <w:rFonts w:ascii="Book Antiqua" w:hAnsi="Book Antiqua" w:cs="Arial"/>
        </w:rPr>
        <w:t xml:space="preserve"> Art 8 of the ECHR.  </w:t>
      </w:r>
    </w:p>
    <w:p w:rsidR="002C240C" w:rsidRPr="00912B28" w:rsidRDefault="002C240C" w:rsidP="00C64206">
      <w:pPr>
        <w:tabs>
          <w:tab w:val="left" w:pos="567"/>
        </w:tabs>
        <w:spacing w:before="240"/>
        <w:jc w:val="both"/>
        <w:rPr>
          <w:rFonts w:ascii="Book Antiqua" w:hAnsi="Book Antiqua" w:cs="Arial"/>
        </w:rPr>
      </w:pPr>
      <w:r w:rsidRPr="003B4ED1">
        <w:rPr>
          <w:rFonts w:ascii="Book Antiqua" w:hAnsi="Book Antiqua" w:cs="Arial"/>
          <w:b/>
          <w:color w:val="0B0C0C"/>
          <w:u w:val="single"/>
        </w:rPr>
        <w:t>Anonymity</w:t>
      </w:r>
      <w:r w:rsidRPr="003B4ED1">
        <w:rPr>
          <w:rFonts w:ascii="Book Antiqua" w:hAnsi="Book Antiqua"/>
          <w:b/>
          <w:color w:val="0B0C0C"/>
          <w:u w:val="single"/>
        </w:rPr>
        <w:br/>
      </w:r>
      <w:r w:rsidRPr="00912B28">
        <w:rPr>
          <w:rFonts w:ascii="Book Antiqua" w:hAnsi="Book Antiqua"/>
          <w:color w:val="0B0C0C"/>
        </w:rPr>
        <w:br/>
      </w:r>
      <w:r w:rsidR="00912B28">
        <w:rPr>
          <w:rFonts w:ascii="Book Antiqua" w:hAnsi="Book Antiqua" w:cs="Arial"/>
          <w:color w:val="0B0C0C"/>
        </w:rPr>
        <w:t>The First-tier Tribunal</w:t>
      </w:r>
      <w:r w:rsidR="00F2569A">
        <w:rPr>
          <w:rFonts w:ascii="Book Antiqua" w:hAnsi="Book Antiqua" w:cs="Arial"/>
          <w:color w:val="0B0C0C"/>
        </w:rPr>
        <w:t xml:space="preserve"> made no anonymity </w:t>
      </w:r>
      <w:r w:rsidR="00824C63" w:rsidRPr="00912B28">
        <w:rPr>
          <w:rFonts w:ascii="Book Antiqua" w:hAnsi="Book Antiqua" w:cs="Arial"/>
          <w:color w:val="0B0C0C"/>
        </w:rPr>
        <w:t>order,</w:t>
      </w:r>
      <w:r w:rsidRPr="00912B28">
        <w:rPr>
          <w:rFonts w:ascii="Book Antiqua" w:hAnsi="Book Antiqua" w:cs="Arial"/>
          <w:color w:val="0B0C0C"/>
        </w:rPr>
        <w:t xml:space="preserve"> and none has been applied f</w:t>
      </w:r>
      <w:r w:rsidR="00F2569A">
        <w:rPr>
          <w:rFonts w:ascii="Book Antiqua" w:hAnsi="Book Antiqua" w:cs="Arial"/>
          <w:color w:val="0B0C0C"/>
        </w:rPr>
        <w:t>or. I make no order</w:t>
      </w:r>
      <w:r w:rsidRPr="00912B28">
        <w:rPr>
          <w:rFonts w:ascii="Book Antiqua" w:hAnsi="Book Antiqua" w:cs="Arial"/>
          <w:color w:val="0B0C0C"/>
        </w:rPr>
        <w:t xml:space="preserve"> on this occasion.</w:t>
      </w:r>
    </w:p>
    <w:p w:rsidR="00B0186D" w:rsidRPr="00B57D66" w:rsidRDefault="00B0186D" w:rsidP="00B0186D">
      <w:pPr>
        <w:ind w:left="540" w:hanging="540"/>
        <w:jc w:val="both"/>
        <w:rPr>
          <w:rFonts w:ascii="Book Antiqua" w:hAnsi="Book Antiqua" w:cs="Arial"/>
        </w:rPr>
      </w:pPr>
    </w:p>
    <w:p w:rsidR="00F2569A" w:rsidRPr="00423536" w:rsidRDefault="003476AC" w:rsidP="00423536">
      <w:pPr>
        <w:rPr>
          <w:rFonts w:ascii="Book Antiqua" w:hAnsi="Book Antiqua"/>
          <w:color w:val="0B0C0C"/>
        </w:rPr>
      </w:pPr>
      <w:r w:rsidRPr="003B4ED1">
        <w:rPr>
          <w:rFonts w:ascii="Book Antiqua" w:hAnsi="Book Antiqua" w:cs="Arial"/>
          <w:b/>
          <w:color w:val="0B0C0C"/>
        </w:rPr>
        <w:t xml:space="preserve">Fee Award Note: this </w:t>
      </w:r>
      <w:r w:rsidR="00F2569A" w:rsidRPr="003B4ED1">
        <w:rPr>
          <w:rFonts w:ascii="Book Antiqua" w:hAnsi="Book Antiqua" w:cs="Arial"/>
          <w:b/>
          <w:color w:val="0B0C0C"/>
        </w:rPr>
        <w:t>is not part of the Decision</w:t>
      </w:r>
      <w:r w:rsidRPr="00F2569A">
        <w:rPr>
          <w:rFonts w:ascii="Book Antiqua" w:hAnsi="Book Antiqua" w:cs="Arial"/>
          <w:color w:val="0B0C0C"/>
        </w:rPr>
        <w:t>.</w:t>
      </w:r>
      <w:r w:rsidRPr="00F2569A">
        <w:rPr>
          <w:rFonts w:ascii="Book Antiqua" w:hAnsi="Book Antiqua"/>
          <w:color w:val="0B0C0C"/>
        </w:rPr>
        <w:br/>
      </w:r>
      <w:r w:rsidRPr="00F2569A">
        <w:rPr>
          <w:rFonts w:ascii="Book Antiqua" w:hAnsi="Book Antiqua"/>
          <w:color w:val="0B0C0C"/>
        </w:rPr>
        <w:br/>
      </w:r>
      <w:r w:rsidRPr="00F2569A">
        <w:rPr>
          <w:rFonts w:ascii="Book Antiqua" w:hAnsi="Book Antiqua" w:cs="Arial"/>
          <w:color w:val="0B0C0C"/>
        </w:rPr>
        <w:t>In t</w:t>
      </w:r>
      <w:r w:rsidR="00F2569A">
        <w:rPr>
          <w:rFonts w:ascii="Book Antiqua" w:hAnsi="Book Antiqua" w:cs="Arial"/>
          <w:color w:val="0B0C0C"/>
        </w:rPr>
        <w:t>he light of my decision to allow the appeal</w:t>
      </w:r>
      <w:r w:rsidRPr="00F2569A">
        <w:rPr>
          <w:rFonts w:ascii="Book Antiqua" w:hAnsi="Book Antiqua" w:cs="Arial"/>
          <w:color w:val="0B0C0C"/>
        </w:rPr>
        <w:t>, I have considered whether to make a fee award. I have had regard to the Joint Presidential Guidance Note: Fee Awards in Immigration Ap</w:t>
      </w:r>
      <w:r w:rsidR="00F2569A">
        <w:rPr>
          <w:rFonts w:ascii="Book Antiqua" w:hAnsi="Book Antiqua" w:cs="Arial"/>
          <w:color w:val="0B0C0C"/>
        </w:rPr>
        <w:t>peals. I have decided to make a full</w:t>
      </w:r>
      <w:r w:rsidRPr="00F2569A">
        <w:rPr>
          <w:rFonts w:ascii="Book Antiqua" w:hAnsi="Book Antiqua" w:cs="Arial"/>
          <w:color w:val="0B0C0C"/>
        </w:rPr>
        <w:t xml:space="preserve"> fee award because</w:t>
      </w:r>
      <w:r w:rsidR="00F2569A">
        <w:rPr>
          <w:rFonts w:ascii="Book Antiqua" w:hAnsi="Book Antiqua" w:cs="Arial"/>
          <w:color w:val="0B0C0C"/>
        </w:rPr>
        <w:t xml:space="preserve"> I have remade the decision on the evidence before the respondent. In the circumstances I see no reason in this case why the fee should not follow the event. </w:t>
      </w:r>
    </w:p>
    <w:p w:rsidR="00F2569A" w:rsidRDefault="00F2569A">
      <w:pPr>
        <w:rPr>
          <w:rFonts w:ascii="Book Antiqua" w:hAnsi="Book Antiqua" w:cs="Arial"/>
          <w:color w:val="0B0C0C"/>
        </w:rPr>
      </w:pPr>
    </w:p>
    <w:p w:rsidR="003B4ED1" w:rsidRDefault="003B4ED1" w:rsidP="00F2569A">
      <w:pPr>
        <w:ind w:left="540" w:hanging="540"/>
        <w:jc w:val="both"/>
        <w:rPr>
          <w:rFonts w:ascii="Book Antiqua" w:hAnsi="Book Antiqua" w:cs="Arial"/>
          <w:color w:val="0B0C0C"/>
        </w:rPr>
      </w:pPr>
    </w:p>
    <w:p w:rsidR="00F2569A" w:rsidRPr="00B57D66" w:rsidRDefault="00F2569A" w:rsidP="00F2569A">
      <w:pPr>
        <w:ind w:left="540" w:hanging="540"/>
        <w:jc w:val="both"/>
        <w:rPr>
          <w:rFonts w:ascii="Book Antiqua" w:hAnsi="Book Antiqua" w:cs="Arial"/>
        </w:rPr>
      </w:pPr>
      <w:r w:rsidRPr="00B57D66">
        <w:rPr>
          <w:rFonts w:ascii="Book Antiqua" w:hAnsi="Book Antiqua" w:cs="Arial"/>
        </w:rPr>
        <w:t>Signed</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t>Date</w:t>
      </w:r>
      <w:r>
        <w:rPr>
          <w:rFonts w:ascii="Book Antiqua" w:hAnsi="Book Antiqua" w:cs="Arial"/>
        </w:rPr>
        <w:t>: 6 June 2018</w:t>
      </w:r>
    </w:p>
    <w:p w:rsidR="00F2569A" w:rsidRDefault="00F2569A" w:rsidP="00F2569A">
      <w:pPr>
        <w:tabs>
          <w:tab w:val="left" w:pos="2520"/>
        </w:tabs>
        <w:ind w:left="540" w:hanging="540"/>
        <w:jc w:val="both"/>
        <w:rPr>
          <w:rFonts w:ascii="Book Antiqua" w:hAnsi="Book Antiqua" w:cs="Arial"/>
          <w:color w:val="000000"/>
        </w:rPr>
      </w:pPr>
    </w:p>
    <w:p w:rsidR="00F2569A" w:rsidRDefault="00F2569A" w:rsidP="00F2569A">
      <w:pPr>
        <w:tabs>
          <w:tab w:val="left" w:pos="2520"/>
        </w:tabs>
        <w:ind w:left="540" w:hanging="540"/>
        <w:jc w:val="both"/>
        <w:rPr>
          <w:rFonts w:ascii="Book Antiqua" w:hAnsi="Book Antiqua" w:cs="Arial"/>
          <w:color w:val="000000"/>
        </w:rPr>
      </w:pPr>
      <w:r>
        <w:rPr>
          <w:rFonts w:ascii="Book Antiqua" w:hAnsi="Book Antiqua" w:cs="Arial"/>
          <w:color w:val="000000"/>
        </w:rPr>
        <w:t xml:space="preserve">Deputy Upper Tribunal Judge </w:t>
      </w:r>
      <w:r w:rsidR="008C5827">
        <w:rPr>
          <w:rFonts w:ascii="Book Antiqua" w:hAnsi="Book Antiqua" w:cs="Arial"/>
          <w:color w:val="000000"/>
        </w:rPr>
        <w:t>Bagral</w:t>
      </w:r>
    </w:p>
    <w:p w:rsidR="002B5C2A" w:rsidRPr="00F2569A" w:rsidRDefault="002B5C2A">
      <w:pPr>
        <w:rPr>
          <w:rFonts w:ascii="Book Antiqua" w:hAnsi="Book Antiqua"/>
        </w:rPr>
      </w:pPr>
    </w:p>
    <w:sectPr w:rsidR="002B5C2A" w:rsidRPr="00F2569A" w:rsidSect="00F11BCD">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D91" w:rsidRDefault="003D6D91" w:rsidP="000C0825">
      <w:r>
        <w:separator/>
      </w:r>
    </w:p>
  </w:endnote>
  <w:endnote w:type="continuationSeparator" w:id="0">
    <w:p w:rsidR="003D6D91" w:rsidRDefault="003D6D91" w:rsidP="000C0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BCD" w:rsidRPr="00B57D66" w:rsidRDefault="00F11BCD" w:rsidP="00F11BCD">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4E043D">
      <w:rPr>
        <w:rStyle w:val="PageNumber"/>
        <w:rFonts w:ascii="Book Antiqua" w:hAnsi="Book Antiqua" w:cs="Arial"/>
        <w:noProof/>
        <w:sz w:val="16"/>
        <w:szCs w:val="16"/>
      </w:rPr>
      <w:t>6</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BCD" w:rsidRPr="00B57D66" w:rsidRDefault="00F11BCD" w:rsidP="00F11BCD">
    <w:pPr>
      <w:jc w:val="center"/>
      <w:rPr>
        <w:rFonts w:ascii="Book Antiqua" w:hAnsi="Book Antiqua" w:cs="Arial"/>
        <w:b/>
      </w:rPr>
    </w:pPr>
    <w:r w:rsidRPr="00B57D6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D91" w:rsidRDefault="003D6D91" w:rsidP="000C0825">
      <w:r>
        <w:separator/>
      </w:r>
    </w:p>
  </w:footnote>
  <w:footnote w:type="continuationSeparator" w:id="0">
    <w:p w:rsidR="003D6D91" w:rsidRDefault="003D6D91" w:rsidP="000C0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BCD" w:rsidRPr="00B57D66" w:rsidRDefault="00F11BCD" w:rsidP="00F11BCD">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644EA7">
      <w:rPr>
        <w:rFonts w:ascii="Book Antiqua" w:hAnsi="Book Antiqua" w:cs="Arial"/>
        <w:sz w:val="16"/>
        <w:szCs w:val="16"/>
      </w:rPr>
      <w:t>IA</w:t>
    </w:r>
    <w:r>
      <w:rPr>
        <w:rFonts w:ascii="Book Antiqua" w:hAnsi="Book Antiqua" w:cs="Arial"/>
        <w:sz w:val="16"/>
        <w:szCs w:val="16"/>
      </w:rPr>
      <w:t>/20046/2015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BCD" w:rsidRPr="00B57D66" w:rsidRDefault="00F11BCD">
    <w:pPr>
      <w:pStyle w:val="Header"/>
      <w:rPr>
        <w:rFonts w:ascii="Book Antiqua" w:hAnsi="Book Antiqua"/>
      </w:rPr>
    </w:pPr>
    <w:r w:rsidRPr="00B57D66">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0BB"/>
    <w:multiLevelType w:val="hybridMultilevel"/>
    <w:tmpl w:val="AB8A5A9C"/>
    <w:lvl w:ilvl="0" w:tplc="52E463F6">
      <w:start w:val="1"/>
      <w:numFmt w:val="decimal"/>
      <w:lvlText w:val="%1."/>
      <w:lvlJc w:val="left"/>
      <w:pPr>
        <w:tabs>
          <w:tab w:val="num" w:pos="927"/>
        </w:tabs>
        <w:ind w:left="927" w:hanging="360"/>
      </w:pPr>
      <w:rPr>
        <w:rFonts w:cs="Times New Roman" w:hint="default"/>
        <w:b w:val="0"/>
        <w:i w:val="0"/>
      </w:rPr>
    </w:lvl>
    <w:lvl w:ilvl="1" w:tplc="08090017">
      <w:start w:val="1"/>
      <w:numFmt w:val="lowerLetter"/>
      <w:lvlText w:val="%2)"/>
      <w:lvlJc w:val="left"/>
      <w:pPr>
        <w:tabs>
          <w:tab w:val="num" w:pos="1647"/>
        </w:tabs>
        <w:ind w:left="1647" w:hanging="360"/>
      </w:pPr>
      <w:rPr>
        <w:rFonts w:cs="Times New Roman" w:hint="default"/>
      </w:rPr>
    </w:lvl>
    <w:lvl w:ilvl="2" w:tplc="AE243D36">
      <w:start w:val="1"/>
      <w:numFmt w:val="lowerLetter"/>
      <w:lvlText w:val="(%3)"/>
      <w:lvlJc w:val="left"/>
      <w:pPr>
        <w:tabs>
          <w:tab w:val="num" w:pos="2697"/>
        </w:tabs>
        <w:ind w:left="2697" w:hanging="510"/>
      </w:pPr>
      <w:rPr>
        <w:rFonts w:cs="Times New Roman" w:hint="default"/>
      </w:rPr>
    </w:lvl>
    <w:lvl w:ilvl="3" w:tplc="D5969070">
      <w:start w:val="1"/>
      <w:numFmt w:val="lowerRoman"/>
      <w:lvlText w:val="(%4)"/>
      <w:lvlJc w:val="left"/>
      <w:pPr>
        <w:ind w:left="3447" w:hanging="720"/>
      </w:pPr>
      <w:rPr>
        <w:rFonts w:cs="Times New Roman" w:hint="default"/>
      </w:rPr>
    </w:lvl>
    <w:lvl w:ilvl="4" w:tplc="08090019">
      <w:start w:val="1"/>
      <w:numFmt w:val="lowerLetter"/>
      <w:lvlText w:val="%5."/>
      <w:lvlJc w:val="left"/>
      <w:pPr>
        <w:tabs>
          <w:tab w:val="num" w:pos="3807"/>
        </w:tabs>
        <w:ind w:left="3807" w:hanging="360"/>
      </w:pPr>
      <w:rPr>
        <w:rFonts w:cs="Times New Roman"/>
      </w:rPr>
    </w:lvl>
    <w:lvl w:ilvl="5" w:tplc="0809001B" w:tentative="1">
      <w:start w:val="1"/>
      <w:numFmt w:val="lowerRoman"/>
      <w:lvlText w:val="%6."/>
      <w:lvlJc w:val="right"/>
      <w:pPr>
        <w:tabs>
          <w:tab w:val="num" w:pos="4527"/>
        </w:tabs>
        <w:ind w:left="4527" w:hanging="180"/>
      </w:pPr>
      <w:rPr>
        <w:rFonts w:cs="Times New Roman"/>
      </w:rPr>
    </w:lvl>
    <w:lvl w:ilvl="6" w:tplc="0809000F" w:tentative="1">
      <w:start w:val="1"/>
      <w:numFmt w:val="decimal"/>
      <w:lvlText w:val="%7."/>
      <w:lvlJc w:val="left"/>
      <w:pPr>
        <w:tabs>
          <w:tab w:val="num" w:pos="5247"/>
        </w:tabs>
        <w:ind w:left="5247" w:hanging="360"/>
      </w:pPr>
      <w:rPr>
        <w:rFonts w:cs="Times New Roman"/>
      </w:rPr>
    </w:lvl>
    <w:lvl w:ilvl="7" w:tplc="08090019" w:tentative="1">
      <w:start w:val="1"/>
      <w:numFmt w:val="lowerLetter"/>
      <w:lvlText w:val="%8."/>
      <w:lvlJc w:val="left"/>
      <w:pPr>
        <w:tabs>
          <w:tab w:val="num" w:pos="5967"/>
        </w:tabs>
        <w:ind w:left="5967" w:hanging="360"/>
      </w:pPr>
      <w:rPr>
        <w:rFonts w:cs="Times New Roman"/>
      </w:rPr>
    </w:lvl>
    <w:lvl w:ilvl="8" w:tplc="0809001B" w:tentative="1">
      <w:start w:val="1"/>
      <w:numFmt w:val="lowerRoman"/>
      <w:lvlText w:val="%9."/>
      <w:lvlJc w:val="right"/>
      <w:pPr>
        <w:tabs>
          <w:tab w:val="num" w:pos="6687"/>
        </w:tabs>
        <w:ind w:left="6687" w:hanging="180"/>
      </w:pPr>
      <w:rPr>
        <w:rFonts w:cs="Times New Roman"/>
      </w:rPr>
    </w:lvl>
  </w:abstractNum>
  <w:abstractNum w:abstractNumId="1" w15:restartNumberingAfterBreak="0">
    <w:nsid w:val="14D60EB8"/>
    <w:multiLevelType w:val="multilevel"/>
    <w:tmpl w:val="E876AD30"/>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417F737A"/>
    <w:multiLevelType w:val="hybridMultilevel"/>
    <w:tmpl w:val="A694EFA6"/>
    <w:lvl w:ilvl="0" w:tplc="73B6A7DC">
      <w:start w:val="31"/>
      <w:numFmt w:val="decimal"/>
      <w:lvlText w:val="%1."/>
      <w:lvlJc w:val="left"/>
      <w:pPr>
        <w:ind w:left="2160" w:hanging="360"/>
      </w:pPr>
      <w:rPr>
        <w:rFonts w:cs="Times New Roman" w:hint="default"/>
      </w:rPr>
    </w:lvl>
    <w:lvl w:ilvl="1" w:tplc="08090019" w:tentative="1">
      <w:start w:val="1"/>
      <w:numFmt w:val="lowerLetter"/>
      <w:lvlText w:val="%2."/>
      <w:lvlJc w:val="left"/>
      <w:pPr>
        <w:ind w:left="2880" w:hanging="360"/>
      </w:pPr>
      <w:rPr>
        <w:rFonts w:cs="Times New Roman"/>
      </w:rPr>
    </w:lvl>
    <w:lvl w:ilvl="2" w:tplc="0809001B" w:tentative="1">
      <w:start w:val="1"/>
      <w:numFmt w:val="lowerRoman"/>
      <w:lvlText w:val="%3."/>
      <w:lvlJc w:val="right"/>
      <w:pPr>
        <w:ind w:left="3600" w:hanging="180"/>
      </w:pPr>
      <w:rPr>
        <w:rFonts w:cs="Times New Roman"/>
      </w:rPr>
    </w:lvl>
    <w:lvl w:ilvl="3" w:tplc="0809000F" w:tentative="1">
      <w:start w:val="1"/>
      <w:numFmt w:val="decimal"/>
      <w:lvlText w:val="%4."/>
      <w:lvlJc w:val="left"/>
      <w:pPr>
        <w:ind w:left="4320" w:hanging="360"/>
      </w:pPr>
      <w:rPr>
        <w:rFonts w:cs="Times New Roman"/>
      </w:rPr>
    </w:lvl>
    <w:lvl w:ilvl="4" w:tplc="08090019" w:tentative="1">
      <w:start w:val="1"/>
      <w:numFmt w:val="lowerLetter"/>
      <w:lvlText w:val="%5."/>
      <w:lvlJc w:val="left"/>
      <w:pPr>
        <w:ind w:left="5040" w:hanging="360"/>
      </w:pPr>
      <w:rPr>
        <w:rFonts w:cs="Times New Roman"/>
      </w:rPr>
    </w:lvl>
    <w:lvl w:ilvl="5" w:tplc="0809001B" w:tentative="1">
      <w:start w:val="1"/>
      <w:numFmt w:val="lowerRoman"/>
      <w:lvlText w:val="%6."/>
      <w:lvlJc w:val="right"/>
      <w:pPr>
        <w:ind w:left="5760" w:hanging="180"/>
      </w:pPr>
      <w:rPr>
        <w:rFonts w:cs="Times New Roman"/>
      </w:rPr>
    </w:lvl>
    <w:lvl w:ilvl="6" w:tplc="0809000F" w:tentative="1">
      <w:start w:val="1"/>
      <w:numFmt w:val="decimal"/>
      <w:lvlText w:val="%7."/>
      <w:lvlJc w:val="left"/>
      <w:pPr>
        <w:ind w:left="6480" w:hanging="360"/>
      </w:pPr>
      <w:rPr>
        <w:rFonts w:cs="Times New Roman"/>
      </w:rPr>
    </w:lvl>
    <w:lvl w:ilvl="7" w:tplc="08090019" w:tentative="1">
      <w:start w:val="1"/>
      <w:numFmt w:val="lowerLetter"/>
      <w:lvlText w:val="%8."/>
      <w:lvlJc w:val="left"/>
      <w:pPr>
        <w:ind w:left="7200" w:hanging="360"/>
      </w:pPr>
      <w:rPr>
        <w:rFonts w:cs="Times New Roman"/>
      </w:rPr>
    </w:lvl>
    <w:lvl w:ilvl="8" w:tplc="0809001B" w:tentative="1">
      <w:start w:val="1"/>
      <w:numFmt w:val="lowerRoman"/>
      <w:lvlText w:val="%9."/>
      <w:lvlJc w:val="right"/>
      <w:pPr>
        <w:ind w:left="7920" w:hanging="180"/>
      </w:pPr>
      <w:rPr>
        <w:rFonts w:cs="Times New Roman"/>
      </w:rPr>
    </w:lvl>
  </w:abstractNum>
  <w:abstractNum w:abstractNumId="3" w15:restartNumberingAfterBreak="0">
    <w:nsid w:val="45410C4B"/>
    <w:multiLevelType w:val="hybridMultilevel"/>
    <w:tmpl w:val="4B289ED2"/>
    <w:lvl w:ilvl="0" w:tplc="9C26E546">
      <w:start w:val="1"/>
      <w:numFmt w:val="decimal"/>
      <w:lvlText w:val="(%1)"/>
      <w:lvlJc w:val="left"/>
      <w:pPr>
        <w:ind w:left="927" w:hanging="360"/>
      </w:pPr>
      <w:rPr>
        <w:rFonts w:cs="Times New Roman" w:hint="default"/>
      </w:rPr>
    </w:lvl>
    <w:lvl w:ilvl="1" w:tplc="08090019" w:tentative="1">
      <w:start w:val="1"/>
      <w:numFmt w:val="lowerLetter"/>
      <w:lvlText w:val="%2."/>
      <w:lvlJc w:val="left"/>
      <w:pPr>
        <w:ind w:left="1647" w:hanging="360"/>
      </w:pPr>
      <w:rPr>
        <w:rFonts w:cs="Times New Roman"/>
      </w:rPr>
    </w:lvl>
    <w:lvl w:ilvl="2" w:tplc="0809001B" w:tentative="1">
      <w:start w:val="1"/>
      <w:numFmt w:val="lowerRoman"/>
      <w:lvlText w:val="%3."/>
      <w:lvlJc w:val="right"/>
      <w:pPr>
        <w:ind w:left="2367" w:hanging="180"/>
      </w:pPr>
      <w:rPr>
        <w:rFonts w:cs="Times New Roman"/>
      </w:rPr>
    </w:lvl>
    <w:lvl w:ilvl="3" w:tplc="0809000F" w:tentative="1">
      <w:start w:val="1"/>
      <w:numFmt w:val="decimal"/>
      <w:lvlText w:val="%4."/>
      <w:lvlJc w:val="left"/>
      <w:pPr>
        <w:ind w:left="3087" w:hanging="360"/>
      </w:pPr>
      <w:rPr>
        <w:rFonts w:cs="Times New Roman"/>
      </w:rPr>
    </w:lvl>
    <w:lvl w:ilvl="4" w:tplc="08090019" w:tentative="1">
      <w:start w:val="1"/>
      <w:numFmt w:val="lowerLetter"/>
      <w:lvlText w:val="%5."/>
      <w:lvlJc w:val="left"/>
      <w:pPr>
        <w:ind w:left="3807" w:hanging="360"/>
      </w:pPr>
      <w:rPr>
        <w:rFonts w:cs="Times New Roman"/>
      </w:rPr>
    </w:lvl>
    <w:lvl w:ilvl="5" w:tplc="0809001B" w:tentative="1">
      <w:start w:val="1"/>
      <w:numFmt w:val="lowerRoman"/>
      <w:lvlText w:val="%6."/>
      <w:lvlJc w:val="right"/>
      <w:pPr>
        <w:ind w:left="4527" w:hanging="180"/>
      </w:pPr>
      <w:rPr>
        <w:rFonts w:cs="Times New Roman"/>
      </w:rPr>
    </w:lvl>
    <w:lvl w:ilvl="6" w:tplc="0809000F" w:tentative="1">
      <w:start w:val="1"/>
      <w:numFmt w:val="decimal"/>
      <w:lvlText w:val="%7."/>
      <w:lvlJc w:val="left"/>
      <w:pPr>
        <w:ind w:left="5247" w:hanging="360"/>
      </w:pPr>
      <w:rPr>
        <w:rFonts w:cs="Times New Roman"/>
      </w:rPr>
    </w:lvl>
    <w:lvl w:ilvl="7" w:tplc="08090019" w:tentative="1">
      <w:start w:val="1"/>
      <w:numFmt w:val="lowerLetter"/>
      <w:lvlText w:val="%8."/>
      <w:lvlJc w:val="left"/>
      <w:pPr>
        <w:ind w:left="5967" w:hanging="360"/>
      </w:pPr>
      <w:rPr>
        <w:rFonts w:cs="Times New Roman"/>
      </w:rPr>
    </w:lvl>
    <w:lvl w:ilvl="8" w:tplc="0809001B" w:tentative="1">
      <w:start w:val="1"/>
      <w:numFmt w:val="lowerRoman"/>
      <w:lvlText w:val="%9."/>
      <w:lvlJc w:val="right"/>
      <w:pPr>
        <w:ind w:left="6687" w:hanging="180"/>
      </w:pPr>
      <w:rPr>
        <w:rFonts w:cs="Times New Roman"/>
      </w:rPr>
    </w:lvl>
  </w:abstractNum>
  <w:abstractNum w:abstractNumId="4" w15:restartNumberingAfterBreak="0">
    <w:nsid w:val="65C03112"/>
    <w:multiLevelType w:val="hybridMultilevel"/>
    <w:tmpl w:val="5CB86556"/>
    <w:lvl w:ilvl="0" w:tplc="34BEC552">
      <w:start w:val="12"/>
      <w:numFmt w:val="decimal"/>
      <w:lvlText w:val="%1."/>
      <w:lvlJc w:val="left"/>
      <w:pPr>
        <w:ind w:left="1065"/>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5FC816E2">
      <w:start w:val="1"/>
      <w:numFmt w:val="lowerLetter"/>
      <w:lvlText w:val="%2"/>
      <w:lvlJc w:val="left"/>
      <w:pPr>
        <w:ind w:left="1276"/>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545A642A">
      <w:start w:val="1"/>
      <w:numFmt w:val="lowerRoman"/>
      <w:lvlText w:val="%3"/>
      <w:lvlJc w:val="left"/>
      <w:pPr>
        <w:ind w:left="1996"/>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1F62562E">
      <w:start w:val="1"/>
      <w:numFmt w:val="decimal"/>
      <w:lvlText w:val="%4"/>
      <w:lvlJc w:val="left"/>
      <w:pPr>
        <w:ind w:left="2716"/>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9E8E4584">
      <w:start w:val="1"/>
      <w:numFmt w:val="lowerLetter"/>
      <w:lvlText w:val="%5"/>
      <w:lvlJc w:val="left"/>
      <w:pPr>
        <w:ind w:left="3436"/>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28222D8C">
      <w:start w:val="1"/>
      <w:numFmt w:val="lowerRoman"/>
      <w:lvlText w:val="%6"/>
      <w:lvlJc w:val="left"/>
      <w:pPr>
        <w:ind w:left="4156"/>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C9E874A4">
      <w:start w:val="1"/>
      <w:numFmt w:val="decimal"/>
      <w:lvlText w:val="%7"/>
      <w:lvlJc w:val="left"/>
      <w:pPr>
        <w:ind w:left="4876"/>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40684858">
      <w:start w:val="1"/>
      <w:numFmt w:val="lowerLetter"/>
      <w:lvlText w:val="%8"/>
      <w:lvlJc w:val="left"/>
      <w:pPr>
        <w:ind w:left="5596"/>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CC764C44">
      <w:start w:val="1"/>
      <w:numFmt w:val="lowerRoman"/>
      <w:lvlText w:val="%9"/>
      <w:lvlJc w:val="left"/>
      <w:pPr>
        <w:ind w:left="6316"/>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ACB1666"/>
    <w:multiLevelType w:val="multilevel"/>
    <w:tmpl w:val="DBEEB33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6D"/>
    <w:rsid w:val="00005F95"/>
    <w:rsid w:val="00012614"/>
    <w:rsid w:val="00016086"/>
    <w:rsid w:val="000261A6"/>
    <w:rsid w:val="0005548F"/>
    <w:rsid w:val="00061DAB"/>
    <w:rsid w:val="00063346"/>
    <w:rsid w:val="00065C35"/>
    <w:rsid w:val="000827A7"/>
    <w:rsid w:val="000827E9"/>
    <w:rsid w:val="000C0825"/>
    <w:rsid w:val="000E7425"/>
    <w:rsid w:val="000F3621"/>
    <w:rsid w:val="000F5751"/>
    <w:rsid w:val="00105A07"/>
    <w:rsid w:val="00107647"/>
    <w:rsid w:val="00115319"/>
    <w:rsid w:val="00134F9A"/>
    <w:rsid w:val="00137CB6"/>
    <w:rsid w:val="00144FC5"/>
    <w:rsid w:val="001A4FA2"/>
    <w:rsid w:val="001B48D6"/>
    <w:rsid w:val="001D4EAD"/>
    <w:rsid w:val="001E5E60"/>
    <w:rsid w:val="00206071"/>
    <w:rsid w:val="00240050"/>
    <w:rsid w:val="00290956"/>
    <w:rsid w:val="002A4230"/>
    <w:rsid w:val="002B1687"/>
    <w:rsid w:val="002B5C2A"/>
    <w:rsid w:val="002C240C"/>
    <w:rsid w:val="002D0E2D"/>
    <w:rsid w:val="002D5067"/>
    <w:rsid w:val="003403F4"/>
    <w:rsid w:val="00345903"/>
    <w:rsid w:val="003476AC"/>
    <w:rsid w:val="00354EEF"/>
    <w:rsid w:val="00362209"/>
    <w:rsid w:val="00365DE7"/>
    <w:rsid w:val="003B4557"/>
    <w:rsid w:val="003B4ED1"/>
    <w:rsid w:val="003C34FB"/>
    <w:rsid w:val="003C65EC"/>
    <w:rsid w:val="003D6D91"/>
    <w:rsid w:val="003F095D"/>
    <w:rsid w:val="003F4E08"/>
    <w:rsid w:val="00423536"/>
    <w:rsid w:val="004423FC"/>
    <w:rsid w:val="00492271"/>
    <w:rsid w:val="004A4570"/>
    <w:rsid w:val="004B1223"/>
    <w:rsid w:val="004C03D5"/>
    <w:rsid w:val="004E043D"/>
    <w:rsid w:val="004E6A2E"/>
    <w:rsid w:val="005102DD"/>
    <w:rsid w:val="00526F99"/>
    <w:rsid w:val="0055696B"/>
    <w:rsid w:val="00584BFC"/>
    <w:rsid w:val="005B325F"/>
    <w:rsid w:val="005B52B2"/>
    <w:rsid w:val="005C61D7"/>
    <w:rsid w:val="005D332C"/>
    <w:rsid w:val="005D5AA4"/>
    <w:rsid w:val="0062737E"/>
    <w:rsid w:val="00644EA7"/>
    <w:rsid w:val="006461DF"/>
    <w:rsid w:val="00675070"/>
    <w:rsid w:val="006A4D43"/>
    <w:rsid w:val="006C43A9"/>
    <w:rsid w:val="00716BF8"/>
    <w:rsid w:val="00747373"/>
    <w:rsid w:val="007566A4"/>
    <w:rsid w:val="00762859"/>
    <w:rsid w:val="00773D25"/>
    <w:rsid w:val="007C5C68"/>
    <w:rsid w:val="007E2FCC"/>
    <w:rsid w:val="00824C63"/>
    <w:rsid w:val="00832D79"/>
    <w:rsid w:val="00837EC5"/>
    <w:rsid w:val="0087197D"/>
    <w:rsid w:val="008726D9"/>
    <w:rsid w:val="00885221"/>
    <w:rsid w:val="008A7AAB"/>
    <w:rsid w:val="008C5827"/>
    <w:rsid w:val="008F507A"/>
    <w:rsid w:val="00903102"/>
    <w:rsid w:val="00912B28"/>
    <w:rsid w:val="00997262"/>
    <w:rsid w:val="009B3A41"/>
    <w:rsid w:val="009F6832"/>
    <w:rsid w:val="009F6C1A"/>
    <w:rsid w:val="00A10E45"/>
    <w:rsid w:val="00A11D5C"/>
    <w:rsid w:val="00A16573"/>
    <w:rsid w:val="00A312F6"/>
    <w:rsid w:val="00A35B6A"/>
    <w:rsid w:val="00A60747"/>
    <w:rsid w:val="00A633E8"/>
    <w:rsid w:val="00A84274"/>
    <w:rsid w:val="00B0186D"/>
    <w:rsid w:val="00B35659"/>
    <w:rsid w:val="00B36E0F"/>
    <w:rsid w:val="00B41421"/>
    <w:rsid w:val="00B725BC"/>
    <w:rsid w:val="00BB6723"/>
    <w:rsid w:val="00BC2961"/>
    <w:rsid w:val="00C3459E"/>
    <w:rsid w:val="00C439DE"/>
    <w:rsid w:val="00C64206"/>
    <w:rsid w:val="00C9568F"/>
    <w:rsid w:val="00CA0A09"/>
    <w:rsid w:val="00CB10E9"/>
    <w:rsid w:val="00CD3B18"/>
    <w:rsid w:val="00CD6714"/>
    <w:rsid w:val="00D22991"/>
    <w:rsid w:val="00D42103"/>
    <w:rsid w:val="00D565E7"/>
    <w:rsid w:val="00DA4DAF"/>
    <w:rsid w:val="00E107CD"/>
    <w:rsid w:val="00E129EB"/>
    <w:rsid w:val="00E16044"/>
    <w:rsid w:val="00E3274D"/>
    <w:rsid w:val="00E36563"/>
    <w:rsid w:val="00E43711"/>
    <w:rsid w:val="00E75B9F"/>
    <w:rsid w:val="00E9162F"/>
    <w:rsid w:val="00E94E58"/>
    <w:rsid w:val="00E97F42"/>
    <w:rsid w:val="00EC29B4"/>
    <w:rsid w:val="00EF7F2A"/>
    <w:rsid w:val="00F11BCD"/>
    <w:rsid w:val="00F2569A"/>
    <w:rsid w:val="00F306B2"/>
    <w:rsid w:val="00F7136A"/>
    <w:rsid w:val="00F84A79"/>
    <w:rsid w:val="00FA215F"/>
    <w:rsid w:val="00FA5C8F"/>
    <w:rsid w:val="00FB7551"/>
    <w:rsid w:val="00FC46D0"/>
    <w:rsid w:val="00FD3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79D210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186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0186D"/>
    <w:pPr>
      <w:tabs>
        <w:tab w:val="center" w:pos="4153"/>
        <w:tab w:val="right" w:pos="8306"/>
      </w:tabs>
    </w:pPr>
  </w:style>
  <w:style w:type="character" w:customStyle="1" w:styleId="HeaderChar">
    <w:name w:val="Header Char"/>
    <w:link w:val="Header"/>
    <w:rsid w:val="00B0186D"/>
    <w:rPr>
      <w:rFonts w:ascii="Times New Roman" w:eastAsia="Times New Roman" w:hAnsi="Times New Roman" w:cs="Times New Roman"/>
      <w:sz w:val="24"/>
      <w:szCs w:val="24"/>
      <w:lang w:eastAsia="en-GB"/>
    </w:rPr>
  </w:style>
  <w:style w:type="paragraph" w:styleId="Footer">
    <w:name w:val="footer"/>
    <w:basedOn w:val="Normal"/>
    <w:link w:val="FooterChar"/>
    <w:rsid w:val="00B0186D"/>
    <w:pPr>
      <w:tabs>
        <w:tab w:val="center" w:pos="4153"/>
        <w:tab w:val="right" w:pos="8306"/>
      </w:tabs>
    </w:pPr>
  </w:style>
  <w:style w:type="character" w:customStyle="1" w:styleId="FooterChar">
    <w:name w:val="Footer Char"/>
    <w:link w:val="Footer"/>
    <w:rsid w:val="00B0186D"/>
    <w:rPr>
      <w:rFonts w:ascii="Times New Roman" w:eastAsia="Times New Roman" w:hAnsi="Times New Roman" w:cs="Times New Roman"/>
      <w:sz w:val="24"/>
      <w:szCs w:val="24"/>
      <w:lang w:eastAsia="en-GB"/>
    </w:rPr>
  </w:style>
  <w:style w:type="character" w:styleId="PageNumber">
    <w:name w:val="page number"/>
    <w:rsid w:val="00B0186D"/>
    <w:rPr>
      <w:rFonts w:cs="Times New Roman"/>
    </w:rPr>
  </w:style>
  <w:style w:type="paragraph" w:styleId="ListParagraph">
    <w:name w:val="List Paragraph"/>
    <w:basedOn w:val="Normal"/>
    <w:qFormat/>
    <w:rsid w:val="00B0186D"/>
    <w:pPr>
      <w:ind w:left="720"/>
      <w:contextualSpacing/>
    </w:pPr>
  </w:style>
  <w:style w:type="paragraph" w:customStyle="1" w:styleId="p">
    <w:name w:val="p"/>
    <w:basedOn w:val="Normal"/>
    <w:rsid w:val="003C34FB"/>
    <w:pPr>
      <w:numPr>
        <w:numId w:val="3"/>
      </w:numPr>
      <w:spacing w:before="240"/>
      <w:jc w:val="both"/>
    </w:pPr>
    <w:rPr>
      <w:rFonts w:ascii="Book Antiqua" w:hAnsi="Book Antiqua" w:cs="Arial"/>
    </w:rPr>
  </w:style>
  <w:style w:type="character" w:styleId="Hyperlink">
    <w:name w:val="Hyperlink"/>
    <w:uiPriority w:val="99"/>
    <w:semiHidden/>
    <w:unhideWhenUsed/>
    <w:rsid w:val="000827A7"/>
    <w:rPr>
      <w:color w:val="0000FF"/>
      <w:u w:val="single"/>
    </w:rPr>
  </w:style>
  <w:style w:type="paragraph" w:styleId="BalloonText">
    <w:name w:val="Balloon Text"/>
    <w:basedOn w:val="Normal"/>
    <w:link w:val="BalloonTextChar"/>
    <w:uiPriority w:val="99"/>
    <w:semiHidden/>
    <w:unhideWhenUsed/>
    <w:rsid w:val="00DA4DAF"/>
    <w:rPr>
      <w:rFonts w:ascii="Segoe UI" w:hAnsi="Segoe UI" w:cs="Segoe UI"/>
      <w:sz w:val="18"/>
      <w:szCs w:val="18"/>
    </w:rPr>
  </w:style>
  <w:style w:type="character" w:customStyle="1" w:styleId="BalloonTextChar">
    <w:name w:val="Balloon Text Char"/>
    <w:link w:val="BalloonText"/>
    <w:uiPriority w:val="99"/>
    <w:semiHidden/>
    <w:rsid w:val="00DA4DA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2350</Words>
  <Characters>13401</Characters>
  <Application>Microsoft Office Word</Application>
  <DocSecurity>0</DocSecurity>
  <Lines>111</Lines>
  <Paragraphs>31</Paragraphs>
  <ScaleCrop>false</ScaleCrop>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2018-08-09T14:20:00Z</dcterms:created>
  <dcterms:modified xsi:type="dcterms:W3CDTF">2018-08-09T14:20:00Z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