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A544A8" w:rsidRDefault="00431F6D" w:rsidP="00F97703">
      <w:pPr>
        <w:jc w:val="center"/>
        <w:rPr>
          <w:rFonts w:ascii="Sylfaen" w:hAnsi="Sylfaen" w:cs="Arial"/>
          <w:color w:val="000000"/>
        </w:rPr>
      </w:pPr>
      <w:r w:rsidRPr="00A544A8">
        <w:rPr>
          <w:rFonts w:ascii="Sylfaen" w:hAnsi="Sylfaen"/>
          <w:noProof/>
        </w:rPr>
        <w:drawing>
          <wp:inline distT="0" distB="0" distL="0" distR="0">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F97703" w:rsidRPr="00A544A8" w:rsidRDefault="00611011" w:rsidP="00780F86">
      <w:pPr>
        <w:tabs>
          <w:tab w:val="right" w:pos="9720"/>
        </w:tabs>
        <w:ind w:right="-82"/>
        <w:rPr>
          <w:rFonts w:ascii="Sylfaen" w:hAnsi="Sylfaen" w:cs="Arial"/>
          <w:b/>
          <w:color w:val="000000"/>
        </w:rPr>
      </w:pPr>
      <w:r w:rsidRPr="00A544A8">
        <w:rPr>
          <w:rFonts w:ascii="Sylfaen" w:hAnsi="Sylfaen" w:cs="Arial"/>
          <w:b/>
          <w:color w:val="000000"/>
        </w:rPr>
        <w:t>Upper</w:t>
      </w:r>
      <w:r w:rsidR="00F97703" w:rsidRPr="00A544A8">
        <w:rPr>
          <w:rFonts w:ascii="Sylfaen" w:hAnsi="Sylfaen" w:cs="Arial"/>
          <w:b/>
          <w:color w:val="000000"/>
        </w:rPr>
        <w:t xml:space="preserve"> Tribunal </w:t>
      </w:r>
    </w:p>
    <w:p w:rsidR="007B0824" w:rsidRPr="00A544A8" w:rsidRDefault="00F97703" w:rsidP="00780F86">
      <w:pPr>
        <w:tabs>
          <w:tab w:val="right" w:pos="9720"/>
        </w:tabs>
        <w:ind w:right="-82"/>
        <w:rPr>
          <w:rFonts w:ascii="Sylfaen" w:hAnsi="Sylfaen" w:cs="Arial"/>
          <w:color w:val="000000"/>
        </w:rPr>
      </w:pPr>
      <w:r w:rsidRPr="00A544A8">
        <w:rPr>
          <w:rFonts w:ascii="Sylfaen" w:hAnsi="Sylfaen" w:cs="Arial"/>
          <w:b/>
          <w:color w:val="000000"/>
        </w:rPr>
        <w:t>(Immigration and Asylum Chamber)</w:t>
      </w:r>
      <w:r w:rsidR="00DB70AE" w:rsidRPr="00A544A8">
        <w:rPr>
          <w:rFonts w:ascii="Sylfaen" w:hAnsi="Sylfaen" w:cs="Arial"/>
          <w:b/>
          <w:color w:val="000000"/>
        </w:rPr>
        <w:tab/>
      </w:r>
      <w:r w:rsidR="00B3524D" w:rsidRPr="00A544A8">
        <w:rPr>
          <w:rFonts w:ascii="Sylfaen" w:hAnsi="Sylfaen" w:cs="Arial"/>
          <w:color w:val="000000"/>
        </w:rPr>
        <w:t>Appeal</w:t>
      </w:r>
      <w:r w:rsidR="00BD3A9C">
        <w:rPr>
          <w:rFonts w:ascii="Sylfaen" w:hAnsi="Sylfaen" w:cs="Arial"/>
          <w:color w:val="000000"/>
        </w:rPr>
        <w:t xml:space="preserve"> no</w:t>
      </w:r>
      <w:r w:rsidR="00D53769" w:rsidRPr="00A544A8">
        <w:rPr>
          <w:rFonts w:ascii="Sylfaen" w:hAnsi="Sylfaen" w:cs="Arial"/>
          <w:color w:val="000000"/>
        </w:rPr>
        <w:t>:</w:t>
      </w:r>
      <w:r w:rsidR="00B3524D" w:rsidRPr="00A544A8">
        <w:rPr>
          <w:rFonts w:ascii="Sylfaen" w:hAnsi="Sylfaen" w:cs="Arial"/>
          <w:color w:val="000000"/>
        </w:rPr>
        <w:t xml:space="preserve"> </w:t>
      </w:r>
      <w:bookmarkStart w:id="0" w:name="_GoBack"/>
      <w:r w:rsidR="00CD4698">
        <w:rPr>
          <w:rFonts w:ascii="Sylfaen" w:hAnsi="Sylfaen" w:cs="Arial"/>
          <w:b/>
          <w:caps/>
          <w:color w:val="000000"/>
        </w:rPr>
        <w:t>ia</w:t>
      </w:r>
      <w:r w:rsidR="002218B0">
        <w:rPr>
          <w:rFonts w:ascii="Sylfaen" w:hAnsi="Sylfaen" w:cs="Arial"/>
          <w:b/>
          <w:caps/>
          <w:color w:val="000000"/>
        </w:rPr>
        <w:t>/20061/20</w:t>
      </w:r>
      <w:r w:rsidR="00CD4698">
        <w:rPr>
          <w:rFonts w:ascii="Sylfaen" w:hAnsi="Sylfaen" w:cs="Arial"/>
          <w:b/>
          <w:caps/>
          <w:color w:val="000000"/>
        </w:rPr>
        <w:t>15</w:t>
      </w:r>
      <w:bookmarkEnd w:id="0"/>
    </w:p>
    <w:p w:rsidR="00C345E1" w:rsidRDefault="00C345E1" w:rsidP="00C345E1">
      <w:pPr>
        <w:jc w:val="center"/>
        <w:rPr>
          <w:rFonts w:ascii="Sylfaen" w:hAnsi="Sylfaen" w:cs="Arial"/>
          <w:color w:val="000000"/>
        </w:rPr>
      </w:pPr>
    </w:p>
    <w:p w:rsidR="004C5D88" w:rsidRPr="00A544A8" w:rsidRDefault="004C5D88" w:rsidP="00C345E1">
      <w:pPr>
        <w:jc w:val="center"/>
        <w:rPr>
          <w:rFonts w:ascii="Sylfaen" w:hAnsi="Sylfaen" w:cs="Arial"/>
          <w:color w:val="000000"/>
        </w:rPr>
      </w:pPr>
    </w:p>
    <w:p w:rsidR="00C345E1" w:rsidRPr="00A544A8" w:rsidRDefault="00C345E1" w:rsidP="00C345E1">
      <w:pPr>
        <w:jc w:val="center"/>
        <w:rPr>
          <w:rFonts w:ascii="Sylfaen" w:hAnsi="Sylfaen" w:cs="Arial"/>
          <w:b/>
          <w:color w:val="000000"/>
          <w:u w:val="single"/>
        </w:rPr>
      </w:pPr>
      <w:r w:rsidRPr="00A544A8">
        <w:rPr>
          <w:rFonts w:ascii="Sylfaen" w:hAnsi="Sylfaen" w:cs="Arial"/>
          <w:b/>
          <w:color w:val="000000"/>
          <w:u w:val="single"/>
        </w:rPr>
        <w:t>THE IMMIGRATION ACTS</w:t>
      </w:r>
    </w:p>
    <w:p w:rsidR="00C345E1" w:rsidRDefault="00C345E1" w:rsidP="00C345E1">
      <w:pPr>
        <w:jc w:val="center"/>
        <w:rPr>
          <w:rFonts w:ascii="Sylfaen" w:hAnsi="Sylfaen" w:cs="Arial"/>
          <w:b/>
          <w:u w:val="single"/>
        </w:rPr>
      </w:pPr>
    </w:p>
    <w:p w:rsidR="004C5D88" w:rsidRPr="00A544A8" w:rsidRDefault="004C5D88" w:rsidP="00C345E1">
      <w:pPr>
        <w:jc w:val="center"/>
        <w:rPr>
          <w:rFonts w:ascii="Sylfaen" w:hAnsi="Sylfaen" w:cs="Arial"/>
          <w:b/>
          <w:u w:val="single"/>
        </w:rPr>
      </w:pPr>
    </w:p>
    <w:tbl>
      <w:tblPr>
        <w:tblW w:w="0" w:type="auto"/>
        <w:tblLook w:val="01E0" w:firstRow="1" w:lastRow="1" w:firstColumn="1" w:lastColumn="1" w:noHBand="0" w:noVBand="0"/>
      </w:tblPr>
      <w:tblGrid>
        <w:gridCol w:w="4798"/>
        <w:gridCol w:w="4840"/>
      </w:tblGrid>
      <w:tr w:rsidR="00D22636" w:rsidRPr="009F07D7" w:rsidTr="009F07D7">
        <w:tc>
          <w:tcPr>
            <w:tcW w:w="4928" w:type="dxa"/>
            <w:shd w:val="clear" w:color="auto" w:fill="auto"/>
          </w:tcPr>
          <w:p w:rsidR="00D22636" w:rsidRPr="009F07D7" w:rsidRDefault="00431F6D" w:rsidP="00D077F9">
            <w:pPr>
              <w:ind w:left="540" w:hanging="540"/>
              <w:jc w:val="both"/>
              <w:rPr>
                <w:rFonts w:ascii="Sylfaen" w:hAnsi="Sylfaen" w:cs="Arial"/>
              </w:rPr>
            </w:pPr>
            <w:r>
              <w:rPr>
                <w:rFonts w:ascii="Sylfaen" w:hAnsi="Sylfaen" w:cs="Arial"/>
              </w:rPr>
              <w:t xml:space="preserve">Heard </w:t>
            </w:r>
            <w:proofErr w:type="gramStart"/>
            <w:r w:rsidR="00BD3A9C" w:rsidRPr="009F07D7">
              <w:rPr>
                <w:rFonts w:ascii="Sylfaen" w:hAnsi="Sylfaen" w:cs="Arial"/>
              </w:rPr>
              <w:t>At</w:t>
            </w:r>
            <w:proofErr w:type="gramEnd"/>
            <w:r>
              <w:rPr>
                <w:rFonts w:ascii="Sylfaen" w:hAnsi="Sylfaen" w:cs="Arial"/>
              </w:rPr>
              <w:t xml:space="preserve"> </w:t>
            </w:r>
            <w:r w:rsidR="00CD4698" w:rsidRPr="009F07D7">
              <w:rPr>
                <w:rFonts w:ascii="Sylfaen" w:hAnsi="Sylfaen" w:cs="Arial"/>
              </w:rPr>
              <w:t>Rolls Building</w:t>
            </w:r>
          </w:p>
        </w:tc>
        <w:tc>
          <w:tcPr>
            <w:tcW w:w="4900" w:type="dxa"/>
            <w:shd w:val="clear" w:color="auto" w:fill="auto"/>
          </w:tcPr>
          <w:p w:rsidR="00D22636" w:rsidRPr="009F07D7" w:rsidRDefault="00A544A8" w:rsidP="00D077F9">
            <w:pPr>
              <w:ind w:left="1872" w:hanging="1872"/>
              <w:jc w:val="both"/>
              <w:rPr>
                <w:rFonts w:ascii="Sylfaen" w:hAnsi="Sylfaen" w:cs="Arial"/>
                <w:color w:val="000000"/>
              </w:rPr>
            </w:pPr>
            <w:r w:rsidRPr="009F07D7">
              <w:rPr>
                <w:rFonts w:ascii="Sylfaen" w:hAnsi="Sylfaen" w:cs="Arial"/>
                <w:color w:val="000000"/>
              </w:rPr>
              <w:t>Decision</w:t>
            </w:r>
            <w:r w:rsidR="00AF4121" w:rsidRPr="009F07D7">
              <w:rPr>
                <w:rFonts w:ascii="Sylfaen" w:hAnsi="Sylfaen" w:cs="Arial"/>
                <w:color w:val="000000"/>
              </w:rPr>
              <w:t xml:space="preserve"> </w:t>
            </w:r>
            <w:r w:rsidR="00BE6B1E" w:rsidRPr="009F07D7">
              <w:rPr>
                <w:rFonts w:ascii="Sylfaen" w:hAnsi="Sylfaen" w:cs="Arial"/>
                <w:color w:val="000000"/>
              </w:rPr>
              <w:t>and Reasons</w:t>
            </w:r>
            <w:r w:rsidR="003F628C" w:rsidRPr="009F07D7">
              <w:rPr>
                <w:rFonts w:ascii="Sylfaen" w:hAnsi="Sylfaen" w:cs="Arial"/>
                <w:color w:val="000000"/>
              </w:rPr>
              <w:t xml:space="preserve"> Promulgated </w:t>
            </w:r>
          </w:p>
        </w:tc>
      </w:tr>
      <w:tr w:rsidR="00D22636" w:rsidRPr="009F07D7" w:rsidTr="009F07D7">
        <w:tc>
          <w:tcPr>
            <w:tcW w:w="4928" w:type="dxa"/>
            <w:shd w:val="clear" w:color="auto" w:fill="auto"/>
          </w:tcPr>
          <w:p w:rsidR="00D22636" w:rsidRPr="009F07D7" w:rsidRDefault="00BD3A9C" w:rsidP="00D077F9">
            <w:pPr>
              <w:jc w:val="both"/>
              <w:rPr>
                <w:rFonts w:ascii="Sylfaen" w:hAnsi="Sylfaen" w:cs="Arial"/>
              </w:rPr>
            </w:pPr>
            <w:r w:rsidRPr="009F07D7">
              <w:rPr>
                <w:rFonts w:ascii="Sylfaen" w:hAnsi="Sylfaen" w:cs="Arial"/>
              </w:rPr>
              <w:t>on</w:t>
            </w:r>
            <w:r w:rsidR="00431F6D">
              <w:rPr>
                <w:rFonts w:ascii="Sylfaen" w:hAnsi="Sylfaen" w:cs="Arial"/>
              </w:rPr>
              <w:t xml:space="preserve"> </w:t>
            </w:r>
            <w:r w:rsidR="00CD4698" w:rsidRPr="009F07D7">
              <w:rPr>
                <w:rFonts w:ascii="Sylfaen" w:hAnsi="Sylfaen" w:cs="Arial"/>
              </w:rPr>
              <w:t>21.05.2018</w:t>
            </w:r>
          </w:p>
        </w:tc>
        <w:tc>
          <w:tcPr>
            <w:tcW w:w="4900" w:type="dxa"/>
            <w:shd w:val="clear" w:color="auto" w:fill="auto"/>
          </w:tcPr>
          <w:p w:rsidR="00D22636" w:rsidRPr="009F07D7" w:rsidRDefault="003F628C" w:rsidP="00D077F9">
            <w:pPr>
              <w:ind w:left="1872" w:hanging="1872"/>
              <w:jc w:val="both"/>
              <w:rPr>
                <w:rFonts w:ascii="Sylfaen" w:hAnsi="Sylfaen" w:cs="Arial"/>
              </w:rPr>
            </w:pPr>
            <w:r w:rsidRPr="009F07D7">
              <w:rPr>
                <w:rFonts w:ascii="Sylfaen" w:hAnsi="Sylfaen" w:cs="Arial"/>
                <w:color w:val="000000"/>
              </w:rPr>
              <w:t xml:space="preserve">On </w:t>
            </w:r>
            <w:r w:rsidR="00431F6D">
              <w:rPr>
                <w:rFonts w:ascii="Sylfaen" w:hAnsi="Sylfaen" w:cs="Arial"/>
                <w:color w:val="000000"/>
              </w:rPr>
              <w:t>31</w:t>
            </w:r>
            <w:r w:rsidRPr="009F07D7">
              <w:rPr>
                <w:rFonts w:ascii="Sylfaen" w:hAnsi="Sylfaen" w:cs="Arial"/>
                <w:color w:val="000000"/>
              </w:rPr>
              <w:t xml:space="preserve"> </w:t>
            </w:r>
            <w:r w:rsidR="009F07D7" w:rsidRPr="009F07D7">
              <w:rPr>
                <w:rFonts w:ascii="Sylfaen" w:hAnsi="Sylfaen" w:cs="Arial"/>
                <w:color w:val="000000"/>
              </w:rPr>
              <w:t xml:space="preserve">May 2018 </w:t>
            </w:r>
          </w:p>
        </w:tc>
      </w:tr>
    </w:tbl>
    <w:p w:rsidR="00F07170" w:rsidRDefault="00F07170" w:rsidP="00BD3A9C">
      <w:pPr>
        <w:rPr>
          <w:rFonts w:ascii="Sylfaen" w:hAnsi="Sylfaen" w:cs="Arial"/>
          <w:b/>
        </w:rPr>
      </w:pPr>
    </w:p>
    <w:p w:rsidR="004C5D88" w:rsidRDefault="004C5D88" w:rsidP="00BD3A9C">
      <w:pPr>
        <w:rPr>
          <w:rFonts w:ascii="Sylfaen" w:hAnsi="Sylfaen" w:cs="Arial"/>
        </w:rPr>
      </w:pPr>
    </w:p>
    <w:p w:rsidR="00A15234" w:rsidRPr="003860CF" w:rsidRDefault="00207617" w:rsidP="00BD3A9C">
      <w:pPr>
        <w:rPr>
          <w:rFonts w:ascii="Sylfaen" w:hAnsi="Sylfaen" w:cs="Arial"/>
        </w:rPr>
      </w:pPr>
      <w:r w:rsidRPr="003860CF">
        <w:rPr>
          <w:rFonts w:ascii="Sylfaen" w:hAnsi="Sylfaen" w:cs="Arial"/>
        </w:rPr>
        <w:t>Befo</w:t>
      </w:r>
      <w:r w:rsidR="00A15234" w:rsidRPr="003860CF">
        <w:rPr>
          <w:rFonts w:ascii="Sylfaen" w:hAnsi="Sylfaen" w:cs="Arial"/>
        </w:rPr>
        <w:t>re</w:t>
      </w:r>
      <w:r w:rsidR="00BD3A9C" w:rsidRPr="003860CF">
        <w:rPr>
          <w:rFonts w:ascii="Sylfaen" w:hAnsi="Sylfaen" w:cs="Arial"/>
        </w:rPr>
        <w:t>:</w:t>
      </w:r>
    </w:p>
    <w:p w:rsidR="00D20757" w:rsidRPr="003860CF" w:rsidRDefault="00BA334F" w:rsidP="00A15234">
      <w:pPr>
        <w:jc w:val="center"/>
        <w:rPr>
          <w:rFonts w:ascii="Sylfaen" w:hAnsi="Sylfaen" w:cs="Arial"/>
          <w:color w:val="000000"/>
        </w:rPr>
      </w:pPr>
      <w:r>
        <w:rPr>
          <w:rFonts w:ascii="Sylfaen" w:hAnsi="Sylfaen" w:cs="Arial"/>
          <w:color w:val="000000"/>
        </w:rPr>
        <w:t>Upper Tribunal Ju</w:t>
      </w:r>
      <w:r w:rsidRPr="003860CF">
        <w:rPr>
          <w:rFonts w:ascii="Sylfaen" w:hAnsi="Sylfaen" w:cs="Arial"/>
          <w:color w:val="000000"/>
        </w:rPr>
        <w:t xml:space="preserve">dge </w:t>
      </w:r>
    </w:p>
    <w:p w:rsidR="00A544A8" w:rsidRPr="00A544A8" w:rsidRDefault="00A544A8" w:rsidP="00A544A8">
      <w:pPr>
        <w:jc w:val="center"/>
        <w:rPr>
          <w:rFonts w:ascii="Sylfaen" w:hAnsi="Sylfaen" w:cs="Arial"/>
          <w:b/>
          <w:color w:val="000000"/>
        </w:rPr>
      </w:pPr>
      <w:r w:rsidRPr="00A544A8">
        <w:rPr>
          <w:rFonts w:ascii="Sylfaen" w:hAnsi="Sylfaen" w:cs="Arial"/>
          <w:b/>
          <w:color w:val="000000"/>
        </w:rPr>
        <w:t>John FREEMAN</w:t>
      </w:r>
    </w:p>
    <w:p w:rsidR="004C5D88" w:rsidRDefault="004C5D88" w:rsidP="00BD3A9C">
      <w:pPr>
        <w:rPr>
          <w:rFonts w:ascii="Sylfaen" w:hAnsi="Sylfaen" w:cs="Arial"/>
        </w:rPr>
      </w:pPr>
    </w:p>
    <w:p w:rsidR="00A845DC" w:rsidRPr="003860CF" w:rsidRDefault="00A845DC" w:rsidP="00BD3A9C">
      <w:pPr>
        <w:rPr>
          <w:rFonts w:ascii="Sylfaen" w:hAnsi="Sylfaen" w:cs="Arial"/>
        </w:rPr>
      </w:pPr>
      <w:r w:rsidRPr="003860CF">
        <w:rPr>
          <w:rFonts w:ascii="Sylfaen" w:hAnsi="Sylfaen" w:cs="Arial"/>
        </w:rPr>
        <w:t>Between</w:t>
      </w:r>
      <w:r w:rsidR="00BD3A9C" w:rsidRPr="003860CF">
        <w:rPr>
          <w:rFonts w:ascii="Sylfaen" w:hAnsi="Sylfaen" w:cs="Arial"/>
        </w:rPr>
        <w:t>:</w:t>
      </w:r>
    </w:p>
    <w:p w:rsidR="00704B61" w:rsidRDefault="00CD4698" w:rsidP="00A15234">
      <w:pPr>
        <w:jc w:val="center"/>
        <w:rPr>
          <w:rFonts w:ascii="Sylfaen" w:hAnsi="Sylfaen" w:cs="Arial"/>
          <w:b/>
        </w:rPr>
      </w:pPr>
      <w:proofErr w:type="spellStart"/>
      <w:r>
        <w:rPr>
          <w:rFonts w:ascii="Sylfaen" w:hAnsi="Sylfaen" w:cs="Arial"/>
          <w:b/>
        </w:rPr>
        <w:t>Mehrdad</w:t>
      </w:r>
      <w:proofErr w:type="spellEnd"/>
      <w:r>
        <w:rPr>
          <w:rFonts w:ascii="Sylfaen" w:hAnsi="Sylfaen" w:cs="Arial"/>
          <w:b/>
        </w:rPr>
        <w:t xml:space="preserve"> </w:t>
      </w:r>
      <w:r w:rsidR="004C5D88">
        <w:rPr>
          <w:rFonts w:ascii="Sylfaen" w:hAnsi="Sylfaen" w:cs="Arial"/>
          <w:b/>
        </w:rPr>
        <w:t>[</w:t>
      </w:r>
      <w:r>
        <w:rPr>
          <w:rFonts w:ascii="Sylfaen" w:hAnsi="Sylfaen" w:cs="Arial"/>
          <w:b/>
        </w:rPr>
        <w:t>A</w:t>
      </w:r>
      <w:r w:rsidR="004C5D88">
        <w:rPr>
          <w:rFonts w:ascii="Sylfaen" w:hAnsi="Sylfaen" w:cs="Arial"/>
          <w:b/>
        </w:rPr>
        <w:t>]</w:t>
      </w:r>
    </w:p>
    <w:p w:rsidR="009F07D7" w:rsidRPr="00A544A8" w:rsidRDefault="009F07D7" w:rsidP="00A15234">
      <w:pPr>
        <w:jc w:val="center"/>
        <w:rPr>
          <w:rFonts w:ascii="Sylfaen" w:hAnsi="Sylfaen" w:cs="Arial"/>
          <w:b/>
        </w:rPr>
      </w:pPr>
      <w:r>
        <w:rPr>
          <w:rFonts w:ascii="Sylfaen" w:hAnsi="Sylfaen" w:cs="Arial"/>
          <w:b/>
        </w:rPr>
        <w:t xml:space="preserve">(anonymity direction not made) </w:t>
      </w:r>
    </w:p>
    <w:p w:rsidR="00704B61" w:rsidRPr="003860CF" w:rsidRDefault="00BD3A9C" w:rsidP="00704B61">
      <w:pPr>
        <w:jc w:val="right"/>
        <w:rPr>
          <w:rFonts w:ascii="Sylfaen" w:hAnsi="Sylfaen" w:cs="Arial"/>
        </w:rPr>
      </w:pPr>
      <w:r w:rsidRPr="003860CF">
        <w:rPr>
          <w:rFonts w:ascii="Sylfaen" w:hAnsi="Sylfaen" w:cs="Arial"/>
        </w:rPr>
        <w:t>appellant</w:t>
      </w:r>
    </w:p>
    <w:p w:rsidR="00704B61" w:rsidRPr="00A544A8" w:rsidRDefault="00DD5071" w:rsidP="00704B61">
      <w:pPr>
        <w:jc w:val="center"/>
        <w:rPr>
          <w:rFonts w:ascii="Sylfaen" w:hAnsi="Sylfaen" w:cs="Arial"/>
          <w:b/>
        </w:rPr>
      </w:pPr>
      <w:r w:rsidRPr="00A544A8">
        <w:rPr>
          <w:rFonts w:ascii="Sylfaen" w:hAnsi="Sylfaen" w:cs="Arial"/>
          <w:b/>
        </w:rPr>
        <w:t>and</w:t>
      </w:r>
    </w:p>
    <w:p w:rsidR="00DD5071" w:rsidRPr="00A544A8" w:rsidRDefault="00DD5071" w:rsidP="00704B61">
      <w:pPr>
        <w:jc w:val="center"/>
        <w:rPr>
          <w:rFonts w:ascii="Sylfaen" w:hAnsi="Sylfaen" w:cs="Arial"/>
          <w:b/>
        </w:rPr>
      </w:pPr>
    </w:p>
    <w:bookmarkStart w:id="1" w:name="Dropdown1"/>
    <w:p w:rsidR="00DD5071" w:rsidRPr="00A544A8" w:rsidRDefault="00A544A8" w:rsidP="00704B61">
      <w:pPr>
        <w:jc w:val="center"/>
        <w:rPr>
          <w:rFonts w:ascii="Sylfaen" w:hAnsi="Sylfaen" w:cs="Arial"/>
          <w:b/>
        </w:rPr>
      </w:pPr>
      <w:r w:rsidRPr="00A544A8">
        <w:rPr>
          <w:rFonts w:ascii="Sylfaen" w:hAnsi="Sylfaen" w:cs="Arial"/>
          <w:b/>
        </w:rPr>
        <w:fldChar w:fldCharType="begin">
          <w:ffData>
            <w:name w:val="Dropdown1"/>
            <w:enabled/>
            <w:calcOnExit w:val="0"/>
            <w:ddList>
              <w:listEntry w:val="Secretary of State for the Home Department"/>
              <w:listEntry w:val="Entry Clearance Officer,"/>
              <w:listEntry w:val="Immigration Officer, "/>
            </w:ddList>
          </w:ffData>
        </w:fldChar>
      </w:r>
      <w:r w:rsidRPr="00A544A8">
        <w:rPr>
          <w:rFonts w:ascii="Sylfaen" w:hAnsi="Sylfaen" w:cs="Arial"/>
          <w:b/>
        </w:rPr>
        <w:instrText xml:space="preserve"> FORMDROPDOWN </w:instrText>
      </w:r>
      <w:r w:rsidR="008E29E6">
        <w:rPr>
          <w:rFonts w:ascii="Sylfaen" w:hAnsi="Sylfaen" w:cs="Arial"/>
          <w:b/>
        </w:rPr>
      </w:r>
      <w:r w:rsidR="008E29E6">
        <w:rPr>
          <w:rFonts w:ascii="Sylfaen" w:hAnsi="Sylfaen" w:cs="Arial"/>
          <w:b/>
        </w:rPr>
        <w:fldChar w:fldCharType="separate"/>
      </w:r>
      <w:r w:rsidRPr="00A544A8">
        <w:rPr>
          <w:rFonts w:ascii="Sylfaen" w:hAnsi="Sylfaen" w:cs="Arial"/>
          <w:b/>
        </w:rPr>
        <w:fldChar w:fldCharType="end"/>
      </w:r>
      <w:bookmarkEnd w:id="1"/>
      <w:r w:rsidR="009E30EE">
        <w:rPr>
          <w:rFonts w:ascii="Sylfaen" w:hAnsi="Sylfaen" w:cs="Arial"/>
          <w:b/>
        </w:rPr>
        <w:t xml:space="preserve"> </w:t>
      </w:r>
      <w:r w:rsidR="009E30EE">
        <w:rPr>
          <w:rFonts w:ascii="Sylfaen" w:hAnsi="Sylfaen" w:cs="Arial"/>
          <w:b/>
        </w:rPr>
        <w:fldChar w:fldCharType="begin">
          <w:ffData>
            <w:name w:val="Text34"/>
            <w:enabled/>
            <w:calcOnExit w:val="0"/>
            <w:textInput/>
          </w:ffData>
        </w:fldChar>
      </w:r>
      <w:bookmarkStart w:id="2" w:name="Text34"/>
      <w:r w:rsidR="009E30EE">
        <w:rPr>
          <w:rFonts w:ascii="Sylfaen" w:hAnsi="Sylfaen" w:cs="Arial"/>
          <w:b/>
        </w:rPr>
        <w:instrText xml:space="preserve"> FORMTEXT </w:instrText>
      </w:r>
      <w:r w:rsidR="009E30EE">
        <w:rPr>
          <w:rFonts w:ascii="Sylfaen" w:hAnsi="Sylfaen" w:cs="Arial"/>
          <w:b/>
        </w:rPr>
      </w:r>
      <w:r w:rsidR="009E30EE">
        <w:rPr>
          <w:rFonts w:ascii="Sylfaen" w:hAnsi="Sylfaen" w:cs="Arial"/>
          <w:b/>
        </w:rPr>
        <w:fldChar w:fldCharType="separate"/>
      </w:r>
      <w:r w:rsidR="00374981">
        <w:rPr>
          <w:rFonts w:ascii="Sylfaen" w:hAnsi="Sylfaen" w:cs="Arial"/>
          <w:b/>
          <w:noProof/>
        </w:rPr>
        <w:t> </w:t>
      </w:r>
      <w:r w:rsidR="00374981">
        <w:rPr>
          <w:rFonts w:ascii="Sylfaen" w:hAnsi="Sylfaen" w:cs="Arial"/>
          <w:b/>
          <w:noProof/>
        </w:rPr>
        <w:t> </w:t>
      </w:r>
      <w:r w:rsidR="00374981">
        <w:rPr>
          <w:rFonts w:ascii="Sylfaen" w:hAnsi="Sylfaen" w:cs="Arial"/>
          <w:b/>
          <w:noProof/>
        </w:rPr>
        <w:t> </w:t>
      </w:r>
      <w:r w:rsidR="00374981">
        <w:rPr>
          <w:rFonts w:ascii="Sylfaen" w:hAnsi="Sylfaen" w:cs="Arial"/>
          <w:b/>
          <w:noProof/>
        </w:rPr>
        <w:t> </w:t>
      </w:r>
      <w:r w:rsidR="00374981">
        <w:rPr>
          <w:rFonts w:ascii="Sylfaen" w:hAnsi="Sylfaen" w:cs="Arial"/>
          <w:b/>
          <w:noProof/>
        </w:rPr>
        <w:t> </w:t>
      </w:r>
      <w:r w:rsidR="009E30EE">
        <w:rPr>
          <w:rFonts w:ascii="Sylfaen" w:hAnsi="Sylfaen" w:cs="Arial"/>
          <w:b/>
        </w:rPr>
        <w:fldChar w:fldCharType="end"/>
      </w:r>
      <w:bookmarkEnd w:id="2"/>
    </w:p>
    <w:p w:rsidR="00DD5071" w:rsidRPr="003860CF" w:rsidRDefault="00BD3A9C" w:rsidP="00DD5071">
      <w:pPr>
        <w:jc w:val="right"/>
        <w:rPr>
          <w:rFonts w:ascii="Sylfaen" w:hAnsi="Sylfaen" w:cs="Arial"/>
        </w:rPr>
      </w:pPr>
      <w:r w:rsidRPr="003860CF">
        <w:rPr>
          <w:rFonts w:ascii="Sylfaen" w:hAnsi="Sylfaen" w:cs="Arial"/>
        </w:rPr>
        <w:t>respondent</w:t>
      </w:r>
    </w:p>
    <w:p w:rsidR="004C5D88" w:rsidRDefault="004C5D88" w:rsidP="00DD5071">
      <w:pPr>
        <w:rPr>
          <w:rFonts w:ascii="Sylfaen" w:hAnsi="Sylfaen" w:cs="Arial"/>
          <w:u w:val="single"/>
        </w:rPr>
      </w:pPr>
    </w:p>
    <w:p w:rsidR="00DD5071" w:rsidRPr="003860CF" w:rsidRDefault="00DE7DB7" w:rsidP="00DD5071">
      <w:pPr>
        <w:rPr>
          <w:rFonts w:ascii="Sylfaen" w:hAnsi="Sylfaen" w:cs="Arial"/>
        </w:rPr>
      </w:pPr>
      <w:r w:rsidRPr="003860CF">
        <w:rPr>
          <w:rFonts w:ascii="Sylfaen" w:hAnsi="Sylfaen" w:cs="Arial"/>
          <w:u w:val="single"/>
        </w:rPr>
        <w:t>Representation</w:t>
      </w:r>
      <w:r w:rsidRPr="003860CF">
        <w:rPr>
          <w:rFonts w:ascii="Sylfaen" w:hAnsi="Sylfaen" w:cs="Arial"/>
        </w:rPr>
        <w:t>:</w:t>
      </w:r>
    </w:p>
    <w:p w:rsidR="00DE7DB7" w:rsidRPr="00CD4698" w:rsidRDefault="00DE7DB7" w:rsidP="00DE7DB7">
      <w:pPr>
        <w:tabs>
          <w:tab w:val="left" w:pos="2520"/>
        </w:tabs>
        <w:rPr>
          <w:rFonts w:ascii="Sylfaen" w:hAnsi="Sylfaen" w:cs="Arial"/>
        </w:rPr>
      </w:pPr>
      <w:r w:rsidRPr="00A544A8">
        <w:rPr>
          <w:rFonts w:ascii="Sylfaen" w:hAnsi="Sylfaen" w:cs="Arial"/>
        </w:rPr>
        <w:t xml:space="preserve">For the </w:t>
      </w:r>
      <w:r w:rsidR="00A544A8" w:rsidRPr="00A544A8">
        <w:rPr>
          <w:rFonts w:ascii="Sylfaen" w:hAnsi="Sylfaen" w:cs="Arial"/>
        </w:rPr>
        <w:t>appellant</w:t>
      </w:r>
      <w:r w:rsidRPr="00A544A8">
        <w:rPr>
          <w:rFonts w:ascii="Sylfaen" w:hAnsi="Sylfaen" w:cs="Arial"/>
        </w:rPr>
        <w:t>:</w:t>
      </w:r>
      <w:r w:rsidRPr="00A544A8">
        <w:rPr>
          <w:rFonts w:ascii="Sylfaen" w:hAnsi="Sylfaen" w:cs="Arial"/>
        </w:rPr>
        <w:tab/>
      </w:r>
      <w:r w:rsidR="00CD4698">
        <w:rPr>
          <w:rFonts w:ascii="Sylfaen" w:hAnsi="Sylfaen" w:cs="Arial"/>
          <w:i/>
        </w:rPr>
        <w:t xml:space="preserve">Deborah </w:t>
      </w:r>
      <w:proofErr w:type="spellStart"/>
      <w:proofErr w:type="gramStart"/>
      <w:r w:rsidR="00CD4698">
        <w:rPr>
          <w:rFonts w:ascii="Sylfaen" w:hAnsi="Sylfaen" w:cs="Arial"/>
          <w:i/>
        </w:rPr>
        <w:t>Revill</w:t>
      </w:r>
      <w:proofErr w:type="spellEnd"/>
      <w:r w:rsidR="00CD4698">
        <w:rPr>
          <w:rFonts w:ascii="Sylfaen" w:hAnsi="Sylfaen" w:cs="Arial"/>
          <w:i/>
        </w:rPr>
        <w:t xml:space="preserve"> </w:t>
      </w:r>
      <w:r w:rsidR="00CD4698">
        <w:rPr>
          <w:rFonts w:ascii="Sylfaen" w:hAnsi="Sylfaen" w:cs="Arial"/>
        </w:rPr>
        <w:t xml:space="preserve"> (</w:t>
      </w:r>
      <w:proofErr w:type="gramEnd"/>
      <w:r w:rsidR="00CD4698">
        <w:rPr>
          <w:rFonts w:ascii="Sylfaen" w:hAnsi="Sylfaen" w:cs="Arial"/>
        </w:rPr>
        <w:t>counsel instructed by Ata &amp; Co, Harrow)</w:t>
      </w:r>
    </w:p>
    <w:p w:rsidR="00DE7DB7" w:rsidRPr="00A544A8" w:rsidRDefault="00DE7DB7" w:rsidP="00DE7DB7">
      <w:pPr>
        <w:tabs>
          <w:tab w:val="left" w:pos="2520"/>
        </w:tabs>
        <w:rPr>
          <w:rFonts w:ascii="Sylfaen" w:hAnsi="Sylfaen" w:cs="Arial"/>
        </w:rPr>
      </w:pPr>
      <w:r w:rsidRPr="00A544A8">
        <w:rPr>
          <w:rFonts w:ascii="Sylfaen" w:hAnsi="Sylfaen" w:cs="Arial"/>
        </w:rPr>
        <w:t xml:space="preserve">For the </w:t>
      </w:r>
      <w:r w:rsidR="00A544A8" w:rsidRPr="00A544A8">
        <w:rPr>
          <w:rFonts w:ascii="Sylfaen" w:hAnsi="Sylfaen" w:cs="Arial"/>
        </w:rPr>
        <w:t>respondent</w:t>
      </w:r>
      <w:r w:rsidRPr="00A544A8">
        <w:rPr>
          <w:rFonts w:ascii="Sylfaen" w:hAnsi="Sylfaen" w:cs="Arial"/>
        </w:rPr>
        <w:t>:</w:t>
      </w:r>
      <w:r w:rsidRPr="00A544A8">
        <w:rPr>
          <w:rFonts w:ascii="Sylfaen" w:hAnsi="Sylfaen" w:cs="Arial"/>
        </w:rPr>
        <w:tab/>
      </w:r>
      <w:r w:rsidR="00CD4698">
        <w:rPr>
          <w:rFonts w:ascii="Sylfaen" w:hAnsi="Sylfaen" w:cs="Arial"/>
        </w:rPr>
        <w:t>Mr Ian Jarvis</w:t>
      </w:r>
    </w:p>
    <w:p w:rsidR="00DE7DB7" w:rsidRPr="00A544A8" w:rsidRDefault="00DE7DB7" w:rsidP="00402B9E">
      <w:pPr>
        <w:tabs>
          <w:tab w:val="left" w:pos="2520"/>
        </w:tabs>
        <w:jc w:val="center"/>
        <w:rPr>
          <w:rFonts w:ascii="Sylfaen" w:hAnsi="Sylfaen" w:cs="Arial"/>
        </w:rPr>
      </w:pPr>
    </w:p>
    <w:p w:rsidR="00DE7DB7" w:rsidRPr="00A544A8" w:rsidRDefault="001401BB" w:rsidP="00BD3A9C">
      <w:pPr>
        <w:tabs>
          <w:tab w:val="left" w:pos="2520"/>
        </w:tabs>
        <w:spacing w:after="120"/>
        <w:jc w:val="center"/>
        <w:rPr>
          <w:rFonts w:ascii="Sylfaen" w:hAnsi="Sylfaen" w:cs="Arial"/>
        </w:rPr>
      </w:pPr>
      <w:r>
        <w:rPr>
          <w:rFonts w:ascii="Sylfaen" w:hAnsi="Sylfaen" w:cs="Arial"/>
          <w:b/>
          <w:u w:val="single"/>
        </w:rPr>
        <w:t>DECISION</w:t>
      </w:r>
      <w:r w:rsidR="00402B9E" w:rsidRPr="00A544A8">
        <w:rPr>
          <w:rFonts w:ascii="Sylfaen" w:hAnsi="Sylfaen" w:cs="Arial"/>
          <w:b/>
          <w:u w:val="single"/>
        </w:rPr>
        <w:t xml:space="preserve"> AND REASONS</w:t>
      </w:r>
    </w:p>
    <w:p w:rsidR="00BF23BB" w:rsidRPr="00A544A8" w:rsidRDefault="00402B9E" w:rsidP="00BD3A9C">
      <w:pPr>
        <w:tabs>
          <w:tab w:val="left" w:pos="567"/>
        </w:tabs>
        <w:spacing w:after="120"/>
        <w:ind w:left="567" w:hanging="567"/>
        <w:jc w:val="both"/>
        <w:rPr>
          <w:rFonts w:ascii="Sylfaen" w:hAnsi="Sylfaen" w:cs="Arial"/>
        </w:rPr>
      </w:pPr>
      <w:r w:rsidRPr="00A544A8">
        <w:rPr>
          <w:rFonts w:ascii="Sylfaen" w:hAnsi="Sylfaen" w:cs="Arial"/>
        </w:rPr>
        <w:tab/>
      </w:r>
      <w:r w:rsidR="00FE4D99">
        <w:rPr>
          <w:rFonts w:ascii="Sylfaen" w:hAnsi="Sylfaen" w:cs="Arial"/>
        </w:rPr>
        <w:t>This is an appeal</w:t>
      </w:r>
      <w:r w:rsidR="00DF392C">
        <w:rPr>
          <w:rFonts w:ascii="Sylfaen" w:hAnsi="Sylfaen" w:cs="Arial"/>
        </w:rPr>
        <w:t>,</w:t>
      </w:r>
      <w:r w:rsidR="00FE4D99">
        <w:rPr>
          <w:rFonts w:ascii="Sylfaen" w:hAnsi="Sylfaen" w:cs="Arial"/>
        </w:rPr>
        <w:t xml:space="preserve"> by</w:t>
      </w:r>
      <w:r w:rsidR="00DE20CE">
        <w:rPr>
          <w:rFonts w:ascii="Sylfaen" w:hAnsi="Sylfaen" w:cs="Arial"/>
        </w:rPr>
        <w:t xml:space="preserve"> the </w:t>
      </w:r>
      <w:bookmarkStart w:id="3" w:name="Dropdown4"/>
      <w:r w:rsidR="00DE20CE">
        <w:rPr>
          <w:rFonts w:ascii="Sylfaen" w:hAnsi="Sylfaen" w:cs="Arial"/>
        </w:rPr>
        <w:fldChar w:fldCharType="begin">
          <w:ffData>
            <w:name w:val="Dropdown4"/>
            <w:enabled/>
            <w:calcOnExit w:val="0"/>
            <w:ddList>
              <w:listEntry w:val="appellant"/>
              <w:listEntry w:val="appellants"/>
              <w:listEntry w:val="respondent to the original appeal"/>
            </w:ddList>
          </w:ffData>
        </w:fldChar>
      </w:r>
      <w:r w:rsidR="00DE20CE">
        <w:rPr>
          <w:rFonts w:ascii="Sylfaen" w:hAnsi="Sylfaen" w:cs="Arial"/>
        </w:rPr>
        <w:instrText xml:space="preserve"> FORMDROPDOWN </w:instrText>
      </w:r>
      <w:r w:rsidR="008E29E6">
        <w:rPr>
          <w:rFonts w:ascii="Sylfaen" w:hAnsi="Sylfaen" w:cs="Arial"/>
        </w:rPr>
      </w:r>
      <w:r w:rsidR="008E29E6">
        <w:rPr>
          <w:rFonts w:ascii="Sylfaen" w:hAnsi="Sylfaen" w:cs="Arial"/>
        </w:rPr>
        <w:fldChar w:fldCharType="separate"/>
      </w:r>
      <w:r w:rsidR="00DE20CE">
        <w:rPr>
          <w:rFonts w:ascii="Sylfaen" w:hAnsi="Sylfaen" w:cs="Arial"/>
        </w:rPr>
        <w:fldChar w:fldCharType="end"/>
      </w:r>
      <w:bookmarkEnd w:id="3"/>
      <w:r w:rsidR="00DF392C">
        <w:rPr>
          <w:rFonts w:ascii="Sylfaen" w:hAnsi="Sylfaen" w:cs="Arial"/>
        </w:rPr>
        <w:t>,</w:t>
      </w:r>
      <w:r w:rsidR="00FE4D99">
        <w:rPr>
          <w:rFonts w:ascii="Sylfaen" w:hAnsi="Sylfaen" w:cs="Arial"/>
        </w:rPr>
        <w:t xml:space="preserve"> against the decision of </w:t>
      </w:r>
      <w:r w:rsidR="00194E6E">
        <w:rPr>
          <w:rFonts w:ascii="Sylfaen" w:hAnsi="Sylfaen" w:cs="Arial"/>
        </w:rPr>
        <w:t>the First-tier Tribunal</w:t>
      </w:r>
      <w:r w:rsidR="00FE4D99">
        <w:rPr>
          <w:rFonts w:ascii="Sylfaen" w:hAnsi="Sylfaen" w:cs="Arial"/>
        </w:rPr>
        <w:t xml:space="preserve"> </w:t>
      </w:r>
      <w:r w:rsidR="00194E6E">
        <w:rPr>
          <w:rFonts w:ascii="Sylfaen" w:hAnsi="Sylfaen" w:cs="Arial"/>
        </w:rPr>
        <w:t>(</w:t>
      </w:r>
      <w:r w:rsidR="00FE4D99">
        <w:rPr>
          <w:rFonts w:ascii="Sylfaen" w:hAnsi="Sylfaen" w:cs="Arial"/>
        </w:rPr>
        <w:t xml:space="preserve">Judge </w:t>
      </w:r>
      <w:proofErr w:type="spellStart"/>
      <w:r w:rsidR="00CD4698">
        <w:rPr>
          <w:rFonts w:ascii="Sylfaen" w:hAnsi="Sylfaen" w:cs="Arial"/>
        </w:rPr>
        <w:t>Kamini</w:t>
      </w:r>
      <w:proofErr w:type="spellEnd"/>
      <w:r w:rsidR="00CD4698">
        <w:rPr>
          <w:rFonts w:ascii="Sylfaen" w:hAnsi="Sylfaen" w:cs="Arial"/>
        </w:rPr>
        <w:t xml:space="preserve"> </w:t>
      </w:r>
      <w:proofErr w:type="spellStart"/>
      <w:r w:rsidR="00CD4698">
        <w:rPr>
          <w:rFonts w:ascii="Sylfaen" w:hAnsi="Sylfaen" w:cs="Arial"/>
        </w:rPr>
        <w:t>Roopnarine</w:t>
      </w:r>
      <w:proofErr w:type="spellEnd"/>
      <w:r w:rsidR="00CD4698">
        <w:rPr>
          <w:rFonts w:ascii="Sylfaen" w:hAnsi="Sylfaen" w:cs="Arial"/>
        </w:rPr>
        <w:t>-Davies</w:t>
      </w:r>
      <w:r w:rsidR="00194E6E">
        <w:rPr>
          <w:rFonts w:ascii="Sylfaen" w:hAnsi="Sylfaen" w:cs="Arial"/>
        </w:rPr>
        <w:t>)</w:t>
      </w:r>
      <w:r w:rsidR="00FE4D99">
        <w:rPr>
          <w:rFonts w:ascii="Sylfaen" w:hAnsi="Sylfaen" w:cs="Arial"/>
        </w:rPr>
        <w:t xml:space="preserve">, sitting at </w:t>
      </w:r>
      <w:r w:rsidR="00CD4698">
        <w:rPr>
          <w:rFonts w:ascii="Sylfaen" w:hAnsi="Sylfaen" w:cs="Arial"/>
        </w:rPr>
        <w:t>Taylor House</w:t>
      </w:r>
      <w:r w:rsidR="00FE4D99">
        <w:rPr>
          <w:rFonts w:ascii="Sylfaen" w:hAnsi="Sylfaen" w:cs="Arial"/>
        </w:rPr>
        <w:t xml:space="preserve"> on </w:t>
      </w:r>
      <w:r w:rsidR="00CD4698">
        <w:rPr>
          <w:rFonts w:ascii="Sylfaen" w:hAnsi="Sylfaen" w:cs="Arial"/>
        </w:rPr>
        <w:t>6 June 2017</w:t>
      </w:r>
      <w:r w:rsidR="00FE4D99">
        <w:rPr>
          <w:rFonts w:ascii="Sylfaen" w:hAnsi="Sylfaen" w:cs="Arial"/>
        </w:rPr>
        <w:t xml:space="preserve">, to </w:t>
      </w:r>
      <w:bookmarkStart w:id="4" w:name="Dropdown2"/>
      <w:r w:rsidR="004617F0">
        <w:rPr>
          <w:rFonts w:ascii="Sylfaen" w:hAnsi="Sylfaen" w:cs="Arial"/>
        </w:rPr>
        <w:fldChar w:fldCharType="begin">
          <w:ffData>
            <w:name w:val="Dropdown2"/>
            <w:enabled/>
            <w:calcOnExit w:val="0"/>
            <w:ddList>
              <w:listEntry w:val="dismiss"/>
              <w:listEntry w:val="allow"/>
            </w:ddList>
          </w:ffData>
        </w:fldChar>
      </w:r>
      <w:r w:rsidR="004617F0">
        <w:rPr>
          <w:rFonts w:ascii="Sylfaen" w:hAnsi="Sylfaen" w:cs="Arial"/>
        </w:rPr>
        <w:instrText xml:space="preserve"> FORMDROPDOWN </w:instrText>
      </w:r>
      <w:r w:rsidR="008E29E6">
        <w:rPr>
          <w:rFonts w:ascii="Sylfaen" w:hAnsi="Sylfaen" w:cs="Arial"/>
        </w:rPr>
      </w:r>
      <w:r w:rsidR="008E29E6">
        <w:rPr>
          <w:rFonts w:ascii="Sylfaen" w:hAnsi="Sylfaen" w:cs="Arial"/>
        </w:rPr>
        <w:fldChar w:fldCharType="separate"/>
      </w:r>
      <w:r w:rsidR="004617F0">
        <w:rPr>
          <w:rFonts w:ascii="Sylfaen" w:hAnsi="Sylfaen" w:cs="Arial"/>
        </w:rPr>
        <w:fldChar w:fldCharType="end"/>
      </w:r>
      <w:bookmarkEnd w:id="4"/>
      <w:r w:rsidR="00FE4D99">
        <w:rPr>
          <w:rFonts w:ascii="Sylfaen" w:hAnsi="Sylfaen" w:cs="Arial"/>
        </w:rPr>
        <w:t xml:space="preserve"> </w:t>
      </w:r>
      <w:r w:rsidR="00CD4698">
        <w:rPr>
          <w:rFonts w:ascii="Sylfaen" w:hAnsi="Sylfaen" w:cs="Arial"/>
        </w:rPr>
        <w:t>a dependent partner</w:t>
      </w:r>
      <w:r w:rsidR="00FE4D99">
        <w:rPr>
          <w:rFonts w:ascii="Sylfaen" w:hAnsi="Sylfaen" w:cs="Arial"/>
        </w:rPr>
        <w:t xml:space="preserve"> appeal by a citizen of </w:t>
      </w:r>
      <w:r w:rsidR="00CD4698">
        <w:rPr>
          <w:rFonts w:ascii="Sylfaen" w:hAnsi="Sylfaen" w:cs="Arial"/>
        </w:rPr>
        <w:t>Iran</w:t>
      </w:r>
      <w:r w:rsidR="00102EBC">
        <w:rPr>
          <w:rFonts w:ascii="Sylfaen" w:hAnsi="Sylfaen" w:cs="Arial"/>
        </w:rPr>
        <w:t xml:space="preserve">, born </w:t>
      </w:r>
      <w:r w:rsidR="00CD4698">
        <w:rPr>
          <w:rFonts w:ascii="Sylfaen" w:hAnsi="Sylfaen" w:cs="Arial"/>
        </w:rPr>
        <w:t>1986</w:t>
      </w:r>
      <w:r w:rsidR="00FE4D99">
        <w:rPr>
          <w:rFonts w:ascii="Sylfaen" w:hAnsi="Sylfaen" w:cs="Arial"/>
        </w:rPr>
        <w:t>.</w:t>
      </w:r>
    </w:p>
    <w:p w:rsidR="004617F0" w:rsidRDefault="009225D4" w:rsidP="00BD3A9C">
      <w:pPr>
        <w:numPr>
          <w:ilvl w:val="0"/>
          <w:numId w:val="1"/>
        </w:numPr>
        <w:tabs>
          <w:tab w:val="clear" w:pos="757"/>
        </w:tabs>
        <w:spacing w:after="120"/>
        <w:ind w:left="540" w:hanging="540"/>
        <w:jc w:val="both"/>
        <w:rPr>
          <w:rFonts w:ascii="Sylfaen" w:hAnsi="Sylfaen" w:cs="Arial"/>
        </w:rPr>
      </w:pPr>
      <w:r>
        <w:rPr>
          <w:rFonts w:ascii="Sylfaen" w:hAnsi="Sylfaen" w:cs="Arial"/>
        </w:rPr>
        <w:t>Permission was given on all grounds:</w:t>
      </w:r>
    </w:p>
    <w:p w:rsidR="009225D4" w:rsidRDefault="009225D4" w:rsidP="009225D4">
      <w:pPr>
        <w:numPr>
          <w:ilvl w:val="0"/>
          <w:numId w:val="3"/>
        </w:numPr>
        <w:spacing w:after="120"/>
        <w:ind w:left="1134" w:hanging="567"/>
        <w:jc w:val="both"/>
        <w:rPr>
          <w:rFonts w:ascii="Sylfaen" w:hAnsi="Sylfaen" w:cs="Arial"/>
        </w:rPr>
      </w:pPr>
      <w:r>
        <w:rPr>
          <w:rFonts w:ascii="Sylfaen" w:hAnsi="Sylfaen" w:cs="Arial"/>
        </w:rPr>
        <w:t xml:space="preserve"> the judge seemed to have relied on her own research in reaching two conclusions of fact, to which I shall return;</w:t>
      </w:r>
    </w:p>
    <w:p w:rsidR="009225D4" w:rsidRDefault="009225D4" w:rsidP="009225D4">
      <w:pPr>
        <w:numPr>
          <w:ilvl w:val="0"/>
          <w:numId w:val="3"/>
        </w:numPr>
        <w:spacing w:after="120"/>
        <w:ind w:left="1134" w:hanging="567"/>
        <w:jc w:val="both"/>
        <w:rPr>
          <w:rFonts w:ascii="Sylfaen" w:hAnsi="Sylfaen" w:cs="Arial"/>
        </w:rPr>
      </w:pPr>
      <w:r>
        <w:rPr>
          <w:rFonts w:ascii="Sylfaen" w:hAnsi="Sylfaen" w:cs="Arial"/>
        </w:rPr>
        <w:lastRenderedPageBreak/>
        <w:t>medical evidence available to the judge showed that the health of the sponsor (</w:t>
      </w:r>
      <w:r w:rsidR="004C5D88">
        <w:rPr>
          <w:rFonts w:ascii="Sylfaen" w:hAnsi="Sylfaen" w:cs="Arial"/>
        </w:rPr>
        <w:t>[</w:t>
      </w:r>
      <w:r w:rsidR="00AE3FCA">
        <w:rPr>
          <w:rFonts w:ascii="Sylfaen" w:hAnsi="Sylfaen" w:cs="Arial"/>
        </w:rPr>
        <w:t>AY</w:t>
      </w:r>
      <w:r w:rsidR="004C5D88">
        <w:rPr>
          <w:rFonts w:ascii="Sylfaen" w:hAnsi="Sylfaen" w:cs="Arial"/>
        </w:rPr>
        <w:t>]</w:t>
      </w:r>
      <w:r w:rsidR="00AE3FCA">
        <w:rPr>
          <w:rFonts w:ascii="Sylfaen" w:hAnsi="Sylfaen" w:cs="Arial"/>
        </w:rPr>
        <w:t xml:space="preserve">, </w:t>
      </w:r>
      <w:r>
        <w:rPr>
          <w:rFonts w:ascii="Sylfaen" w:hAnsi="Sylfaen" w:cs="Arial"/>
        </w:rPr>
        <w:t>a Turkish citizen with indefinite leave to remain here) was likely to decline if she were put under stress (as by having to go and live in Turkey with the appellant); and</w:t>
      </w:r>
    </w:p>
    <w:p w:rsidR="009225D4" w:rsidRDefault="009225D4" w:rsidP="009225D4">
      <w:pPr>
        <w:numPr>
          <w:ilvl w:val="0"/>
          <w:numId w:val="3"/>
        </w:numPr>
        <w:spacing w:after="120"/>
        <w:ind w:left="1134" w:hanging="567"/>
        <w:jc w:val="both"/>
        <w:rPr>
          <w:rFonts w:ascii="Sylfaen" w:hAnsi="Sylfaen" w:cs="Arial"/>
        </w:rPr>
      </w:pPr>
      <w:r>
        <w:rPr>
          <w:rFonts w:ascii="Sylfaen" w:hAnsi="Sylfaen" w:cs="Arial"/>
        </w:rPr>
        <w:t xml:space="preserve">an application by the appellant for </w:t>
      </w:r>
      <w:r w:rsidRPr="009225D4">
        <w:rPr>
          <w:rFonts w:ascii="Sylfaen" w:hAnsi="Sylfaen" w:cs="Arial"/>
        </w:rPr>
        <w:t>entry clear</w:t>
      </w:r>
      <w:r>
        <w:rPr>
          <w:rFonts w:ascii="Sylfaen" w:hAnsi="Sylfaen" w:cs="Arial"/>
        </w:rPr>
        <w:t>ance was in any case likely to succeed.</w:t>
      </w:r>
    </w:p>
    <w:p w:rsidR="006E3FD3" w:rsidRDefault="009225D4" w:rsidP="00BD3A9C">
      <w:pPr>
        <w:numPr>
          <w:ilvl w:val="0"/>
          <w:numId w:val="1"/>
        </w:numPr>
        <w:tabs>
          <w:tab w:val="clear" w:pos="757"/>
        </w:tabs>
        <w:spacing w:after="120"/>
        <w:ind w:left="540" w:hanging="540"/>
        <w:jc w:val="both"/>
        <w:rPr>
          <w:rFonts w:ascii="Sylfaen" w:hAnsi="Sylfaen" w:cs="Arial"/>
        </w:rPr>
      </w:pPr>
      <w:r>
        <w:rPr>
          <w:rFonts w:ascii="Sylfaen" w:hAnsi="Sylfaen" w:cs="Arial"/>
        </w:rPr>
        <w:t>The two points of fact referred to in (</w:t>
      </w:r>
      <w:proofErr w:type="spellStart"/>
      <w:r>
        <w:rPr>
          <w:rFonts w:ascii="Sylfaen" w:hAnsi="Sylfaen" w:cs="Arial"/>
        </w:rPr>
        <w:t>i</w:t>
      </w:r>
      <w:proofErr w:type="spellEnd"/>
      <w:r>
        <w:rPr>
          <w:rFonts w:ascii="Sylfaen" w:hAnsi="Sylfaen" w:cs="Arial"/>
        </w:rPr>
        <w:t xml:space="preserve">) </w:t>
      </w:r>
      <w:r w:rsidR="006E3FD3">
        <w:rPr>
          <w:rFonts w:ascii="Sylfaen" w:hAnsi="Sylfaen" w:cs="Arial"/>
        </w:rPr>
        <w:t>both come in</w:t>
      </w:r>
      <w:r>
        <w:rPr>
          <w:rFonts w:ascii="Sylfaen" w:hAnsi="Sylfaen" w:cs="Arial"/>
        </w:rPr>
        <w:t xml:space="preserve"> the judge’s </w:t>
      </w:r>
      <w:r w:rsidR="006E3FD3">
        <w:rPr>
          <w:rFonts w:ascii="Sylfaen" w:hAnsi="Sylfaen" w:cs="Arial"/>
        </w:rPr>
        <w:t xml:space="preserve">paragraph 12. First there is here </w:t>
      </w:r>
      <w:r>
        <w:rPr>
          <w:rFonts w:ascii="Sylfaen" w:hAnsi="Sylfaen" w:cs="Arial"/>
        </w:rPr>
        <w:t xml:space="preserve">statement that </w:t>
      </w:r>
      <w:r w:rsidR="006E3FD3">
        <w:rPr>
          <w:rFonts w:ascii="Sylfaen" w:hAnsi="Sylfaen" w:cs="Arial"/>
        </w:rPr>
        <w:t>“The background evidence (</w:t>
      </w:r>
      <w:r w:rsidR="006E3FD3" w:rsidRPr="006E3FD3">
        <w:rPr>
          <w:rFonts w:ascii="Sylfaen" w:hAnsi="Sylfaen" w:cs="Arial"/>
          <w:i/>
        </w:rPr>
        <w:t>unreferenced</w:t>
      </w:r>
      <w:r w:rsidR="006E3FD3">
        <w:rPr>
          <w:rFonts w:ascii="Sylfaen" w:hAnsi="Sylfaen" w:cs="Arial"/>
        </w:rPr>
        <w:t xml:space="preserve">) is that there are similarities between Farsi and Turkish language”. This I am afraid is plain wrong: while the two languages share a number of words of Arabic origin, derived from their common Islamic heritage, Persian is an Aryan language, like English and most European ones, while Turkish is in a group of its own. </w:t>
      </w:r>
    </w:p>
    <w:p w:rsidR="009225D4" w:rsidRDefault="006E3FD3"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The other point was the judge’s statement that “Turkey is today a prosperous country with a booming economy”. This on the other hand (whatever may be thought of that country’s government) is a matter of common knowledge to anyone with a passing interest in this part of the world. While it would have been better for the judge to make some reference to it during the hearing, so that Miss </w:t>
      </w:r>
      <w:proofErr w:type="spellStart"/>
      <w:r>
        <w:rPr>
          <w:rFonts w:ascii="Sylfaen" w:hAnsi="Sylfaen" w:cs="Arial"/>
        </w:rPr>
        <w:t>Revill</w:t>
      </w:r>
      <w:proofErr w:type="spellEnd"/>
      <w:r>
        <w:rPr>
          <w:rFonts w:ascii="Sylfaen" w:hAnsi="Sylfaen" w:cs="Arial"/>
        </w:rPr>
        <w:t xml:space="preserve"> could have commented on it as she wished, there was nothing wrong in law in mentioning it. I can take account of both these points in reaching my</w:t>
      </w:r>
      <w:r w:rsidR="001B4B39">
        <w:rPr>
          <w:rFonts w:ascii="Sylfaen" w:hAnsi="Sylfaen" w:cs="Arial"/>
        </w:rPr>
        <w:t xml:space="preserve"> decision, if necessary.</w:t>
      </w:r>
    </w:p>
    <w:p w:rsidR="006E3FD3" w:rsidRPr="00A80DB6" w:rsidRDefault="00A80DB6"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The medical evidence came in a letter to the sponsor’s GP from Mr Anthony Silverstone, a consultant gynaecologist, who had seen her on 20 May 2016. The sponsor, then 39, had complained of heavy periods, which medical advice in Istanbul had already suggested were stress-related. Mr Silverstone agreed, and saw no </w:t>
      </w:r>
      <w:r w:rsidRPr="00A80DB6">
        <w:rPr>
          <w:rFonts w:ascii="Sylfaen" w:hAnsi="Sylfaen" w:cs="Arial"/>
        </w:rPr>
        <w:t>significant</w:t>
      </w:r>
      <w:r>
        <w:rPr>
          <w:rFonts w:ascii="Sylfaen" w:hAnsi="Sylfaen" w:cs="Arial"/>
        </w:rPr>
        <w:t xml:space="preserve"> </w:t>
      </w:r>
      <w:proofErr w:type="spellStart"/>
      <w:r w:rsidRPr="00A80DB6">
        <w:rPr>
          <w:rFonts w:ascii="Sylfaen" w:hAnsi="Sylfaen" w:cs="Arial"/>
          <w:bCs/>
          <w:color w:val="000000"/>
        </w:rPr>
        <w:t>gynæcological</w:t>
      </w:r>
      <w:proofErr w:type="spellEnd"/>
      <w:r>
        <w:rPr>
          <w:rFonts w:ascii="Sylfaen" w:hAnsi="Sylfaen" w:cs="Arial"/>
          <w:bCs/>
          <w:color w:val="000000"/>
        </w:rPr>
        <w:t xml:space="preserve"> problem; but he too said, referring to these proceedings “The situation is very difficult indeed, and I am sure that this is contributing to her period problem”.</w:t>
      </w:r>
    </w:p>
    <w:p w:rsidR="001B4B39" w:rsidRPr="001B4B39" w:rsidRDefault="00A80DB6" w:rsidP="00BD3A9C">
      <w:pPr>
        <w:numPr>
          <w:ilvl w:val="0"/>
          <w:numId w:val="1"/>
        </w:numPr>
        <w:tabs>
          <w:tab w:val="clear" w:pos="757"/>
        </w:tabs>
        <w:spacing w:after="120"/>
        <w:ind w:left="540" w:hanging="540"/>
        <w:jc w:val="both"/>
        <w:rPr>
          <w:rFonts w:ascii="Sylfaen" w:hAnsi="Sylfaen" w:cs="Arial"/>
        </w:rPr>
      </w:pPr>
      <w:r>
        <w:rPr>
          <w:rFonts w:ascii="Sylfaen" w:hAnsi="Sylfaen" w:cs="Arial"/>
          <w:bCs/>
          <w:color w:val="000000"/>
        </w:rPr>
        <w:t xml:space="preserve">The judge dealt with this point without referring to Mr Silverstone’s letter, but fairly setting out the appellant’s own evidence at 11. She concluded at 14 that “It was not argued that medication and treatment was not available in Turkey and scant evidence that it was likely to worsen there”. </w:t>
      </w:r>
      <w:r w:rsidR="001B4B39">
        <w:rPr>
          <w:rFonts w:ascii="Sylfaen" w:hAnsi="Sylfaen" w:cs="Arial"/>
          <w:bCs/>
          <w:color w:val="000000"/>
        </w:rPr>
        <w:t xml:space="preserve">The sponsor’s real problem is of course stress, and its effects: it is likely only to be a question of degree whether that would be worse when setting up house afresh in her own country with her partner (they have been through an </w:t>
      </w:r>
      <w:r w:rsidR="001B4B39" w:rsidRPr="001B4B39">
        <w:rPr>
          <w:rFonts w:ascii="Sylfaen" w:hAnsi="Sylfaen" w:cs="Arial"/>
          <w:bCs/>
          <w:color w:val="000000"/>
        </w:rPr>
        <w:t xml:space="preserve">unrecognized religious ceremony of marriage </w:t>
      </w:r>
      <w:r w:rsidR="001B4B39">
        <w:rPr>
          <w:rFonts w:ascii="Sylfaen" w:hAnsi="Sylfaen" w:cs="Arial"/>
          <w:bCs/>
          <w:color w:val="000000"/>
        </w:rPr>
        <w:t xml:space="preserve"> here, but there does not seem to be any reason why they should not be lawfully married in Turkey), compared to how it has been during the undoubted stress of this case, now on its second appearance before the Upper Tribunal. </w:t>
      </w:r>
    </w:p>
    <w:p w:rsidR="00A80DB6" w:rsidRPr="001B4B39" w:rsidRDefault="001B4B39" w:rsidP="00BD3A9C">
      <w:pPr>
        <w:numPr>
          <w:ilvl w:val="0"/>
          <w:numId w:val="1"/>
        </w:numPr>
        <w:tabs>
          <w:tab w:val="clear" w:pos="757"/>
        </w:tabs>
        <w:spacing w:after="120"/>
        <w:ind w:left="540" w:hanging="540"/>
        <w:jc w:val="both"/>
        <w:rPr>
          <w:rFonts w:ascii="Sylfaen" w:hAnsi="Sylfaen" w:cs="Arial"/>
        </w:rPr>
      </w:pPr>
      <w:r>
        <w:rPr>
          <w:rFonts w:ascii="Sylfaen" w:hAnsi="Sylfaen" w:cs="Arial"/>
          <w:bCs/>
          <w:color w:val="000000"/>
        </w:rPr>
        <w:t xml:space="preserve">I do not think the judge can be regarded as wrong in law in not regarding the effects of the sponsor’s condition as amounting to </w:t>
      </w:r>
      <w:r w:rsidRPr="001B4B39">
        <w:rPr>
          <w:rFonts w:ascii="Sylfaen" w:hAnsi="Sylfaen" w:cs="Arial"/>
          <w:bCs/>
          <w:color w:val="000000"/>
        </w:rPr>
        <w:t>’insurmountable obstacles’</w:t>
      </w:r>
      <w:r>
        <w:rPr>
          <w:rFonts w:ascii="Sylfaen" w:hAnsi="Sylfaen" w:cs="Arial"/>
          <w:bCs/>
          <w:color w:val="000000"/>
        </w:rPr>
        <w:t xml:space="preserve"> to her and the appellant’s going on with their family life in Turkey, as required by the Rules; still less to the ‘</w:t>
      </w:r>
      <w:r w:rsidRPr="001B4B39">
        <w:rPr>
          <w:rFonts w:ascii="Sylfaen" w:hAnsi="Sylfaen" w:cs="Arial"/>
          <w:bCs/>
          <w:color w:val="000000"/>
        </w:rPr>
        <w:t xml:space="preserve">compelling circumstances’ (see </w:t>
      </w:r>
      <w:hyperlink r:id="rId8" w:history="1">
        <w:proofErr w:type="spellStart"/>
        <w:r w:rsidRPr="001B4B39">
          <w:rPr>
            <w:rStyle w:val="Hyperlink"/>
            <w:rFonts w:ascii="Sylfaen" w:hAnsi="Sylfaen" w:cs="Arial"/>
            <w:bCs/>
            <w:i/>
            <w:color w:val="000000"/>
            <w:u w:val="none"/>
          </w:rPr>
          <w:t>Agyarko</w:t>
        </w:r>
        <w:proofErr w:type="spellEnd"/>
        <w:r w:rsidRPr="001B4B39">
          <w:rPr>
            <w:rStyle w:val="Hyperlink"/>
            <w:rFonts w:ascii="Sylfaen" w:hAnsi="Sylfaen" w:cs="Arial"/>
            <w:bCs/>
            <w:i/>
            <w:color w:val="000000"/>
            <w:u w:val="none"/>
          </w:rPr>
          <w:t xml:space="preserve"> and </w:t>
        </w:r>
        <w:proofErr w:type="spellStart"/>
        <w:r w:rsidRPr="001B4B39">
          <w:rPr>
            <w:rStyle w:val="Hyperlink"/>
            <w:rFonts w:ascii="Sylfaen" w:hAnsi="Sylfaen" w:cs="Arial"/>
            <w:bCs/>
            <w:i/>
            <w:color w:val="000000"/>
            <w:u w:val="none"/>
          </w:rPr>
          <w:t>Ikuga</w:t>
        </w:r>
        <w:proofErr w:type="spellEnd"/>
        <w:r w:rsidRPr="001B4B39">
          <w:rPr>
            <w:rStyle w:val="Hyperlink"/>
            <w:rFonts w:ascii="Sylfaen" w:hAnsi="Sylfaen" w:cs="Arial"/>
            <w:bCs/>
            <w:color w:val="000000"/>
            <w:u w:val="none"/>
          </w:rPr>
          <w:t xml:space="preserve"> [2017] UKSC 11</w:t>
        </w:r>
      </w:hyperlink>
      <w:r w:rsidRPr="001B4B39">
        <w:rPr>
          <w:rFonts w:ascii="Sylfaen" w:hAnsi="Sylfaen" w:cs="Arial"/>
          <w:bCs/>
          <w:color w:val="000000"/>
        </w:rPr>
        <w:t xml:space="preserve">) </w:t>
      </w:r>
      <w:r>
        <w:rPr>
          <w:rFonts w:ascii="Sylfaen" w:hAnsi="Sylfaen" w:cs="Arial"/>
          <w:bCs/>
          <w:color w:val="000000"/>
        </w:rPr>
        <w:t xml:space="preserve">required </w:t>
      </w:r>
      <w:r w:rsidRPr="001B4B39">
        <w:rPr>
          <w:rFonts w:ascii="Sylfaen" w:hAnsi="Sylfaen" w:cs="Arial"/>
          <w:bCs/>
          <w:color w:val="000000"/>
        </w:rPr>
        <w:t>for consideration of article 8 outside the terms of the Rules</w:t>
      </w:r>
      <w:r>
        <w:rPr>
          <w:rFonts w:ascii="Sylfaen" w:hAnsi="Sylfaen" w:cs="Arial"/>
          <w:bCs/>
          <w:color w:val="000000"/>
        </w:rPr>
        <w:t>.</w:t>
      </w:r>
    </w:p>
    <w:p w:rsidR="001B4B39" w:rsidRPr="008E2B2D" w:rsidRDefault="001B4B39" w:rsidP="00BD3A9C">
      <w:pPr>
        <w:numPr>
          <w:ilvl w:val="0"/>
          <w:numId w:val="1"/>
        </w:numPr>
        <w:tabs>
          <w:tab w:val="clear" w:pos="757"/>
        </w:tabs>
        <w:spacing w:after="120"/>
        <w:ind w:left="540" w:hanging="540"/>
        <w:jc w:val="both"/>
        <w:rPr>
          <w:rFonts w:ascii="Sylfaen" w:hAnsi="Sylfaen" w:cs="Arial"/>
        </w:rPr>
      </w:pPr>
      <w:r>
        <w:rPr>
          <w:rFonts w:ascii="Sylfaen" w:hAnsi="Sylfaen" w:cs="Arial"/>
          <w:bCs/>
          <w:color w:val="000000"/>
        </w:rPr>
        <w:t xml:space="preserve">The final point is on the </w:t>
      </w:r>
      <w:r w:rsidR="00FD7014">
        <w:rPr>
          <w:rFonts w:ascii="Sylfaen" w:hAnsi="Sylfaen" w:cs="Arial"/>
          <w:bCs/>
          <w:color w:val="000000"/>
        </w:rPr>
        <w:t xml:space="preserve">argument raised in ground (iii), and dealt with by the judge at 18. </w:t>
      </w:r>
      <w:r w:rsidR="00AE3FCA">
        <w:rPr>
          <w:rFonts w:ascii="Sylfaen" w:hAnsi="Sylfaen" w:cs="Arial"/>
          <w:bCs/>
          <w:color w:val="000000"/>
        </w:rPr>
        <w:t xml:space="preserve">The respondent’s grounds for refusal </w:t>
      </w:r>
      <w:r w:rsidR="003949B4">
        <w:rPr>
          <w:rFonts w:ascii="Sylfaen" w:hAnsi="Sylfaen" w:cs="Arial"/>
          <w:bCs/>
          <w:color w:val="000000"/>
        </w:rPr>
        <w:t xml:space="preserve">under the ‘partner route’ </w:t>
      </w:r>
      <w:r w:rsidR="00AE3FCA">
        <w:rPr>
          <w:rFonts w:ascii="Sylfaen" w:hAnsi="Sylfaen" w:cs="Arial"/>
          <w:bCs/>
          <w:color w:val="000000"/>
        </w:rPr>
        <w:t xml:space="preserve">had been </w:t>
      </w:r>
      <w:r w:rsidR="00342024">
        <w:rPr>
          <w:rFonts w:ascii="Sylfaen" w:hAnsi="Sylfaen" w:cs="Arial"/>
          <w:bCs/>
          <w:color w:val="000000"/>
        </w:rPr>
        <w:t xml:space="preserve">that the appellant and the sponsor </w:t>
      </w:r>
      <w:r w:rsidR="003949B4">
        <w:rPr>
          <w:rFonts w:ascii="Sylfaen" w:hAnsi="Sylfaen" w:cs="Arial"/>
          <w:bCs/>
          <w:color w:val="000000"/>
        </w:rPr>
        <w:t>were unable to show they were or had been</w:t>
      </w:r>
      <w:r w:rsidR="004C5D88">
        <w:rPr>
          <w:rFonts w:ascii="Sylfaen" w:hAnsi="Sylfaen" w:cs="Arial"/>
          <w:bCs/>
          <w:color w:val="000000"/>
        </w:rPr>
        <w:t xml:space="preserve"> </w:t>
      </w:r>
      <w:r w:rsidR="00AE3FCA" w:rsidRPr="008E2B2D">
        <w:rPr>
          <w:rFonts w:ascii="Sylfaen" w:hAnsi="Sylfaen" w:cs="Arial"/>
          <w:bCs/>
          <w:color w:val="000000"/>
        </w:rPr>
        <w:t xml:space="preserve">(my numbering: as </w:t>
      </w:r>
      <w:proofErr w:type="spellStart"/>
      <w:proofErr w:type="gramStart"/>
      <w:r w:rsidR="00AE3FCA" w:rsidRPr="008E2B2D">
        <w:rPr>
          <w:rFonts w:ascii="Sylfaen" w:hAnsi="Sylfaen" w:cs="Arial"/>
          <w:bCs/>
          <w:color w:val="000000"/>
        </w:rPr>
        <w:t>usu</w:t>
      </w:r>
      <w:r w:rsidR="008E2B2D">
        <w:rPr>
          <w:rFonts w:ascii="Sylfaen" w:hAnsi="Sylfaen" w:cs="Arial"/>
          <w:bCs/>
          <w:color w:val="000000"/>
        </w:rPr>
        <w:t>:</w:t>
      </w:r>
      <w:r w:rsidR="00AE3FCA" w:rsidRPr="008E2B2D">
        <w:rPr>
          <w:rFonts w:ascii="Sylfaen" w:hAnsi="Sylfaen" w:cs="Arial"/>
          <w:bCs/>
          <w:color w:val="000000"/>
        </w:rPr>
        <w:t>none</w:t>
      </w:r>
      <w:proofErr w:type="spellEnd"/>
      <w:proofErr w:type="gramEnd"/>
      <w:r w:rsidR="00AE3FCA" w:rsidRPr="008E2B2D">
        <w:rPr>
          <w:rFonts w:ascii="Sylfaen" w:hAnsi="Sylfaen" w:cs="Arial"/>
          <w:bCs/>
          <w:color w:val="000000"/>
        </w:rPr>
        <w:t>):</w:t>
      </w:r>
    </w:p>
    <w:p w:rsidR="00AE3FCA" w:rsidRPr="00342024" w:rsidRDefault="00342024" w:rsidP="00342024">
      <w:pPr>
        <w:numPr>
          <w:ilvl w:val="0"/>
          <w:numId w:val="4"/>
        </w:numPr>
        <w:spacing w:after="120"/>
        <w:ind w:left="1134" w:hanging="567"/>
        <w:jc w:val="both"/>
        <w:rPr>
          <w:rFonts w:ascii="Sylfaen" w:hAnsi="Sylfaen" w:cs="Arial"/>
        </w:rPr>
      </w:pPr>
      <w:r>
        <w:rPr>
          <w:rFonts w:ascii="Sylfaen" w:hAnsi="Sylfaen" w:cs="Arial"/>
        </w:rPr>
        <w:t xml:space="preserve"> </w:t>
      </w:r>
      <w:r>
        <w:rPr>
          <w:rFonts w:ascii="Sylfaen" w:hAnsi="Sylfaen" w:cs="Arial"/>
        </w:rPr>
        <w:tab/>
      </w:r>
      <w:r>
        <w:rPr>
          <w:rFonts w:ascii="Sylfaen" w:hAnsi="Sylfaen" w:cs="Arial"/>
          <w:u w:val="single"/>
        </w:rPr>
        <w:t>living together for at least two years</w:t>
      </w:r>
    </w:p>
    <w:p w:rsidR="00342024" w:rsidRPr="00342024" w:rsidRDefault="00342024" w:rsidP="00342024">
      <w:pPr>
        <w:numPr>
          <w:ilvl w:val="0"/>
          <w:numId w:val="4"/>
        </w:numPr>
        <w:spacing w:after="120"/>
        <w:ind w:left="1134" w:hanging="567"/>
        <w:jc w:val="both"/>
        <w:rPr>
          <w:rFonts w:ascii="Sylfaen" w:hAnsi="Sylfaen" w:cs="Arial"/>
        </w:rPr>
      </w:pPr>
      <w:r>
        <w:rPr>
          <w:rFonts w:ascii="Sylfaen" w:hAnsi="Sylfaen" w:cs="Arial"/>
        </w:rPr>
        <w:lastRenderedPageBreak/>
        <w:t xml:space="preserve"> </w:t>
      </w:r>
      <w:r>
        <w:rPr>
          <w:rFonts w:ascii="Sylfaen" w:hAnsi="Sylfaen" w:cs="Arial"/>
        </w:rPr>
        <w:tab/>
      </w:r>
      <w:r>
        <w:rPr>
          <w:rFonts w:ascii="Sylfaen" w:hAnsi="Sylfaen" w:cs="Arial"/>
          <w:u w:val="single"/>
        </w:rPr>
        <w:t>in a genuine and subsisting relationship</w:t>
      </w:r>
    </w:p>
    <w:p w:rsidR="00342024" w:rsidRPr="003949B4" w:rsidRDefault="00342024" w:rsidP="00342024">
      <w:pPr>
        <w:numPr>
          <w:ilvl w:val="0"/>
          <w:numId w:val="4"/>
        </w:numPr>
        <w:spacing w:after="120"/>
        <w:ind w:left="1134" w:hanging="567"/>
        <w:jc w:val="both"/>
        <w:rPr>
          <w:rFonts w:ascii="Sylfaen" w:hAnsi="Sylfaen" w:cs="Arial"/>
        </w:rPr>
      </w:pPr>
      <w:r>
        <w:rPr>
          <w:rFonts w:ascii="Sylfaen" w:hAnsi="Sylfaen" w:cs="Arial"/>
        </w:rPr>
        <w:tab/>
      </w:r>
      <w:r w:rsidR="003949B4">
        <w:rPr>
          <w:rFonts w:ascii="Sylfaen" w:hAnsi="Sylfaen" w:cs="Arial"/>
          <w:u w:val="single"/>
        </w:rPr>
        <w:t>(since the appellant was an overstayer) to satisfy the requirements of EX.1</w:t>
      </w:r>
    </w:p>
    <w:p w:rsidR="00AE3FCA" w:rsidRDefault="003949B4" w:rsidP="00BD3A9C">
      <w:pPr>
        <w:numPr>
          <w:ilvl w:val="0"/>
          <w:numId w:val="1"/>
        </w:numPr>
        <w:tabs>
          <w:tab w:val="clear" w:pos="757"/>
        </w:tabs>
        <w:spacing w:after="120"/>
        <w:ind w:left="540" w:hanging="540"/>
        <w:jc w:val="both"/>
        <w:rPr>
          <w:rFonts w:ascii="Sylfaen" w:hAnsi="Sylfaen" w:cs="Arial"/>
        </w:rPr>
      </w:pPr>
      <w:r>
        <w:rPr>
          <w:rFonts w:ascii="Sylfaen" w:hAnsi="Sylfaen" w:cs="Arial"/>
        </w:rPr>
        <w:t>On (a) the judge made no express finding, though there may have been no real issue about it</w:t>
      </w:r>
      <w:r w:rsidR="00DD1685">
        <w:rPr>
          <w:rFonts w:ascii="Sylfaen" w:hAnsi="Sylfaen" w:cs="Arial"/>
        </w:rPr>
        <w:t>, even then, and certainly there seems to be none now</w:t>
      </w:r>
      <w:r>
        <w:rPr>
          <w:rFonts w:ascii="Sylfaen" w:hAnsi="Sylfaen" w:cs="Arial"/>
        </w:rPr>
        <w:t xml:space="preserve">. She accepted the appellant’s case on (b); but her decision was really about (c). </w:t>
      </w:r>
      <w:r w:rsidR="005D6D3F">
        <w:rPr>
          <w:rFonts w:ascii="Sylfaen" w:hAnsi="Sylfaen" w:cs="Arial"/>
        </w:rPr>
        <w:t xml:space="preserve">EX.1 would not have to be satisfied on an </w:t>
      </w:r>
      <w:r w:rsidR="005D6D3F" w:rsidRPr="005D6D3F">
        <w:rPr>
          <w:rFonts w:ascii="Sylfaen" w:hAnsi="Sylfaen" w:cs="Arial"/>
        </w:rPr>
        <w:t>entry clear</w:t>
      </w:r>
      <w:r w:rsidR="005D6D3F">
        <w:rPr>
          <w:rFonts w:ascii="Sylfaen" w:hAnsi="Sylfaen" w:cs="Arial"/>
        </w:rPr>
        <w:t>ance application; but the same financial requirements would apply as those referred to in the decision letter. The decision-maker had not been satisfied that the sponsor could show the necessary gross annual income of at least £18,600 by the prescribed methods. No further details were given on this point; but the judge had said this (at 18):</w:t>
      </w:r>
    </w:p>
    <w:p w:rsidR="005D6D3F" w:rsidRPr="005D6D3F" w:rsidRDefault="005D6D3F" w:rsidP="005D6D3F">
      <w:pPr>
        <w:spacing w:after="120"/>
        <w:ind w:left="851"/>
        <w:jc w:val="both"/>
        <w:rPr>
          <w:rFonts w:ascii="Sylfaen" w:hAnsi="Sylfaen" w:cs="Arial"/>
          <w:sz w:val="22"/>
          <w:szCs w:val="22"/>
        </w:rPr>
      </w:pPr>
      <w:r>
        <w:rPr>
          <w:rFonts w:ascii="Sylfaen" w:hAnsi="Sylfaen" w:cs="Arial"/>
          <w:sz w:val="22"/>
          <w:szCs w:val="22"/>
        </w:rPr>
        <w:t xml:space="preserve">Given that the sponsor’s income is derived from employment and self-employment it has not been shown that the financial requirements have been met in form or substance. Although special weight should not be afforded to </w:t>
      </w:r>
      <w:r w:rsidR="00F4156A">
        <w:rPr>
          <w:rFonts w:ascii="Sylfaen" w:hAnsi="Sylfaen" w:cs="Arial"/>
          <w:sz w:val="22"/>
          <w:szCs w:val="22"/>
        </w:rPr>
        <w:t>[</w:t>
      </w:r>
      <w:r w:rsidR="00F4156A">
        <w:rPr>
          <w:rFonts w:ascii="Sylfaen" w:hAnsi="Sylfaen" w:cs="Arial"/>
          <w:i/>
          <w:sz w:val="22"/>
          <w:szCs w:val="22"/>
        </w:rPr>
        <w:t>the Rules on this point</w:t>
      </w:r>
      <w:r w:rsidR="00F4156A">
        <w:rPr>
          <w:rFonts w:ascii="Sylfaen" w:hAnsi="Sylfaen" w:cs="Arial"/>
          <w:sz w:val="22"/>
          <w:szCs w:val="22"/>
        </w:rPr>
        <w:t xml:space="preserve">] - </w:t>
      </w:r>
      <w:hyperlink r:id="rId9" w:history="1">
        <w:r w:rsidR="00F4156A" w:rsidRPr="00F4156A">
          <w:rPr>
            <w:rStyle w:val="Hyperlink"/>
            <w:rFonts w:ascii="Sylfaen" w:hAnsi="Sylfaen" w:cs="Arial"/>
            <w:i/>
            <w:color w:val="000000"/>
            <w:sz w:val="22"/>
            <w:szCs w:val="22"/>
            <w:u w:val="none"/>
          </w:rPr>
          <w:t xml:space="preserve">MM (Lebanon) &amp; others </w:t>
        </w:r>
      </w:hyperlink>
      <w:hyperlink r:id="rId10" w:tooltip="Link to BAILII version" w:history="1">
        <w:r w:rsidR="00F4156A" w:rsidRPr="00F4156A">
          <w:rPr>
            <w:rStyle w:val="Hyperlink"/>
            <w:rFonts w:ascii="Sylfaen" w:hAnsi="Sylfaen" w:cs="Arial"/>
            <w:color w:val="000000"/>
            <w:sz w:val="22"/>
            <w:szCs w:val="22"/>
            <w:u w:val="none"/>
          </w:rPr>
          <w:t>[2017] UKSC 10</w:t>
        </w:r>
      </w:hyperlink>
      <w:r w:rsidR="00F4156A">
        <w:rPr>
          <w:rFonts w:ascii="Sylfaen" w:hAnsi="Sylfaen" w:cs="Arial"/>
          <w:color w:val="000000"/>
          <w:sz w:val="22"/>
          <w:szCs w:val="22"/>
        </w:rPr>
        <w:t xml:space="preserve"> – there must still be cogent evidence on balance that the couple will be able to support themselves by reference to the minimum threshold. I find there was not.</w:t>
      </w:r>
      <w:r w:rsidR="00F4156A">
        <w:rPr>
          <w:rFonts w:ascii="Sylfaen" w:hAnsi="Sylfaen" w:cs="Arial"/>
          <w:sz w:val="22"/>
          <w:szCs w:val="22"/>
        </w:rPr>
        <w:t xml:space="preserve"> </w:t>
      </w:r>
    </w:p>
    <w:p w:rsidR="005D6D3F" w:rsidRDefault="00DD1685"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The appellant’s case here is that the sponsor could meet the minimum threshold. While at 14 the judge took the view that her evidence about her business here was not entirely candid, she made this finding in dealing with the sponsor’s contention that she would not be able to carry on her self-employment to the same level in Turkey (and so would face at least serious obstacles to family life there). The judge apparently rejected this on the basis that the sponsor’s employed earnings had in fact been more </w:t>
      </w:r>
      <w:r w:rsidRPr="00DD1685">
        <w:rPr>
          <w:rFonts w:ascii="Sylfaen" w:hAnsi="Sylfaen" w:cs="Arial"/>
        </w:rPr>
        <w:t>significant</w:t>
      </w:r>
      <w:r>
        <w:rPr>
          <w:rFonts w:ascii="Sylfaen" w:hAnsi="Sylfaen" w:cs="Arial"/>
        </w:rPr>
        <w:t xml:space="preserve">: she noted, without expressing any doubt on this (and by implication the reverse), that in the last available tax year (2016 – 17) the sponsor had employed earnings of over £16,000, and £5,000 self-employed. </w:t>
      </w:r>
    </w:p>
    <w:p w:rsidR="00DD1685" w:rsidRPr="005A2412" w:rsidRDefault="008E2B2D" w:rsidP="00BD3A9C">
      <w:pPr>
        <w:numPr>
          <w:ilvl w:val="0"/>
          <w:numId w:val="1"/>
        </w:numPr>
        <w:tabs>
          <w:tab w:val="clear" w:pos="757"/>
        </w:tabs>
        <w:spacing w:after="120"/>
        <w:ind w:left="540" w:hanging="540"/>
        <w:jc w:val="both"/>
        <w:rPr>
          <w:rFonts w:ascii="Sylfaen" w:hAnsi="Sylfaen" w:cs="Arial"/>
        </w:rPr>
      </w:pPr>
      <w:r>
        <w:rPr>
          <w:rFonts w:ascii="Sylfaen" w:hAnsi="Sylfaen" w:cs="Arial"/>
        </w:rPr>
        <w:t>That would be</w:t>
      </w:r>
      <w:r w:rsidR="00DD1685">
        <w:rPr>
          <w:rFonts w:ascii="Sylfaen" w:hAnsi="Sylfaen" w:cs="Arial"/>
        </w:rPr>
        <w:t xml:space="preserve"> more than enough to satisfy the minimum income requirements of the Rules</w:t>
      </w:r>
      <w:r>
        <w:rPr>
          <w:rFonts w:ascii="Sylfaen" w:hAnsi="Sylfaen" w:cs="Arial"/>
        </w:rPr>
        <w:t xml:space="preserve">. The judge, and </w:t>
      </w:r>
      <w:r w:rsidRPr="008E2B2D">
        <w:rPr>
          <w:rStyle w:val="Hyperlink"/>
          <w:rFonts w:ascii="Sylfaen" w:hAnsi="Sylfaen" w:cs="Arial"/>
          <w:color w:val="000000"/>
          <w:u w:val="none"/>
        </w:rPr>
        <w:t>Mr Jarvis</w:t>
      </w:r>
      <w:r>
        <w:rPr>
          <w:rStyle w:val="Hyperlink"/>
          <w:rFonts w:ascii="Sylfaen" w:hAnsi="Sylfaen" w:cs="Arial"/>
          <w:color w:val="000000"/>
          <w:u w:val="none"/>
        </w:rPr>
        <w:t>, correctly referred to the other leading authority on this point,</w:t>
      </w:r>
      <w:r>
        <w:rPr>
          <w:rFonts w:ascii="Sylfaen" w:hAnsi="Sylfaen" w:cs="Arial"/>
        </w:rPr>
        <w:t xml:space="preserve"> </w:t>
      </w:r>
      <w:hyperlink r:id="rId11" w:history="1">
        <w:proofErr w:type="spellStart"/>
        <w:r w:rsidRPr="008E2B2D">
          <w:rPr>
            <w:rStyle w:val="Hyperlink"/>
            <w:rFonts w:ascii="Sylfaen" w:hAnsi="Sylfaen" w:cs="Arial"/>
            <w:i/>
            <w:color w:val="000000"/>
            <w:u w:val="none"/>
          </w:rPr>
          <w:t>Agyarko</w:t>
        </w:r>
        <w:proofErr w:type="spellEnd"/>
        <w:r w:rsidRPr="008E2B2D">
          <w:rPr>
            <w:rStyle w:val="Hyperlink"/>
            <w:rFonts w:ascii="Sylfaen" w:hAnsi="Sylfaen" w:cs="Arial"/>
            <w:i/>
            <w:color w:val="000000"/>
            <w:u w:val="none"/>
          </w:rPr>
          <w:t xml:space="preserve"> and </w:t>
        </w:r>
        <w:proofErr w:type="spellStart"/>
        <w:r w:rsidRPr="008E2B2D">
          <w:rPr>
            <w:rStyle w:val="Hyperlink"/>
            <w:rFonts w:ascii="Sylfaen" w:hAnsi="Sylfaen" w:cs="Arial"/>
            <w:i/>
            <w:color w:val="000000"/>
            <w:u w:val="none"/>
          </w:rPr>
          <w:t>Ikuga</w:t>
        </w:r>
        <w:proofErr w:type="spellEnd"/>
        <w:r w:rsidRPr="008E2B2D">
          <w:rPr>
            <w:rStyle w:val="Hyperlink"/>
            <w:rFonts w:ascii="Sylfaen" w:hAnsi="Sylfaen" w:cs="Arial"/>
            <w:color w:val="000000"/>
            <w:u w:val="none"/>
          </w:rPr>
          <w:t xml:space="preserve"> [2017] UKSC 11</w:t>
        </w:r>
      </w:hyperlink>
      <w:r>
        <w:rPr>
          <w:rFonts w:ascii="Sylfaen" w:hAnsi="Sylfaen" w:cs="Arial"/>
          <w:color w:val="000000"/>
        </w:rPr>
        <w:t xml:space="preserve">: the relevant passage is this </w:t>
      </w:r>
      <w:r w:rsidR="005A2412">
        <w:rPr>
          <w:rFonts w:ascii="Sylfaen" w:hAnsi="Sylfaen" w:cs="Arial"/>
          <w:color w:val="000000"/>
        </w:rPr>
        <w:t>(at 51 in the judgment of the Court, drawing a distinction between this type of case and ones involving deportation</w:t>
      </w:r>
    </w:p>
    <w:p w:rsidR="005A2412" w:rsidRPr="005A2412" w:rsidRDefault="005A2412" w:rsidP="005A2412">
      <w:pPr>
        <w:spacing w:after="120"/>
        <w:ind w:left="851"/>
        <w:jc w:val="both"/>
        <w:rPr>
          <w:rFonts w:ascii="Sylfaen" w:hAnsi="Sylfaen" w:cs="Arial"/>
          <w:sz w:val="22"/>
          <w:szCs w:val="22"/>
        </w:rPr>
      </w:pPr>
      <w:r w:rsidRPr="005A2412">
        <w:rPr>
          <w:rFonts w:ascii="Sylfaen" w:hAnsi="Sylfaen" w:cs="Arial"/>
          <w:sz w:val="22"/>
          <w:szCs w:val="22"/>
        </w:rPr>
        <w:t>If, on the other hand, an applicant - even if residing in the UK unlawfully - was otherwise certain to be granted leave to enter, at least if an application were made from outside the UK, then there might be no public interest in his or her removal.</w:t>
      </w:r>
    </w:p>
    <w:p w:rsidR="00772B18" w:rsidRDefault="005A2412" w:rsidP="00BD3A9C">
      <w:pPr>
        <w:numPr>
          <w:ilvl w:val="0"/>
          <w:numId w:val="1"/>
        </w:numPr>
        <w:tabs>
          <w:tab w:val="clear" w:pos="757"/>
        </w:tabs>
        <w:spacing w:after="120"/>
        <w:ind w:left="540" w:hanging="540"/>
        <w:jc w:val="both"/>
        <w:rPr>
          <w:rStyle w:val="Hyperlink"/>
          <w:rFonts w:ascii="Sylfaen" w:hAnsi="Sylfaen" w:cs="Arial"/>
          <w:color w:val="000000"/>
          <w:u w:val="none"/>
        </w:rPr>
      </w:pPr>
      <w:r>
        <w:rPr>
          <w:rFonts w:ascii="Sylfaen" w:hAnsi="Sylfaen" w:cs="Arial"/>
        </w:rPr>
        <w:t xml:space="preserve">Miss </w:t>
      </w:r>
      <w:proofErr w:type="spellStart"/>
      <w:r>
        <w:rPr>
          <w:rFonts w:ascii="Sylfaen" w:hAnsi="Sylfaen" w:cs="Arial"/>
        </w:rPr>
        <w:t>Revill</w:t>
      </w:r>
      <w:proofErr w:type="spellEnd"/>
      <w:r>
        <w:rPr>
          <w:rFonts w:ascii="Sylfaen" w:hAnsi="Sylfaen" w:cs="Arial"/>
        </w:rPr>
        <w:t xml:space="preserve"> incorrectly stated the test (in her unusually lucid and concise – for this field – written grounds) as being (see paragraph 9) whether an application for </w:t>
      </w:r>
      <w:r w:rsidRPr="005A2412">
        <w:rPr>
          <w:rFonts w:ascii="Sylfaen" w:hAnsi="Sylfaen" w:cs="Arial"/>
        </w:rPr>
        <w:t>entry clear</w:t>
      </w:r>
      <w:r>
        <w:rPr>
          <w:rFonts w:ascii="Sylfaen" w:hAnsi="Sylfaen" w:cs="Arial"/>
        </w:rPr>
        <w:t xml:space="preserve">ance was </w:t>
      </w:r>
      <w:r>
        <w:rPr>
          <w:rFonts w:ascii="Sylfaen" w:hAnsi="Sylfaen" w:cs="Arial"/>
          <w:i/>
        </w:rPr>
        <w:t xml:space="preserve">likely </w:t>
      </w:r>
      <w:r>
        <w:rPr>
          <w:rFonts w:ascii="Sylfaen" w:hAnsi="Sylfaen" w:cs="Arial"/>
        </w:rPr>
        <w:t xml:space="preserve">to succeed. However, </w:t>
      </w:r>
      <w:r w:rsidRPr="005A2412">
        <w:rPr>
          <w:rStyle w:val="Hyperlink"/>
          <w:rFonts w:ascii="Sylfaen" w:hAnsi="Sylfaen" w:cs="Arial"/>
          <w:color w:val="000000"/>
          <w:u w:val="none"/>
        </w:rPr>
        <w:t>Mr Jarvis</w:t>
      </w:r>
      <w:r>
        <w:rPr>
          <w:rStyle w:val="Hyperlink"/>
          <w:rFonts w:ascii="Sylfaen" w:hAnsi="Sylfaen" w:cs="Arial"/>
          <w:color w:val="000000"/>
          <w:u w:val="none"/>
        </w:rPr>
        <w:t xml:space="preserve"> did not go further than pointing out this error, and arguing, correctly, that the income requirements had to be met as a matter of certainty. </w:t>
      </w:r>
    </w:p>
    <w:p w:rsidR="005A2412" w:rsidRPr="005D6D3F" w:rsidRDefault="00772B18" w:rsidP="00BD3A9C">
      <w:pPr>
        <w:numPr>
          <w:ilvl w:val="0"/>
          <w:numId w:val="1"/>
        </w:numPr>
        <w:tabs>
          <w:tab w:val="clear" w:pos="757"/>
        </w:tabs>
        <w:spacing w:after="120"/>
        <w:ind w:left="540" w:hanging="540"/>
        <w:jc w:val="both"/>
        <w:rPr>
          <w:rFonts w:ascii="Sylfaen" w:hAnsi="Sylfaen" w:cs="Arial"/>
        </w:rPr>
      </w:pPr>
      <w:r>
        <w:rPr>
          <w:rStyle w:val="Hyperlink"/>
          <w:rFonts w:ascii="Sylfaen" w:hAnsi="Sylfaen" w:cs="Arial"/>
          <w:color w:val="000000"/>
          <w:u w:val="none"/>
        </w:rPr>
        <w:br w:type="page"/>
      </w:r>
      <w:r w:rsidR="005A2412">
        <w:rPr>
          <w:rStyle w:val="Hyperlink"/>
          <w:rFonts w:ascii="Sylfaen" w:hAnsi="Sylfaen" w:cs="Arial"/>
          <w:color w:val="000000"/>
          <w:u w:val="none"/>
        </w:rPr>
        <w:lastRenderedPageBreak/>
        <w:t xml:space="preserve">Since that is the only remaining basis on which </w:t>
      </w:r>
      <w:r w:rsidR="005A2412" w:rsidRPr="005A2412">
        <w:rPr>
          <w:rStyle w:val="Hyperlink"/>
          <w:rFonts w:ascii="Sylfaen" w:hAnsi="Sylfaen" w:cs="Arial"/>
          <w:color w:val="000000"/>
          <w:u w:val="none"/>
        </w:rPr>
        <w:t>entry clear</w:t>
      </w:r>
      <w:r w:rsidR="005A2412">
        <w:rPr>
          <w:rStyle w:val="Hyperlink"/>
          <w:rFonts w:ascii="Sylfaen" w:hAnsi="Sylfaen" w:cs="Arial"/>
          <w:color w:val="000000"/>
          <w:u w:val="none"/>
        </w:rPr>
        <w:t xml:space="preserve">ance might be refused, and since the judge effectively accepted the sponsor’s tax figures, on which her decision was not challenged by </w:t>
      </w:r>
      <w:r w:rsidR="005A2412" w:rsidRPr="005A2412">
        <w:rPr>
          <w:rStyle w:val="Hyperlink"/>
          <w:rFonts w:ascii="Sylfaen" w:hAnsi="Sylfaen" w:cs="Arial"/>
          <w:color w:val="000000"/>
          <w:u w:val="none"/>
        </w:rPr>
        <w:t>Mr Jarvis</w:t>
      </w:r>
      <w:r w:rsidR="00A94307">
        <w:rPr>
          <w:rStyle w:val="Hyperlink"/>
          <w:rFonts w:ascii="Sylfaen" w:hAnsi="Sylfaen" w:cs="Arial"/>
          <w:color w:val="000000"/>
          <w:u w:val="none"/>
        </w:rPr>
        <w:t xml:space="preserve">, I do not see how it can be said that in this case leave to enter would </w:t>
      </w:r>
      <w:r w:rsidR="00A94307">
        <w:rPr>
          <w:rStyle w:val="Hyperlink"/>
          <w:rFonts w:ascii="Sylfaen" w:hAnsi="Sylfaen" w:cs="Arial"/>
          <w:i/>
          <w:color w:val="000000"/>
          <w:u w:val="none"/>
        </w:rPr>
        <w:t xml:space="preserve">not </w:t>
      </w:r>
      <w:r w:rsidR="00A94307">
        <w:rPr>
          <w:rStyle w:val="Hyperlink"/>
          <w:rFonts w:ascii="Sylfaen" w:hAnsi="Sylfaen" w:cs="Arial"/>
          <w:color w:val="000000"/>
          <w:u w:val="none"/>
        </w:rPr>
        <w:t>be certain to be granted. The result is that the appeal is allowed on this ground.</w:t>
      </w:r>
    </w:p>
    <w:p w:rsidR="009F5220" w:rsidRPr="008F23F4" w:rsidRDefault="008F23F4" w:rsidP="00A94307">
      <w:pPr>
        <w:jc w:val="both"/>
        <w:rPr>
          <w:rFonts w:ascii="Sylfaen" w:hAnsi="Sylfaen" w:cs="Arial"/>
          <w:b/>
        </w:rPr>
      </w:pPr>
      <w:r>
        <w:rPr>
          <w:rFonts w:ascii="Sylfaen" w:hAnsi="Sylfaen" w:cs="Arial"/>
          <w:b/>
        </w:rPr>
        <w:t xml:space="preserve">Appeal </w:t>
      </w:r>
      <w:r w:rsidR="00A94307">
        <w:rPr>
          <w:rFonts w:ascii="Sylfaen" w:hAnsi="Sylfaen" w:cs="Arial"/>
          <w:b/>
        </w:rPr>
        <w:fldChar w:fldCharType="begin">
          <w:ffData>
            <w:name w:val="Dropdown3"/>
            <w:enabled/>
            <w:calcOnExit w:val="0"/>
            <w:ddList>
              <w:listEntry w:val="allowed"/>
              <w:listEntry w:val="dismissed"/>
            </w:ddList>
          </w:ffData>
        </w:fldChar>
      </w:r>
      <w:bookmarkStart w:id="5" w:name="Dropdown3"/>
      <w:r w:rsidR="00A94307">
        <w:rPr>
          <w:rFonts w:ascii="Sylfaen" w:hAnsi="Sylfaen" w:cs="Arial"/>
          <w:b/>
        </w:rPr>
        <w:instrText xml:space="preserve"> FORMDROPDOWN </w:instrText>
      </w:r>
      <w:r w:rsidR="008E29E6">
        <w:rPr>
          <w:rFonts w:ascii="Sylfaen" w:hAnsi="Sylfaen" w:cs="Arial"/>
          <w:b/>
        </w:rPr>
      </w:r>
      <w:r w:rsidR="008E29E6">
        <w:rPr>
          <w:rFonts w:ascii="Sylfaen" w:hAnsi="Sylfaen" w:cs="Arial"/>
          <w:b/>
        </w:rPr>
        <w:fldChar w:fldCharType="separate"/>
      </w:r>
      <w:r w:rsidR="00A94307">
        <w:rPr>
          <w:rFonts w:ascii="Sylfaen" w:hAnsi="Sylfaen" w:cs="Arial"/>
          <w:b/>
        </w:rPr>
        <w:fldChar w:fldCharType="end"/>
      </w:r>
      <w:bookmarkEnd w:id="5"/>
    </w:p>
    <w:p w:rsidR="00772B18" w:rsidRDefault="00A544A8" w:rsidP="00F07170">
      <w:pPr>
        <w:ind w:left="4508" w:hanging="539"/>
        <w:rPr>
          <w:rFonts w:ascii="Sylfaen" w:hAnsi="Sylfaen" w:cs="Arial"/>
          <w:color w:val="000000"/>
        </w:rPr>
      </w:pPr>
      <w:r>
        <w:rPr>
          <w:rFonts w:ascii="Sylfaen" w:hAnsi="Sylfaen" w:cs="Arial"/>
        </w:rPr>
        <w:t xml:space="preserve"> </w:t>
      </w:r>
      <w:r w:rsidR="00431F6D">
        <w:rPr>
          <w:rFonts w:ascii="Sylfaen" w:hAnsi="Sylfaen" w:cs="Arial"/>
          <w:noProof/>
        </w:rPr>
        <w:drawing>
          <wp:inline distT="0" distB="0" distL="0" distR="0">
            <wp:extent cx="2152650" cy="10477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2650" cy="1047750"/>
                    </a:xfrm>
                    <a:prstGeom prst="rect">
                      <a:avLst/>
                    </a:prstGeom>
                    <a:noFill/>
                  </pic:spPr>
                </pic:pic>
              </a:graphicData>
            </a:graphic>
          </wp:inline>
        </w:drawing>
      </w:r>
      <w:r w:rsidR="00772B18" w:rsidRPr="00A544A8">
        <w:rPr>
          <w:rFonts w:ascii="Sylfaen" w:hAnsi="Sylfaen" w:cs="Arial"/>
          <w:color w:val="000000"/>
        </w:rPr>
        <w:t xml:space="preserve"> </w:t>
      </w:r>
    </w:p>
    <w:p w:rsidR="003F628C" w:rsidRDefault="003F628C" w:rsidP="00F07170">
      <w:pPr>
        <w:ind w:left="4508" w:hanging="539"/>
        <w:rPr>
          <w:rFonts w:ascii="Sylfaen" w:hAnsi="Sylfaen" w:cs="Arial"/>
          <w:color w:val="000000"/>
        </w:rPr>
      </w:pPr>
      <w:r w:rsidRPr="003F628C">
        <w:rPr>
          <w:rFonts w:ascii="Sylfaen" w:hAnsi="Sylfaen" w:cs="Arial"/>
          <w:color w:val="000000"/>
        </w:rPr>
        <w:t xml:space="preserve">(a judge of the Upper </w:t>
      </w:r>
      <w:r w:rsidR="00772B18">
        <w:rPr>
          <w:rFonts w:ascii="Sylfaen" w:hAnsi="Sylfaen" w:cs="Arial"/>
          <w:color w:val="000000"/>
        </w:rPr>
        <w:t>Tribunal)</w:t>
      </w:r>
    </w:p>
    <w:p w:rsidR="003F628C" w:rsidRDefault="003F628C" w:rsidP="003F628C">
      <w:pPr>
        <w:rPr>
          <w:rFonts w:ascii="Sylfaen" w:hAnsi="Sylfaen" w:cs="Arial"/>
        </w:rPr>
      </w:pPr>
    </w:p>
    <w:p w:rsidR="00B95326" w:rsidRDefault="003F628C" w:rsidP="003F628C">
      <w:pPr>
        <w:tabs>
          <w:tab w:val="left" w:pos="6410"/>
        </w:tabs>
        <w:rPr>
          <w:rFonts w:ascii="Sylfaen" w:hAnsi="Sylfaen" w:cs="Arial"/>
        </w:rPr>
      </w:pPr>
      <w:r>
        <w:rPr>
          <w:rFonts w:ascii="Sylfaen" w:hAnsi="Sylfaen" w:cs="Arial"/>
        </w:rPr>
        <w:tab/>
      </w:r>
    </w:p>
    <w:p w:rsidR="003F628C" w:rsidRPr="003F628C" w:rsidRDefault="003F628C" w:rsidP="003F628C">
      <w:pPr>
        <w:tabs>
          <w:tab w:val="left" w:pos="6410"/>
        </w:tabs>
        <w:rPr>
          <w:rFonts w:ascii="Sylfaen" w:hAnsi="Sylfaen" w:cs="Arial"/>
        </w:rPr>
      </w:pPr>
      <w:r>
        <w:rPr>
          <w:rFonts w:ascii="Sylfaen" w:hAnsi="Sylfaen" w:cs="Arial"/>
        </w:rPr>
        <w:t xml:space="preserve">Dated </w:t>
      </w:r>
      <w:r w:rsidRPr="003F628C">
        <w:rPr>
          <w:rFonts w:ascii="Sylfaen" w:hAnsi="Sylfaen" w:cs="Arial"/>
        </w:rPr>
        <w:t>26 May 2018</w:t>
      </w:r>
    </w:p>
    <w:sectPr w:rsidR="003F628C" w:rsidRPr="003F628C" w:rsidSect="00776E97">
      <w:headerReference w:type="default" r:id="rId13"/>
      <w:footerReference w:type="default" r:id="rId14"/>
      <w:footerReference w:type="first" r:id="rId15"/>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7D93" w:rsidRDefault="00BE7D93">
      <w:r>
        <w:separator/>
      </w:r>
    </w:p>
  </w:endnote>
  <w:endnote w:type="continuationSeparator" w:id="0">
    <w:p w:rsidR="00BE7D93" w:rsidRDefault="00BE7D93">
      <w:r>
        <w:continuationSeparator/>
      </w:r>
    </w:p>
  </w:endnote>
  <w:endnote w:type="continuationNotice" w:id="1">
    <w:p w:rsidR="00BE7D93" w:rsidRDefault="00BE7D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3FCA" w:rsidRPr="004C5D88" w:rsidRDefault="00AE3FCA" w:rsidP="00593795">
    <w:pPr>
      <w:pStyle w:val="Footer"/>
      <w:jc w:val="center"/>
      <w:rPr>
        <w:rFonts w:ascii="Sylfaen" w:hAnsi="Sylfaen" w:cs="Arial"/>
        <w:sz w:val="20"/>
        <w:szCs w:val="22"/>
      </w:rPr>
    </w:pPr>
    <w:r w:rsidRPr="004C5D88">
      <w:rPr>
        <w:rStyle w:val="PageNumber"/>
        <w:rFonts w:ascii="Sylfaen" w:hAnsi="Sylfaen" w:cs="Arial"/>
        <w:sz w:val="20"/>
        <w:szCs w:val="22"/>
      </w:rPr>
      <w:fldChar w:fldCharType="begin"/>
    </w:r>
    <w:r w:rsidRPr="004C5D88">
      <w:rPr>
        <w:rStyle w:val="PageNumber"/>
        <w:rFonts w:ascii="Sylfaen" w:hAnsi="Sylfaen" w:cs="Arial"/>
        <w:sz w:val="20"/>
        <w:szCs w:val="22"/>
      </w:rPr>
      <w:instrText xml:space="preserve"> PAGE </w:instrText>
    </w:r>
    <w:r w:rsidRPr="004C5D88">
      <w:rPr>
        <w:rStyle w:val="PageNumber"/>
        <w:rFonts w:ascii="Sylfaen" w:hAnsi="Sylfaen" w:cs="Arial"/>
        <w:sz w:val="20"/>
        <w:szCs w:val="22"/>
      </w:rPr>
      <w:fldChar w:fldCharType="separate"/>
    </w:r>
    <w:r w:rsidR="008E29E6">
      <w:rPr>
        <w:rStyle w:val="PageNumber"/>
        <w:rFonts w:ascii="Sylfaen" w:hAnsi="Sylfaen" w:cs="Arial"/>
        <w:noProof/>
        <w:sz w:val="20"/>
        <w:szCs w:val="22"/>
      </w:rPr>
      <w:t>4</w:t>
    </w:r>
    <w:r w:rsidRPr="004C5D88">
      <w:rPr>
        <w:rStyle w:val="PageNumber"/>
        <w:rFonts w:ascii="Sylfaen" w:hAnsi="Sylfaen" w:cs="Arial"/>
        <w:sz w:val="20"/>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3FCA" w:rsidRPr="00686C0C" w:rsidRDefault="00AE3FCA" w:rsidP="00FF5012">
    <w:pPr>
      <w:ind w:left="720" w:hanging="720"/>
      <w:jc w:val="both"/>
      <w:rPr>
        <w:rFonts w:ascii="Sylfaen" w:hAnsi="Sylfaen" w:cs="Arial"/>
        <w:i/>
        <w:spacing w:val="-6"/>
        <w:sz w:val="22"/>
        <w:szCs w:val="22"/>
      </w:rPr>
    </w:pPr>
    <w:r w:rsidRPr="00686C0C">
      <w:rPr>
        <w:rFonts w:ascii="Sylfaen" w:hAnsi="Sylfaen" w:cs="Arial"/>
        <w:i/>
        <w:spacing w:val="-6"/>
        <w:sz w:val="22"/>
        <w:szCs w:val="22"/>
        <w:u w:val="single"/>
      </w:rPr>
      <w:t>NOTE</w:t>
    </w:r>
    <w:r w:rsidRPr="00686C0C">
      <w:rPr>
        <w:rFonts w:ascii="Sylfaen" w:hAnsi="Sylfaen" w:cs="Arial"/>
        <w:i/>
        <w:spacing w:val="-6"/>
        <w:sz w:val="22"/>
        <w:szCs w:val="22"/>
      </w:rPr>
      <w:t xml:space="preserve">: </w:t>
    </w:r>
    <w:r>
      <w:rPr>
        <w:rFonts w:ascii="Sylfaen" w:hAnsi="Sylfaen" w:cs="Arial"/>
        <w:i/>
        <w:spacing w:val="-6"/>
        <w:sz w:val="22"/>
        <w:szCs w:val="22"/>
      </w:rPr>
      <w:tab/>
      <w:t>(1)</w:t>
    </w:r>
    <w:r>
      <w:rPr>
        <w:rFonts w:ascii="Sylfaen" w:hAnsi="Sylfaen" w:cs="Arial"/>
        <w:i/>
        <w:spacing w:val="-6"/>
        <w:sz w:val="22"/>
        <w:szCs w:val="22"/>
      </w:rPr>
      <w:tab/>
    </w:r>
    <w:r w:rsidRPr="00686C0C">
      <w:rPr>
        <w:rFonts w:ascii="Sylfaen" w:hAnsi="Sylfaen" w:cs="Arial"/>
        <w:i/>
        <w:spacing w:val="-6"/>
        <w:sz w:val="22"/>
        <w:szCs w:val="22"/>
      </w:rPr>
      <w:t xml:space="preserve">no anonymity direction made at first instance </w:t>
    </w:r>
    <w:r>
      <w:rPr>
        <w:rFonts w:ascii="Sylfaen" w:hAnsi="Sylfaen" w:cs="Arial"/>
        <w:i/>
        <w:spacing w:val="-6"/>
        <w:sz w:val="22"/>
        <w:szCs w:val="22"/>
      </w:rPr>
      <w:t xml:space="preserve">will continue, unless extended </w:t>
    </w:r>
    <w:r w:rsidRPr="00686C0C">
      <w:rPr>
        <w:rFonts w:ascii="Sylfaen" w:hAnsi="Sylfaen" w:cs="Arial"/>
        <w:i/>
        <w:spacing w:val="-6"/>
        <w:sz w:val="22"/>
        <w:szCs w:val="22"/>
      </w:rPr>
      <w:t>by me.</w:t>
    </w:r>
  </w:p>
  <w:p w:rsidR="00AE3FCA" w:rsidRPr="00686C0C" w:rsidRDefault="00AE3FCA" w:rsidP="00FF5012">
    <w:pPr>
      <w:ind w:left="720" w:hanging="720"/>
      <w:jc w:val="both"/>
      <w:rPr>
        <w:rFonts w:ascii="Sylfaen" w:hAnsi="Sylfaen" w:cs="Arial"/>
        <w:i/>
        <w:spacing w:val="-6"/>
        <w:sz w:val="22"/>
        <w:szCs w:val="22"/>
      </w:rPr>
    </w:pPr>
    <w:r>
      <w:rPr>
        <w:rFonts w:ascii="Sylfaen" w:hAnsi="Sylfaen" w:cs="Arial"/>
        <w:i/>
        <w:spacing w:val="-6"/>
        <w:sz w:val="22"/>
        <w:szCs w:val="22"/>
      </w:rPr>
      <w:tab/>
      <w:t>(2)</w:t>
    </w:r>
    <w:r>
      <w:rPr>
        <w:rFonts w:ascii="Sylfaen" w:hAnsi="Sylfaen" w:cs="Arial"/>
        <w:i/>
        <w:spacing w:val="-6"/>
        <w:sz w:val="22"/>
        <w:szCs w:val="22"/>
      </w:rPr>
      <w:tab/>
      <w:t>persons under 18 are referred to by initials, and must not be further identified.</w:t>
    </w:r>
  </w:p>
  <w:p w:rsidR="004C5D88" w:rsidRDefault="004C5D88" w:rsidP="00090CF9">
    <w:pPr>
      <w:jc w:val="center"/>
      <w:rPr>
        <w:rFonts w:ascii="Sylfaen" w:hAnsi="Sylfaen" w:cs="Arial"/>
        <w:i/>
        <w:spacing w:val="-6"/>
        <w:sz w:val="22"/>
        <w:szCs w:val="22"/>
      </w:rPr>
    </w:pPr>
  </w:p>
  <w:p w:rsidR="00AE3FCA" w:rsidRPr="004C5D88" w:rsidRDefault="00AE3FCA" w:rsidP="00090CF9">
    <w:pPr>
      <w:jc w:val="center"/>
      <w:rPr>
        <w:rFonts w:ascii="Sylfaen" w:hAnsi="Sylfaen" w:cs="Arial"/>
        <w:b/>
        <w:szCs w:val="22"/>
      </w:rPr>
    </w:pPr>
    <w:r w:rsidRPr="004C5D88">
      <w:rPr>
        <w:rFonts w:ascii="Sylfaen" w:hAnsi="Sylfaen" w:cs="Arial"/>
        <w:b/>
        <w:spacing w:val="-6"/>
        <w:szCs w:val="22"/>
      </w:rPr>
      <w:t>©</w:t>
    </w:r>
    <w:r w:rsidRPr="004C5D88">
      <w:rPr>
        <w:rFonts w:ascii="Sylfaen" w:hAnsi="Sylfaen" w:cs="Arial"/>
        <w:b/>
        <w:szCs w:val="22"/>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7D93" w:rsidRDefault="00BE7D93">
      <w:r>
        <w:separator/>
      </w:r>
    </w:p>
  </w:footnote>
  <w:footnote w:type="continuationSeparator" w:id="0">
    <w:p w:rsidR="00BE7D93" w:rsidRDefault="00BE7D93">
      <w:r>
        <w:continuationSeparator/>
      </w:r>
    </w:p>
  </w:footnote>
  <w:footnote w:type="continuationNotice" w:id="1">
    <w:p w:rsidR="00BE7D93" w:rsidRDefault="00BE7D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3FCA" w:rsidRPr="00BE6B1E" w:rsidRDefault="003F628C" w:rsidP="00BE6B1E">
    <w:pPr>
      <w:pStyle w:val="Header"/>
      <w:jc w:val="right"/>
      <w:rPr>
        <w:sz w:val="20"/>
        <w:szCs w:val="20"/>
      </w:rPr>
    </w:pPr>
    <w:r>
      <w:rPr>
        <w:sz w:val="20"/>
        <w:szCs w:val="20"/>
      </w:rPr>
      <w:t xml:space="preserve">Appeal number: </w:t>
    </w:r>
    <w:r w:rsidR="00BE6B1E" w:rsidRPr="00BE6B1E">
      <w:rPr>
        <w:sz w:val="20"/>
        <w:szCs w:val="20"/>
      </w:rPr>
      <w:t>IA/20061/2015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24D61"/>
    <w:multiLevelType w:val="hybridMultilevel"/>
    <w:tmpl w:val="0524881E"/>
    <w:lvl w:ilvl="0" w:tplc="04B2A218">
      <w:start w:val="1"/>
      <w:numFmt w:val="lowerRoman"/>
      <w:lvlText w:val="(%1)"/>
      <w:lvlJc w:val="left"/>
      <w:pPr>
        <w:ind w:left="1855" w:hanging="720"/>
      </w:pPr>
      <w:rPr>
        <w:rFonts w:hint="default"/>
      </w:rPr>
    </w:lvl>
    <w:lvl w:ilvl="1" w:tplc="08090019" w:tentative="1">
      <w:start w:val="1"/>
      <w:numFmt w:val="lowerLetter"/>
      <w:lvlText w:val="%2."/>
      <w:lvlJc w:val="left"/>
      <w:pPr>
        <w:ind w:left="2215" w:hanging="360"/>
      </w:pPr>
    </w:lvl>
    <w:lvl w:ilvl="2" w:tplc="0809001B" w:tentative="1">
      <w:start w:val="1"/>
      <w:numFmt w:val="lowerRoman"/>
      <w:lvlText w:val="%3."/>
      <w:lvlJc w:val="right"/>
      <w:pPr>
        <w:ind w:left="2935" w:hanging="180"/>
      </w:pPr>
    </w:lvl>
    <w:lvl w:ilvl="3" w:tplc="0809000F" w:tentative="1">
      <w:start w:val="1"/>
      <w:numFmt w:val="decimal"/>
      <w:lvlText w:val="%4."/>
      <w:lvlJc w:val="left"/>
      <w:pPr>
        <w:ind w:left="3655" w:hanging="360"/>
      </w:pPr>
    </w:lvl>
    <w:lvl w:ilvl="4" w:tplc="08090019" w:tentative="1">
      <w:start w:val="1"/>
      <w:numFmt w:val="lowerLetter"/>
      <w:lvlText w:val="%5."/>
      <w:lvlJc w:val="left"/>
      <w:pPr>
        <w:ind w:left="4375" w:hanging="360"/>
      </w:pPr>
    </w:lvl>
    <w:lvl w:ilvl="5" w:tplc="0809001B" w:tentative="1">
      <w:start w:val="1"/>
      <w:numFmt w:val="lowerRoman"/>
      <w:lvlText w:val="%6."/>
      <w:lvlJc w:val="right"/>
      <w:pPr>
        <w:ind w:left="5095" w:hanging="180"/>
      </w:pPr>
    </w:lvl>
    <w:lvl w:ilvl="6" w:tplc="0809000F" w:tentative="1">
      <w:start w:val="1"/>
      <w:numFmt w:val="decimal"/>
      <w:lvlText w:val="%7."/>
      <w:lvlJc w:val="left"/>
      <w:pPr>
        <w:ind w:left="5815" w:hanging="360"/>
      </w:pPr>
    </w:lvl>
    <w:lvl w:ilvl="7" w:tplc="08090019" w:tentative="1">
      <w:start w:val="1"/>
      <w:numFmt w:val="lowerLetter"/>
      <w:lvlText w:val="%8."/>
      <w:lvlJc w:val="left"/>
      <w:pPr>
        <w:ind w:left="6535" w:hanging="360"/>
      </w:pPr>
    </w:lvl>
    <w:lvl w:ilvl="8" w:tplc="0809001B" w:tentative="1">
      <w:start w:val="1"/>
      <w:numFmt w:val="lowerRoman"/>
      <w:lvlText w:val="%9."/>
      <w:lvlJc w:val="right"/>
      <w:pPr>
        <w:ind w:left="7255" w:hanging="180"/>
      </w:pPr>
    </w:lvl>
  </w:abstractNum>
  <w:abstractNum w:abstractNumId="1" w15:restartNumberingAfterBreak="0">
    <w:nsid w:val="4A347E8F"/>
    <w:multiLevelType w:val="hybridMultilevel"/>
    <w:tmpl w:val="6840EA3C"/>
    <w:lvl w:ilvl="0" w:tplc="4322CE0E">
      <w:start w:val="1"/>
      <w:numFmt w:val="lowerLetter"/>
      <w:lvlText w:val="(%1)"/>
      <w:lvlJc w:val="left"/>
      <w:pPr>
        <w:ind w:left="1752" w:hanging="360"/>
      </w:pPr>
      <w:rPr>
        <w:rFonts w:hint="default"/>
      </w:rPr>
    </w:lvl>
    <w:lvl w:ilvl="1" w:tplc="08090019">
      <w:start w:val="1"/>
      <w:numFmt w:val="lowerLetter"/>
      <w:lvlText w:val="%2."/>
      <w:lvlJc w:val="left"/>
      <w:pPr>
        <w:ind w:left="2472" w:hanging="360"/>
      </w:pPr>
    </w:lvl>
    <w:lvl w:ilvl="2" w:tplc="0809001B" w:tentative="1">
      <w:start w:val="1"/>
      <w:numFmt w:val="lowerRoman"/>
      <w:lvlText w:val="%3."/>
      <w:lvlJc w:val="right"/>
      <w:pPr>
        <w:ind w:left="3192" w:hanging="180"/>
      </w:pPr>
    </w:lvl>
    <w:lvl w:ilvl="3" w:tplc="0809000F" w:tentative="1">
      <w:start w:val="1"/>
      <w:numFmt w:val="decimal"/>
      <w:lvlText w:val="%4."/>
      <w:lvlJc w:val="left"/>
      <w:pPr>
        <w:ind w:left="3912" w:hanging="360"/>
      </w:pPr>
    </w:lvl>
    <w:lvl w:ilvl="4" w:tplc="08090019" w:tentative="1">
      <w:start w:val="1"/>
      <w:numFmt w:val="lowerLetter"/>
      <w:lvlText w:val="%5."/>
      <w:lvlJc w:val="left"/>
      <w:pPr>
        <w:ind w:left="4632" w:hanging="360"/>
      </w:pPr>
    </w:lvl>
    <w:lvl w:ilvl="5" w:tplc="0809001B" w:tentative="1">
      <w:start w:val="1"/>
      <w:numFmt w:val="lowerRoman"/>
      <w:lvlText w:val="%6."/>
      <w:lvlJc w:val="right"/>
      <w:pPr>
        <w:ind w:left="5352" w:hanging="180"/>
      </w:pPr>
    </w:lvl>
    <w:lvl w:ilvl="6" w:tplc="0809000F" w:tentative="1">
      <w:start w:val="1"/>
      <w:numFmt w:val="decimal"/>
      <w:lvlText w:val="%7."/>
      <w:lvlJc w:val="left"/>
      <w:pPr>
        <w:ind w:left="6072" w:hanging="360"/>
      </w:pPr>
    </w:lvl>
    <w:lvl w:ilvl="7" w:tplc="08090019" w:tentative="1">
      <w:start w:val="1"/>
      <w:numFmt w:val="lowerLetter"/>
      <w:lvlText w:val="%8."/>
      <w:lvlJc w:val="left"/>
      <w:pPr>
        <w:ind w:left="6792" w:hanging="360"/>
      </w:pPr>
    </w:lvl>
    <w:lvl w:ilvl="8" w:tplc="0809001B" w:tentative="1">
      <w:start w:val="1"/>
      <w:numFmt w:val="lowerRoman"/>
      <w:lvlText w:val="%9."/>
      <w:lvlJc w:val="right"/>
      <w:pPr>
        <w:ind w:left="7512" w:hanging="180"/>
      </w:pPr>
    </w:lvl>
  </w:abstractNum>
  <w:abstractNum w:abstractNumId="2" w15:restartNumberingAfterBreak="0">
    <w:nsid w:val="567C2D46"/>
    <w:multiLevelType w:val="hybridMultilevel"/>
    <w:tmpl w:val="8760021E"/>
    <w:lvl w:ilvl="0" w:tplc="0542F5A8">
      <w:start w:val="2"/>
      <w:numFmt w:val="decimal"/>
      <w:lvlText w:val="%1."/>
      <w:lvlJc w:val="left"/>
      <w:pPr>
        <w:tabs>
          <w:tab w:val="num" w:pos="757"/>
        </w:tabs>
        <w:ind w:left="757" w:hanging="397"/>
      </w:pPr>
      <w:rPr>
        <w:rFonts w:ascii="Sylfaen" w:hAnsi="Sylfaen" w:hint="default"/>
        <w:b/>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59252B96"/>
    <w:multiLevelType w:val="multilevel"/>
    <w:tmpl w:val="49B4DD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noPunctuationKerning/>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698"/>
    <w:rsid w:val="00000621"/>
    <w:rsid w:val="000036C2"/>
    <w:rsid w:val="00033D3D"/>
    <w:rsid w:val="00057601"/>
    <w:rsid w:val="00062F02"/>
    <w:rsid w:val="00071A7E"/>
    <w:rsid w:val="000746C0"/>
    <w:rsid w:val="00074D1D"/>
    <w:rsid w:val="000857AF"/>
    <w:rsid w:val="00090CF9"/>
    <w:rsid w:val="00092580"/>
    <w:rsid w:val="00093D4D"/>
    <w:rsid w:val="000A1210"/>
    <w:rsid w:val="000B2183"/>
    <w:rsid w:val="000D5D94"/>
    <w:rsid w:val="000F1A0E"/>
    <w:rsid w:val="00102EBC"/>
    <w:rsid w:val="001165A7"/>
    <w:rsid w:val="00117FD8"/>
    <w:rsid w:val="001401BB"/>
    <w:rsid w:val="001435AF"/>
    <w:rsid w:val="00167D3A"/>
    <w:rsid w:val="00194E6E"/>
    <w:rsid w:val="001A2BDA"/>
    <w:rsid w:val="001A3082"/>
    <w:rsid w:val="001A5D86"/>
    <w:rsid w:val="001B186A"/>
    <w:rsid w:val="001B2F75"/>
    <w:rsid w:val="001B4B39"/>
    <w:rsid w:val="001D511D"/>
    <w:rsid w:val="001E6DE8"/>
    <w:rsid w:val="001F114E"/>
    <w:rsid w:val="001F2716"/>
    <w:rsid w:val="00206F6B"/>
    <w:rsid w:val="00207617"/>
    <w:rsid w:val="002218B0"/>
    <w:rsid w:val="0023134B"/>
    <w:rsid w:val="0026015E"/>
    <w:rsid w:val="002667BE"/>
    <w:rsid w:val="00270E13"/>
    <w:rsid w:val="00283659"/>
    <w:rsid w:val="002B5149"/>
    <w:rsid w:val="002B7EE7"/>
    <w:rsid w:val="002C6BD4"/>
    <w:rsid w:val="002D68BF"/>
    <w:rsid w:val="002F6B98"/>
    <w:rsid w:val="00310B90"/>
    <w:rsid w:val="00336CBF"/>
    <w:rsid w:val="00342024"/>
    <w:rsid w:val="00343FE3"/>
    <w:rsid w:val="00353704"/>
    <w:rsid w:val="003546C8"/>
    <w:rsid w:val="00374981"/>
    <w:rsid w:val="003860CF"/>
    <w:rsid w:val="003949B4"/>
    <w:rsid w:val="003A3DA7"/>
    <w:rsid w:val="003A7CF2"/>
    <w:rsid w:val="003C5CE5"/>
    <w:rsid w:val="003E267B"/>
    <w:rsid w:val="003E5773"/>
    <w:rsid w:val="003E7CD1"/>
    <w:rsid w:val="003F2E3F"/>
    <w:rsid w:val="003F628C"/>
    <w:rsid w:val="00402B9E"/>
    <w:rsid w:val="00420643"/>
    <w:rsid w:val="004249CB"/>
    <w:rsid w:val="00431F6D"/>
    <w:rsid w:val="0044127D"/>
    <w:rsid w:val="004448DB"/>
    <w:rsid w:val="00446C9A"/>
    <w:rsid w:val="00452F2B"/>
    <w:rsid w:val="004617F0"/>
    <w:rsid w:val="00473EEA"/>
    <w:rsid w:val="00477193"/>
    <w:rsid w:val="00480D87"/>
    <w:rsid w:val="00491DCD"/>
    <w:rsid w:val="004A1848"/>
    <w:rsid w:val="004A6F4A"/>
    <w:rsid w:val="004C5C63"/>
    <w:rsid w:val="004C5D88"/>
    <w:rsid w:val="004E4717"/>
    <w:rsid w:val="005035E7"/>
    <w:rsid w:val="00507FEC"/>
    <w:rsid w:val="00510F0E"/>
    <w:rsid w:val="00531929"/>
    <w:rsid w:val="005479E1"/>
    <w:rsid w:val="00553E0A"/>
    <w:rsid w:val="005570FD"/>
    <w:rsid w:val="005575EA"/>
    <w:rsid w:val="00574E42"/>
    <w:rsid w:val="0057790C"/>
    <w:rsid w:val="005829AB"/>
    <w:rsid w:val="00593795"/>
    <w:rsid w:val="00593821"/>
    <w:rsid w:val="00597008"/>
    <w:rsid w:val="005A2412"/>
    <w:rsid w:val="005A549B"/>
    <w:rsid w:val="005A75FF"/>
    <w:rsid w:val="005D10AB"/>
    <w:rsid w:val="005D6D3F"/>
    <w:rsid w:val="005D721A"/>
    <w:rsid w:val="005F1F19"/>
    <w:rsid w:val="00601D8F"/>
    <w:rsid w:val="00611011"/>
    <w:rsid w:val="00653E97"/>
    <w:rsid w:val="00655341"/>
    <w:rsid w:val="00676204"/>
    <w:rsid w:val="00684A74"/>
    <w:rsid w:val="00686C0C"/>
    <w:rsid w:val="00690B8A"/>
    <w:rsid w:val="0069160E"/>
    <w:rsid w:val="00696018"/>
    <w:rsid w:val="00696D3B"/>
    <w:rsid w:val="006B058B"/>
    <w:rsid w:val="006E3FD3"/>
    <w:rsid w:val="006F2CF1"/>
    <w:rsid w:val="007038ED"/>
    <w:rsid w:val="00703BC3"/>
    <w:rsid w:val="00704B61"/>
    <w:rsid w:val="007334B3"/>
    <w:rsid w:val="00741157"/>
    <w:rsid w:val="007420F1"/>
    <w:rsid w:val="00742454"/>
    <w:rsid w:val="00750745"/>
    <w:rsid w:val="007552A9"/>
    <w:rsid w:val="00761858"/>
    <w:rsid w:val="00767D59"/>
    <w:rsid w:val="00772B18"/>
    <w:rsid w:val="00776E97"/>
    <w:rsid w:val="00780F86"/>
    <w:rsid w:val="007912AD"/>
    <w:rsid w:val="007A37E8"/>
    <w:rsid w:val="007B0824"/>
    <w:rsid w:val="007B5D3C"/>
    <w:rsid w:val="007B67B0"/>
    <w:rsid w:val="00821B72"/>
    <w:rsid w:val="00823EF2"/>
    <w:rsid w:val="008303B8"/>
    <w:rsid w:val="00833DCE"/>
    <w:rsid w:val="00871D34"/>
    <w:rsid w:val="008A414E"/>
    <w:rsid w:val="008B270C"/>
    <w:rsid w:val="008B382D"/>
    <w:rsid w:val="008B5078"/>
    <w:rsid w:val="008C3D3D"/>
    <w:rsid w:val="008D4131"/>
    <w:rsid w:val="008E29E6"/>
    <w:rsid w:val="008E2B2D"/>
    <w:rsid w:val="008F0697"/>
    <w:rsid w:val="008F1932"/>
    <w:rsid w:val="008F23F4"/>
    <w:rsid w:val="00921062"/>
    <w:rsid w:val="009225D4"/>
    <w:rsid w:val="00923B15"/>
    <w:rsid w:val="00925AB2"/>
    <w:rsid w:val="009722BC"/>
    <w:rsid w:val="009727A3"/>
    <w:rsid w:val="00977EB3"/>
    <w:rsid w:val="00987774"/>
    <w:rsid w:val="00996FBB"/>
    <w:rsid w:val="009A11E8"/>
    <w:rsid w:val="009C5F92"/>
    <w:rsid w:val="009D2BDB"/>
    <w:rsid w:val="009E30EE"/>
    <w:rsid w:val="009F07D7"/>
    <w:rsid w:val="009F3381"/>
    <w:rsid w:val="009F5220"/>
    <w:rsid w:val="00A11F19"/>
    <w:rsid w:val="00A15234"/>
    <w:rsid w:val="00A201AB"/>
    <w:rsid w:val="00A240AA"/>
    <w:rsid w:val="00A253BF"/>
    <w:rsid w:val="00A31C8B"/>
    <w:rsid w:val="00A44B39"/>
    <w:rsid w:val="00A509FA"/>
    <w:rsid w:val="00A544A8"/>
    <w:rsid w:val="00A80DB6"/>
    <w:rsid w:val="00A845DC"/>
    <w:rsid w:val="00A8721C"/>
    <w:rsid w:val="00A94307"/>
    <w:rsid w:val="00AE226C"/>
    <w:rsid w:val="00AE3FCA"/>
    <w:rsid w:val="00AF4121"/>
    <w:rsid w:val="00B20636"/>
    <w:rsid w:val="00B26AA2"/>
    <w:rsid w:val="00B3524D"/>
    <w:rsid w:val="00B40F69"/>
    <w:rsid w:val="00B46616"/>
    <w:rsid w:val="00B7040A"/>
    <w:rsid w:val="00B83391"/>
    <w:rsid w:val="00B83840"/>
    <w:rsid w:val="00B95326"/>
    <w:rsid w:val="00BA334F"/>
    <w:rsid w:val="00BB3FC4"/>
    <w:rsid w:val="00BB7997"/>
    <w:rsid w:val="00BC481C"/>
    <w:rsid w:val="00BC4DE5"/>
    <w:rsid w:val="00BD2083"/>
    <w:rsid w:val="00BD3A9C"/>
    <w:rsid w:val="00BD4196"/>
    <w:rsid w:val="00BE6B1E"/>
    <w:rsid w:val="00BE7D93"/>
    <w:rsid w:val="00BF22CA"/>
    <w:rsid w:val="00BF23BB"/>
    <w:rsid w:val="00C12F97"/>
    <w:rsid w:val="00C217AF"/>
    <w:rsid w:val="00C26032"/>
    <w:rsid w:val="00C345E1"/>
    <w:rsid w:val="00C43BFD"/>
    <w:rsid w:val="00C45496"/>
    <w:rsid w:val="00CA6FB9"/>
    <w:rsid w:val="00CB6E35"/>
    <w:rsid w:val="00CC0CC9"/>
    <w:rsid w:val="00CD4698"/>
    <w:rsid w:val="00CE1A46"/>
    <w:rsid w:val="00D077F9"/>
    <w:rsid w:val="00D20757"/>
    <w:rsid w:val="00D22636"/>
    <w:rsid w:val="00D40FD9"/>
    <w:rsid w:val="00D50A21"/>
    <w:rsid w:val="00D53769"/>
    <w:rsid w:val="00D85C13"/>
    <w:rsid w:val="00D9111A"/>
    <w:rsid w:val="00D91BE3"/>
    <w:rsid w:val="00D94AFC"/>
    <w:rsid w:val="00DB1EA9"/>
    <w:rsid w:val="00DB70AE"/>
    <w:rsid w:val="00DD1685"/>
    <w:rsid w:val="00DD5071"/>
    <w:rsid w:val="00DD5C39"/>
    <w:rsid w:val="00DD6918"/>
    <w:rsid w:val="00DE20CE"/>
    <w:rsid w:val="00DE65C8"/>
    <w:rsid w:val="00DE7DB7"/>
    <w:rsid w:val="00DF2161"/>
    <w:rsid w:val="00DF392C"/>
    <w:rsid w:val="00E00A0A"/>
    <w:rsid w:val="00E024EB"/>
    <w:rsid w:val="00E066DE"/>
    <w:rsid w:val="00E07F57"/>
    <w:rsid w:val="00E30683"/>
    <w:rsid w:val="00E418CE"/>
    <w:rsid w:val="00E453D8"/>
    <w:rsid w:val="00E50BCE"/>
    <w:rsid w:val="00E574BF"/>
    <w:rsid w:val="00E61292"/>
    <w:rsid w:val="00E74B5A"/>
    <w:rsid w:val="00E77C4D"/>
    <w:rsid w:val="00E80AD9"/>
    <w:rsid w:val="00E81D01"/>
    <w:rsid w:val="00E862ED"/>
    <w:rsid w:val="00EE43F3"/>
    <w:rsid w:val="00EE45D8"/>
    <w:rsid w:val="00F07170"/>
    <w:rsid w:val="00F118C6"/>
    <w:rsid w:val="00F22EDA"/>
    <w:rsid w:val="00F4156A"/>
    <w:rsid w:val="00F556F2"/>
    <w:rsid w:val="00F64880"/>
    <w:rsid w:val="00F97703"/>
    <w:rsid w:val="00FA48DC"/>
    <w:rsid w:val="00FC5AE2"/>
    <w:rsid w:val="00FD7014"/>
    <w:rsid w:val="00FD79ED"/>
    <w:rsid w:val="00FE4D99"/>
    <w:rsid w:val="00FF50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043E08A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ownfootnote">
    <w:name w:val="own footnote"/>
    <w:basedOn w:val="FootnoteText"/>
    <w:autoRedefine/>
    <w:rsid w:val="00DE65C8"/>
    <w:pPr>
      <w:ind w:left="540" w:hanging="540"/>
    </w:pPr>
    <w:rPr>
      <w:rFonts w:ascii="Sylfaen" w:hAnsi="Sylfaen"/>
      <w:sz w:val="22"/>
      <w:szCs w:val="22"/>
    </w:rPr>
  </w:style>
  <w:style w:type="paragraph" w:styleId="FootnoteText">
    <w:name w:val="footnote text"/>
    <w:basedOn w:val="Normal"/>
    <w:semiHidden/>
    <w:rsid w:val="00DE65C8"/>
    <w:rPr>
      <w:sz w:val="20"/>
      <w:szCs w:val="20"/>
    </w:rPr>
  </w:style>
  <w:style w:type="paragraph" w:customStyle="1" w:styleId="pedal">
    <w:name w:val="pedal"/>
    <w:basedOn w:val="Footer"/>
    <w:autoRedefine/>
    <w:rsid w:val="00E862ED"/>
    <w:pPr>
      <w:ind w:left="540" w:hanging="540"/>
    </w:pPr>
    <w:rPr>
      <w:rFonts w:ascii="Sylfaen" w:hAnsi="Sylfaen"/>
      <w:sz w:val="22"/>
      <w:szCs w:val="22"/>
    </w:rPr>
  </w:style>
  <w:style w:type="paragraph" w:customStyle="1" w:styleId="pedal1">
    <w:name w:val="pedal1"/>
    <w:basedOn w:val="pedal"/>
    <w:autoRedefine/>
    <w:rsid w:val="000B2183"/>
    <w:pPr>
      <w:ind w:left="539" w:hanging="539"/>
    </w:pPr>
  </w:style>
  <w:style w:type="paragraph" w:customStyle="1" w:styleId="pedal2">
    <w:name w:val="pedal2"/>
    <w:basedOn w:val="pedal"/>
    <w:autoRedefine/>
    <w:rsid w:val="000B2183"/>
    <w:pPr>
      <w:ind w:left="539" w:hanging="539"/>
      <w:jc w:val="both"/>
    </w:pPr>
  </w:style>
  <w:style w:type="paragraph" w:customStyle="1" w:styleId="foot-note">
    <w:name w:val="foot-note"/>
    <w:basedOn w:val="pedal2"/>
    <w:rsid w:val="003A3DA7"/>
  </w:style>
  <w:style w:type="character" w:styleId="FollowedHyperlink">
    <w:name w:val="FollowedHyperlink"/>
    <w:rsid w:val="00F4156A"/>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lii.org/cgi-bin/format.cgi?doc=/uk/cases/UKSC/2017/11.html&amp;query=(title:(+agyarko+))"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ailii.org/cgi-bin/format.cgi?doc=/uk/cases/UKSC/2017/11.html&amp;query=(title:(+agyarko+))"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bailii.org/uk/cases/UKSC/2017/10.html" TargetMode="External"/><Relationship Id="rId4" Type="http://schemas.openxmlformats.org/officeDocument/2006/relationships/webSettings" Target="webSettings.xml"/><Relationship Id="rId9" Type="http://schemas.openxmlformats.org/officeDocument/2006/relationships/hyperlink" Target="http://www.bailii.org/uk/cases/UKSC/2017/10.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1313</Words>
  <Characters>6726</Characters>
  <Application>Microsoft Office Word</Application>
  <DocSecurity>0</DocSecurity>
  <Lines>56</Lines>
  <Paragraphs>16</Paragraphs>
  <ScaleCrop>false</ScaleCrop>
  <Company/>
  <LinksUpToDate>false</LinksUpToDate>
  <CharactersWithSpaces>8023</CharactersWithSpaces>
  <SharedDoc>false</SharedDoc>
  <HLinks>
    <vt:vector size="24" baseType="variant">
      <vt:variant>
        <vt:i4>8192119</vt:i4>
      </vt:variant>
      <vt:variant>
        <vt:i4>24</vt:i4>
      </vt:variant>
      <vt:variant>
        <vt:i4>0</vt:i4>
      </vt:variant>
      <vt:variant>
        <vt:i4>5</vt:i4>
      </vt:variant>
      <vt:variant>
        <vt:lpwstr>http://www.bailii.org/cgi-bin/format.cgi?doc=/uk/cases/UKSC/2017/11.html&amp;query=(title:(+agyarko+))</vt:lpwstr>
      </vt:variant>
      <vt:variant>
        <vt:lpwstr/>
      </vt:variant>
      <vt:variant>
        <vt:i4>1769564</vt:i4>
      </vt:variant>
      <vt:variant>
        <vt:i4>21</vt:i4>
      </vt:variant>
      <vt:variant>
        <vt:i4>0</vt:i4>
      </vt:variant>
      <vt:variant>
        <vt:i4>5</vt:i4>
      </vt:variant>
      <vt:variant>
        <vt:lpwstr>http://www.bailii.org/uk/cases/UKSC/2017/10.html</vt:lpwstr>
      </vt:variant>
      <vt:variant>
        <vt:lpwstr/>
      </vt:variant>
      <vt:variant>
        <vt:i4>1769564</vt:i4>
      </vt:variant>
      <vt:variant>
        <vt:i4>18</vt:i4>
      </vt:variant>
      <vt:variant>
        <vt:i4>0</vt:i4>
      </vt:variant>
      <vt:variant>
        <vt:i4>5</vt:i4>
      </vt:variant>
      <vt:variant>
        <vt:lpwstr>http://www.bailii.org/uk/cases/UKSC/2017/10.html</vt:lpwstr>
      </vt:variant>
      <vt:variant>
        <vt:lpwstr/>
      </vt:variant>
      <vt:variant>
        <vt:i4>8192119</vt:i4>
      </vt:variant>
      <vt:variant>
        <vt:i4>15</vt:i4>
      </vt:variant>
      <vt:variant>
        <vt:i4>0</vt:i4>
      </vt:variant>
      <vt:variant>
        <vt:i4>5</vt:i4>
      </vt:variant>
      <vt:variant>
        <vt:lpwstr>http://www.bailii.org/cgi-bin/format.cgi?doc=/uk/cases/UKSC/2017/11.html&amp;query=(title:(+agyarko+))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2018-06-21T13:59:00Z</dcterms:created>
  <dcterms:modified xsi:type="dcterms:W3CDTF">2018-06-21T13:59:00Z</dcterms:modified>
</cp:coreProperties>
</file>