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8BC" w:rsidRDefault="007C58BC" w:rsidP="00A842AA">
      <w:pPr>
        <w:jc w:val="center"/>
        <w:rPr>
          <w:rFonts w:ascii="Book Antiqua" w:hAnsi="Book Antiqua" w:cs="Arial"/>
          <w:caps/>
          <w:color w:val="000000"/>
          <w:sz w:val="16"/>
          <w:szCs w:val="16"/>
        </w:rPr>
      </w:pPr>
      <w:bookmarkStart w:id="0" w:name="_Hlk516212535"/>
      <w:bookmarkEnd w:id="0"/>
    </w:p>
    <w:p w:rsidR="00A842AA" w:rsidRPr="00AC04A0" w:rsidRDefault="000F3645" w:rsidP="00A842AA">
      <w:pPr>
        <w:jc w:val="center"/>
        <w:rPr>
          <w:rFonts w:ascii="Book Antiqua" w:hAnsi="Book Antiqua" w:cs="Arial"/>
          <w:caps/>
          <w:color w:val="000000"/>
          <w:sz w:val="16"/>
          <w:szCs w:val="16"/>
        </w:rPr>
      </w:pPr>
      <w:bookmarkStart w:id="1" w:name="_GoBack"/>
      <w:bookmarkEnd w:id="1"/>
      <w:r>
        <w:rPr>
          <w:noProof/>
        </w:rPr>
        <w:drawing>
          <wp:inline distT="0" distB="0" distL="0" distR="0" wp14:anchorId="587DFD5A" wp14:editId="746D3B09">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tbl>
      <w:tblPr>
        <w:tblStyle w:val="TableGrid"/>
        <w:tblW w:w="9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5421"/>
      </w:tblGrid>
      <w:tr w:rsidR="00047D0F" w:rsidRPr="005A6E71" w:rsidTr="00062967">
        <w:trPr>
          <w:trHeight w:val="1330"/>
        </w:trPr>
        <w:tc>
          <w:tcPr>
            <w:tcW w:w="4543" w:type="dxa"/>
          </w:tcPr>
          <w:p w:rsidR="00047D0F" w:rsidRPr="00AC04A0" w:rsidRDefault="00047D0F" w:rsidP="00047D0F">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047D0F" w:rsidRDefault="00047D0F" w:rsidP="00047D0F">
            <w:pPr>
              <w:rPr>
                <w:rFonts w:ascii="Book Antiqua" w:hAnsi="Book Antiqua" w:cs="Arial"/>
                <w:color w:val="000000"/>
              </w:rPr>
            </w:pPr>
            <w:r w:rsidRPr="00AC04A0">
              <w:rPr>
                <w:rFonts w:ascii="Book Antiqua" w:hAnsi="Book Antiqua" w:cs="Arial"/>
                <w:b/>
                <w:color w:val="000000"/>
              </w:rPr>
              <w:t>(Immigration and Asylum Chamber)</w:t>
            </w:r>
          </w:p>
        </w:tc>
        <w:tc>
          <w:tcPr>
            <w:tcW w:w="5421" w:type="dxa"/>
          </w:tcPr>
          <w:p w:rsidR="005A6E71" w:rsidRPr="005A6E71" w:rsidRDefault="005A6E71" w:rsidP="00047D0F">
            <w:pPr>
              <w:tabs>
                <w:tab w:val="right" w:pos="9720"/>
              </w:tabs>
              <w:ind w:right="-82"/>
              <w:jc w:val="right"/>
              <w:rPr>
                <w:rFonts w:ascii="Book Antiqua" w:hAnsi="Book Antiqua" w:cs="Arial"/>
                <w:b/>
                <w:color w:val="000000"/>
              </w:rPr>
            </w:pPr>
          </w:p>
          <w:p w:rsidR="00062967" w:rsidRPr="005A6E71" w:rsidRDefault="005A6E71" w:rsidP="005A6E71">
            <w:pPr>
              <w:tabs>
                <w:tab w:val="right" w:pos="9720"/>
              </w:tabs>
              <w:ind w:right="-82"/>
              <w:rPr>
                <w:rFonts w:ascii="Book Antiqua" w:hAnsi="Book Antiqua" w:cs="Arial"/>
                <w:b/>
                <w:caps/>
                <w:color w:val="000000"/>
              </w:rPr>
            </w:pPr>
            <w:r>
              <w:rPr>
                <w:rFonts w:ascii="Book Antiqua" w:hAnsi="Book Antiqua" w:cs="Arial"/>
                <w:b/>
                <w:color w:val="000000"/>
              </w:rPr>
              <w:t xml:space="preserve">             </w:t>
            </w:r>
            <w:r w:rsidR="00047D0F" w:rsidRPr="005A6E71">
              <w:rPr>
                <w:rFonts w:ascii="Book Antiqua" w:hAnsi="Book Antiqua" w:cs="Arial"/>
                <w:b/>
                <w:color w:val="000000"/>
              </w:rPr>
              <w:t xml:space="preserve">Appeal Numbers: </w:t>
            </w:r>
            <w:r w:rsidR="00062967" w:rsidRPr="005A6E71">
              <w:rPr>
                <w:rFonts w:ascii="Book Antiqua" w:hAnsi="Book Antiqua" w:cs="Arial"/>
                <w:b/>
                <w:caps/>
                <w:color w:val="000000"/>
              </w:rPr>
              <w:t>IA</w:t>
            </w:r>
            <w:r>
              <w:rPr>
                <w:rFonts w:ascii="Book Antiqua" w:hAnsi="Book Antiqua" w:cs="Arial"/>
                <w:b/>
                <w:caps/>
                <w:color w:val="000000"/>
              </w:rPr>
              <w:t>/</w:t>
            </w:r>
            <w:r w:rsidR="00062967" w:rsidRPr="005A6E71">
              <w:rPr>
                <w:rFonts w:ascii="Book Antiqua" w:hAnsi="Book Antiqua" w:cs="Arial"/>
                <w:b/>
                <w:caps/>
                <w:color w:val="000000"/>
              </w:rPr>
              <w:t>20786</w:t>
            </w:r>
            <w:r>
              <w:rPr>
                <w:rFonts w:ascii="Book Antiqua" w:hAnsi="Book Antiqua" w:cs="Arial"/>
                <w:b/>
                <w:caps/>
                <w:color w:val="000000"/>
              </w:rPr>
              <w:t>/</w:t>
            </w:r>
            <w:r w:rsidR="00062967" w:rsidRPr="005A6E71">
              <w:rPr>
                <w:rFonts w:ascii="Book Antiqua" w:hAnsi="Book Antiqua" w:cs="Arial"/>
                <w:b/>
                <w:caps/>
                <w:color w:val="000000"/>
              </w:rPr>
              <w:t>2015</w:t>
            </w:r>
            <w:r w:rsidR="00047D0F" w:rsidRPr="005A6E71">
              <w:rPr>
                <w:rFonts w:ascii="Book Antiqua" w:hAnsi="Book Antiqua" w:cs="Arial"/>
                <w:b/>
                <w:caps/>
                <w:color w:val="000000"/>
              </w:rPr>
              <w:t xml:space="preserve"> </w:t>
            </w:r>
          </w:p>
          <w:p w:rsidR="00047D0F" w:rsidRPr="005A6E71" w:rsidRDefault="005A6E71" w:rsidP="005A6E71">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D279C5" w:rsidRPr="005A6E71">
              <w:rPr>
                <w:rFonts w:ascii="Book Antiqua" w:hAnsi="Book Antiqua" w:cs="Arial"/>
                <w:b/>
                <w:caps/>
                <w:color w:val="000000"/>
              </w:rPr>
              <w:t xml:space="preserve"> </w:t>
            </w:r>
            <w:r w:rsidR="00047D0F" w:rsidRPr="005A6E71">
              <w:rPr>
                <w:rFonts w:ascii="Book Antiqua" w:hAnsi="Book Antiqua" w:cs="Arial"/>
                <w:b/>
                <w:caps/>
                <w:color w:val="000000"/>
              </w:rPr>
              <w:t>IA</w:t>
            </w:r>
            <w:r>
              <w:rPr>
                <w:rFonts w:ascii="Book Antiqua" w:hAnsi="Book Antiqua" w:cs="Arial"/>
                <w:b/>
                <w:caps/>
                <w:color w:val="000000"/>
              </w:rPr>
              <w:t>/</w:t>
            </w:r>
            <w:r w:rsidR="00047D0F" w:rsidRPr="005A6E71">
              <w:rPr>
                <w:rFonts w:ascii="Book Antiqua" w:hAnsi="Book Antiqua" w:cs="Arial"/>
                <w:b/>
                <w:caps/>
                <w:color w:val="000000"/>
              </w:rPr>
              <w:t>2079</w:t>
            </w:r>
            <w:r w:rsidR="00D279C5" w:rsidRPr="005A6E71">
              <w:rPr>
                <w:rFonts w:ascii="Book Antiqua" w:hAnsi="Book Antiqua" w:cs="Arial"/>
                <w:b/>
                <w:caps/>
                <w:color w:val="000000"/>
              </w:rPr>
              <w:t>3</w:t>
            </w:r>
            <w:r>
              <w:rPr>
                <w:rFonts w:ascii="Book Antiqua" w:hAnsi="Book Antiqua" w:cs="Arial"/>
                <w:b/>
                <w:caps/>
                <w:color w:val="000000"/>
              </w:rPr>
              <w:t>/</w:t>
            </w:r>
            <w:r w:rsidR="00047D0F" w:rsidRPr="005A6E71">
              <w:rPr>
                <w:rFonts w:ascii="Book Antiqua" w:hAnsi="Book Antiqua" w:cs="Arial"/>
                <w:b/>
                <w:caps/>
                <w:color w:val="000000"/>
              </w:rPr>
              <w:t>2015</w:t>
            </w:r>
          </w:p>
          <w:p w:rsidR="00062967" w:rsidRPr="005A6E71" w:rsidRDefault="005A6E71" w:rsidP="005A6E71">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062967" w:rsidRPr="005A6E71">
              <w:rPr>
                <w:rFonts w:ascii="Book Antiqua" w:hAnsi="Book Antiqua" w:cs="Arial"/>
                <w:b/>
                <w:caps/>
                <w:color w:val="000000"/>
              </w:rPr>
              <w:t xml:space="preserve"> </w:t>
            </w:r>
            <w:r>
              <w:rPr>
                <w:rFonts w:ascii="Book Antiqua" w:hAnsi="Book Antiqua" w:cs="Arial"/>
                <w:b/>
                <w:caps/>
                <w:color w:val="000000"/>
              </w:rPr>
              <w:t xml:space="preserve"> </w:t>
            </w:r>
            <w:r w:rsidR="00062967" w:rsidRPr="005A6E71">
              <w:rPr>
                <w:rFonts w:ascii="Book Antiqua" w:hAnsi="Book Antiqua" w:cs="Arial"/>
                <w:b/>
                <w:caps/>
                <w:color w:val="000000"/>
              </w:rPr>
              <w:t>IA</w:t>
            </w:r>
            <w:r>
              <w:rPr>
                <w:rFonts w:ascii="Book Antiqua" w:hAnsi="Book Antiqua" w:cs="Arial"/>
                <w:b/>
                <w:caps/>
                <w:color w:val="000000"/>
              </w:rPr>
              <w:t>/</w:t>
            </w:r>
            <w:r w:rsidR="00062967" w:rsidRPr="005A6E71">
              <w:rPr>
                <w:rFonts w:ascii="Book Antiqua" w:hAnsi="Book Antiqua" w:cs="Arial"/>
                <w:b/>
                <w:caps/>
                <w:color w:val="000000"/>
              </w:rPr>
              <w:t>20800</w:t>
            </w:r>
            <w:r>
              <w:rPr>
                <w:rFonts w:ascii="Book Antiqua" w:hAnsi="Book Antiqua" w:cs="Arial"/>
                <w:b/>
                <w:caps/>
                <w:color w:val="000000"/>
              </w:rPr>
              <w:t>/</w:t>
            </w:r>
            <w:r w:rsidR="00062967" w:rsidRPr="005A6E71">
              <w:rPr>
                <w:rFonts w:ascii="Book Antiqua" w:hAnsi="Book Antiqua" w:cs="Arial"/>
                <w:b/>
                <w:caps/>
                <w:color w:val="000000"/>
              </w:rPr>
              <w:t>2015</w:t>
            </w:r>
          </w:p>
          <w:p w:rsidR="00062967" w:rsidRDefault="005A6E71" w:rsidP="005A6E71">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062967" w:rsidRPr="005A6E71">
              <w:rPr>
                <w:rFonts w:ascii="Book Antiqua" w:hAnsi="Book Antiqua" w:cs="Arial"/>
                <w:b/>
                <w:caps/>
                <w:color w:val="000000"/>
              </w:rPr>
              <w:t>IA</w:t>
            </w:r>
            <w:r>
              <w:rPr>
                <w:rFonts w:ascii="Book Antiqua" w:hAnsi="Book Antiqua" w:cs="Arial"/>
                <w:b/>
                <w:caps/>
                <w:color w:val="000000"/>
              </w:rPr>
              <w:t>/</w:t>
            </w:r>
            <w:r w:rsidR="00062967" w:rsidRPr="005A6E71">
              <w:rPr>
                <w:rFonts w:ascii="Book Antiqua" w:hAnsi="Book Antiqua" w:cs="Arial"/>
                <w:b/>
                <w:caps/>
                <w:color w:val="000000"/>
              </w:rPr>
              <w:t>20804</w:t>
            </w:r>
            <w:r>
              <w:rPr>
                <w:rFonts w:ascii="Book Antiqua" w:hAnsi="Book Antiqua" w:cs="Arial"/>
                <w:b/>
                <w:caps/>
                <w:color w:val="000000"/>
              </w:rPr>
              <w:t>/</w:t>
            </w:r>
            <w:r w:rsidR="00062967" w:rsidRPr="005A6E71">
              <w:rPr>
                <w:rFonts w:ascii="Book Antiqua" w:hAnsi="Book Antiqua" w:cs="Arial"/>
                <w:b/>
                <w:caps/>
                <w:color w:val="000000"/>
              </w:rPr>
              <w:t>2015</w:t>
            </w:r>
          </w:p>
          <w:p w:rsidR="005A6E71" w:rsidRPr="005A6E71" w:rsidRDefault="005A6E71" w:rsidP="005A6E71">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IA/20805/2015</w:t>
            </w:r>
          </w:p>
          <w:p w:rsidR="00047D0F" w:rsidRPr="005A6E71" w:rsidRDefault="00062967" w:rsidP="00047D0F">
            <w:pPr>
              <w:tabs>
                <w:tab w:val="right" w:pos="9720"/>
              </w:tabs>
              <w:ind w:right="-82"/>
              <w:jc w:val="right"/>
              <w:rPr>
                <w:rFonts w:ascii="Book Antiqua" w:hAnsi="Book Antiqua" w:cs="Arial"/>
                <w:b/>
                <w:color w:val="000000"/>
              </w:rPr>
            </w:pPr>
            <w:r w:rsidRPr="005A6E71">
              <w:rPr>
                <w:rFonts w:ascii="Book Antiqua" w:hAnsi="Book Antiqua" w:cs="Arial"/>
                <w:b/>
                <w:caps/>
                <w:color w:val="000000"/>
              </w:rPr>
              <w:t xml:space="preserve">   </w:t>
            </w:r>
            <w:r w:rsidR="005A6E71" w:rsidRPr="005A6E71">
              <w:rPr>
                <w:rFonts w:ascii="Book Antiqua" w:hAnsi="Book Antiqua" w:cs="Arial"/>
                <w:b/>
                <w:caps/>
                <w:color w:val="000000"/>
              </w:rPr>
              <w:t xml:space="preserve"> </w:t>
            </w:r>
            <w:r w:rsidR="005A6E71">
              <w:rPr>
                <w:rFonts w:ascii="Book Antiqua" w:hAnsi="Book Antiqua" w:cs="Arial"/>
                <w:b/>
                <w:caps/>
                <w:color w:val="000000"/>
              </w:rPr>
              <w:t xml:space="preserve">    </w:t>
            </w:r>
            <w:r w:rsidR="005A6E71" w:rsidRPr="005A6E71">
              <w:rPr>
                <w:rFonts w:ascii="Book Antiqua" w:hAnsi="Book Antiqua" w:cs="Arial"/>
                <w:b/>
                <w:caps/>
                <w:color w:val="000000"/>
              </w:rPr>
              <w:t xml:space="preserve">  </w:t>
            </w:r>
          </w:p>
        </w:tc>
      </w:tr>
    </w:tbl>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AC04A0" w:rsidTr="005A6E71">
        <w:tc>
          <w:tcPr>
            <w:tcW w:w="5245"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Heard at </w:t>
            </w:r>
            <w:r w:rsidR="0058110F">
              <w:rPr>
                <w:rFonts w:ascii="Book Antiqua" w:hAnsi="Book Antiqua" w:cs="Arial"/>
                <w:b/>
              </w:rPr>
              <w:t>Field House</w:t>
            </w:r>
          </w:p>
        </w:tc>
        <w:tc>
          <w:tcPr>
            <w:tcW w:w="4763" w:type="dxa"/>
          </w:tcPr>
          <w:p w:rsidR="00D22636" w:rsidRPr="00AC04A0" w:rsidRDefault="005A6E71" w:rsidP="00093D4D">
            <w:pPr>
              <w:jc w:val="both"/>
              <w:rPr>
                <w:rFonts w:ascii="Book Antiqua" w:hAnsi="Book Antiqua" w:cs="Arial"/>
                <w:b/>
                <w:color w:val="000000"/>
              </w:rPr>
            </w:pPr>
            <w:r>
              <w:rPr>
                <w:rFonts w:ascii="Book Antiqua" w:hAnsi="Book Antiqua" w:cs="Arial"/>
                <w:b/>
                <w:color w:val="000000"/>
              </w:rPr>
              <w:t xml:space="preserve"> </w:t>
            </w:r>
            <w:r w:rsidR="009F14B8">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D22636" w:rsidRPr="00AC04A0" w:rsidTr="005A6E71">
        <w:tc>
          <w:tcPr>
            <w:tcW w:w="5245"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On </w:t>
            </w:r>
            <w:r w:rsidR="0058110F">
              <w:rPr>
                <w:rFonts w:ascii="Book Antiqua" w:hAnsi="Book Antiqua" w:cs="Arial"/>
                <w:b/>
              </w:rPr>
              <w:t>21 May 2018</w:t>
            </w:r>
          </w:p>
        </w:tc>
        <w:tc>
          <w:tcPr>
            <w:tcW w:w="4763" w:type="dxa"/>
          </w:tcPr>
          <w:p w:rsidR="00D22636" w:rsidRPr="00AC04A0" w:rsidRDefault="005A6E71" w:rsidP="004A1848">
            <w:pPr>
              <w:jc w:val="both"/>
              <w:rPr>
                <w:rFonts w:ascii="Book Antiqua" w:hAnsi="Book Antiqua" w:cs="Arial"/>
                <w:b/>
              </w:rPr>
            </w:pPr>
            <w:r>
              <w:rPr>
                <w:rFonts w:ascii="Book Antiqua" w:hAnsi="Book Antiqua" w:cs="Arial"/>
                <w:b/>
              </w:rPr>
              <w:t xml:space="preserve"> </w:t>
            </w:r>
            <w:r w:rsidR="00062967">
              <w:rPr>
                <w:rFonts w:ascii="Book Antiqua" w:hAnsi="Book Antiqua" w:cs="Arial"/>
                <w:b/>
              </w:rPr>
              <w:t>On 8 June 2018</w:t>
            </w:r>
          </w:p>
        </w:tc>
      </w:tr>
      <w:tr w:rsidR="00D22636" w:rsidRPr="00AC04A0" w:rsidTr="005A6E71">
        <w:tc>
          <w:tcPr>
            <w:tcW w:w="5245" w:type="dxa"/>
          </w:tcPr>
          <w:p w:rsidR="00D22636" w:rsidRPr="00AC04A0" w:rsidRDefault="00D22636" w:rsidP="004A1848">
            <w:pPr>
              <w:jc w:val="both"/>
              <w:rPr>
                <w:rFonts w:ascii="Book Antiqua" w:hAnsi="Book Antiqua" w:cs="Arial"/>
                <w:b/>
              </w:rPr>
            </w:pPr>
          </w:p>
        </w:tc>
        <w:tc>
          <w:tcPr>
            <w:tcW w:w="4763" w:type="dxa"/>
          </w:tcPr>
          <w:p w:rsidR="00D22636" w:rsidRPr="00AC04A0" w:rsidRDefault="00D22636" w:rsidP="004A1848">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D20757" w:rsidRPr="00AC04A0" w:rsidRDefault="00D20757"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4448BD" w:rsidTr="004448BD">
        <w:tc>
          <w:tcPr>
            <w:tcW w:w="3209" w:type="dxa"/>
          </w:tcPr>
          <w:p w:rsidR="004448BD" w:rsidRDefault="004448BD" w:rsidP="00A15234">
            <w:pPr>
              <w:jc w:val="center"/>
              <w:rPr>
                <w:rFonts w:ascii="Book Antiqua" w:hAnsi="Book Antiqua" w:cs="Arial"/>
                <w:b/>
                <w:caps/>
              </w:rPr>
            </w:pPr>
          </w:p>
        </w:tc>
        <w:tc>
          <w:tcPr>
            <w:tcW w:w="3209" w:type="dxa"/>
          </w:tcPr>
          <w:p w:rsidR="004448BD" w:rsidRDefault="00D279C5" w:rsidP="00A15234">
            <w:pPr>
              <w:jc w:val="center"/>
              <w:rPr>
                <w:rFonts w:ascii="Book Antiqua" w:hAnsi="Book Antiqua" w:cs="Arial"/>
                <w:b/>
                <w:caps/>
              </w:rPr>
            </w:pPr>
            <w:r>
              <w:rPr>
                <w:rFonts w:ascii="Book Antiqua" w:hAnsi="Book Antiqua" w:cs="Arial"/>
                <w:b/>
                <w:caps/>
              </w:rPr>
              <w:t>S I</w:t>
            </w:r>
          </w:p>
        </w:tc>
        <w:tc>
          <w:tcPr>
            <w:tcW w:w="3210" w:type="dxa"/>
          </w:tcPr>
          <w:p w:rsidR="004448BD" w:rsidRPr="004448BD" w:rsidRDefault="004448BD" w:rsidP="004448BD">
            <w:pPr>
              <w:jc w:val="right"/>
              <w:rPr>
                <w:rFonts w:ascii="Book Antiqua" w:hAnsi="Book Antiqua" w:cs="Arial"/>
                <w:caps/>
                <w:u w:val="single"/>
              </w:rPr>
            </w:pPr>
            <w:r w:rsidRPr="004448BD">
              <w:rPr>
                <w:rFonts w:ascii="Book Antiqua" w:hAnsi="Book Antiqua" w:cs="Arial"/>
                <w:u w:val="single"/>
              </w:rPr>
              <w:t>First Appellant</w:t>
            </w:r>
          </w:p>
        </w:tc>
      </w:tr>
      <w:tr w:rsidR="004448BD" w:rsidTr="004448BD">
        <w:tc>
          <w:tcPr>
            <w:tcW w:w="3209" w:type="dxa"/>
          </w:tcPr>
          <w:p w:rsidR="004448BD" w:rsidRDefault="004448BD" w:rsidP="00A15234">
            <w:pPr>
              <w:jc w:val="center"/>
              <w:rPr>
                <w:rFonts w:ascii="Book Antiqua" w:hAnsi="Book Antiqua" w:cs="Arial"/>
                <w:b/>
                <w:caps/>
              </w:rPr>
            </w:pPr>
          </w:p>
        </w:tc>
        <w:tc>
          <w:tcPr>
            <w:tcW w:w="3209" w:type="dxa"/>
          </w:tcPr>
          <w:p w:rsidR="004448BD" w:rsidRDefault="00D279C5" w:rsidP="00A15234">
            <w:pPr>
              <w:jc w:val="center"/>
              <w:rPr>
                <w:rFonts w:ascii="Book Antiqua" w:hAnsi="Book Antiqua" w:cs="Arial"/>
                <w:b/>
                <w:caps/>
              </w:rPr>
            </w:pPr>
            <w:r>
              <w:rPr>
                <w:rFonts w:ascii="Book Antiqua" w:hAnsi="Book Antiqua" w:cs="Arial"/>
                <w:b/>
                <w:caps/>
              </w:rPr>
              <w:t>I B</w:t>
            </w:r>
          </w:p>
        </w:tc>
        <w:tc>
          <w:tcPr>
            <w:tcW w:w="3210" w:type="dxa"/>
          </w:tcPr>
          <w:p w:rsidR="004448BD" w:rsidRDefault="004448BD" w:rsidP="004448BD">
            <w:pPr>
              <w:jc w:val="right"/>
              <w:rPr>
                <w:rFonts w:ascii="Book Antiqua" w:hAnsi="Book Antiqua" w:cs="Arial"/>
                <w:b/>
                <w:caps/>
              </w:rPr>
            </w:pPr>
            <w:r>
              <w:rPr>
                <w:rFonts w:ascii="Book Antiqua" w:hAnsi="Book Antiqua" w:cs="Arial"/>
                <w:u w:val="single"/>
              </w:rPr>
              <w:t xml:space="preserve">Second </w:t>
            </w:r>
            <w:r w:rsidRPr="004448BD">
              <w:rPr>
                <w:rFonts w:ascii="Book Antiqua" w:hAnsi="Book Antiqua" w:cs="Arial"/>
                <w:u w:val="single"/>
              </w:rPr>
              <w:t>Appellant</w:t>
            </w:r>
          </w:p>
        </w:tc>
      </w:tr>
      <w:tr w:rsidR="004448BD" w:rsidTr="004448BD">
        <w:tc>
          <w:tcPr>
            <w:tcW w:w="3209" w:type="dxa"/>
          </w:tcPr>
          <w:p w:rsidR="004448BD" w:rsidRDefault="004448BD" w:rsidP="00A15234">
            <w:pPr>
              <w:jc w:val="center"/>
              <w:rPr>
                <w:rFonts w:ascii="Book Antiqua" w:hAnsi="Book Antiqua" w:cs="Arial"/>
                <w:b/>
                <w:caps/>
              </w:rPr>
            </w:pPr>
          </w:p>
        </w:tc>
        <w:tc>
          <w:tcPr>
            <w:tcW w:w="3209" w:type="dxa"/>
          </w:tcPr>
          <w:p w:rsidR="004448BD" w:rsidRDefault="00D279C5" w:rsidP="00A15234">
            <w:pPr>
              <w:jc w:val="center"/>
              <w:rPr>
                <w:rFonts w:ascii="Book Antiqua" w:hAnsi="Book Antiqua" w:cs="Arial"/>
                <w:b/>
                <w:caps/>
              </w:rPr>
            </w:pPr>
            <w:r>
              <w:rPr>
                <w:rFonts w:ascii="Book Antiqua" w:hAnsi="Book Antiqua" w:cs="Arial"/>
                <w:b/>
                <w:caps/>
              </w:rPr>
              <w:t>A B</w:t>
            </w:r>
          </w:p>
        </w:tc>
        <w:tc>
          <w:tcPr>
            <w:tcW w:w="3210" w:type="dxa"/>
          </w:tcPr>
          <w:p w:rsidR="004448BD" w:rsidRDefault="004448BD" w:rsidP="004448BD">
            <w:pPr>
              <w:jc w:val="right"/>
              <w:rPr>
                <w:rFonts w:ascii="Book Antiqua" w:hAnsi="Book Antiqua" w:cs="Arial"/>
                <w:b/>
                <w:caps/>
              </w:rPr>
            </w:pPr>
            <w:r>
              <w:rPr>
                <w:rFonts w:ascii="Book Antiqua" w:hAnsi="Book Antiqua" w:cs="Arial"/>
                <w:u w:val="single"/>
              </w:rPr>
              <w:t xml:space="preserve">Third </w:t>
            </w:r>
            <w:r w:rsidRPr="004448BD">
              <w:rPr>
                <w:rFonts w:ascii="Book Antiqua" w:hAnsi="Book Antiqua" w:cs="Arial"/>
                <w:u w:val="single"/>
              </w:rPr>
              <w:t>Appellant</w:t>
            </w:r>
          </w:p>
        </w:tc>
      </w:tr>
      <w:tr w:rsidR="004448BD" w:rsidTr="004448BD">
        <w:tc>
          <w:tcPr>
            <w:tcW w:w="3209" w:type="dxa"/>
          </w:tcPr>
          <w:p w:rsidR="004448BD" w:rsidRDefault="004448BD" w:rsidP="00A15234">
            <w:pPr>
              <w:jc w:val="center"/>
              <w:rPr>
                <w:rFonts w:ascii="Book Antiqua" w:hAnsi="Book Antiqua" w:cs="Arial"/>
                <w:b/>
                <w:caps/>
              </w:rPr>
            </w:pPr>
          </w:p>
        </w:tc>
        <w:tc>
          <w:tcPr>
            <w:tcW w:w="3209" w:type="dxa"/>
          </w:tcPr>
          <w:p w:rsidR="004448BD" w:rsidRDefault="00D279C5" w:rsidP="00A15234">
            <w:pPr>
              <w:jc w:val="center"/>
              <w:rPr>
                <w:rFonts w:ascii="Book Antiqua" w:hAnsi="Book Antiqua" w:cs="Arial"/>
                <w:b/>
                <w:caps/>
              </w:rPr>
            </w:pPr>
            <w:r>
              <w:rPr>
                <w:rFonts w:ascii="Book Antiqua" w:hAnsi="Book Antiqua" w:cs="Arial"/>
                <w:b/>
                <w:caps/>
              </w:rPr>
              <w:t>D B</w:t>
            </w:r>
          </w:p>
        </w:tc>
        <w:tc>
          <w:tcPr>
            <w:tcW w:w="3210" w:type="dxa"/>
          </w:tcPr>
          <w:p w:rsidR="004448BD" w:rsidRDefault="004448BD" w:rsidP="004448BD">
            <w:pPr>
              <w:jc w:val="right"/>
              <w:rPr>
                <w:rFonts w:ascii="Book Antiqua" w:hAnsi="Book Antiqua" w:cs="Arial"/>
                <w:b/>
                <w:caps/>
              </w:rPr>
            </w:pPr>
            <w:r w:rsidRPr="004448BD">
              <w:rPr>
                <w:rFonts w:ascii="Book Antiqua" w:hAnsi="Book Antiqua" w:cs="Arial"/>
                <w:u w:val="single"/>
              </w:rPr>
              <w:t>F</w:t>
            </w:r>
            <w:r>
              <w:rPr>
                <w:rFonts w:ascii="Book Antiqua" w:hAnsi="Book Antiqua" w:cs="Arial"/>
                <w:u w:val="single"/>
              </w:rPr>
              <w:t xml:space="preserve">ourth </w:t>
            </w:r>
            <w:r w:rsidRPr="004448BD">
              <w:rPr>
                <w:rFonts w:ascii="Book Antiqua" w:hAnsi="Book Antiqua" w:cs="Arial"/>
                <w:u w:val="single"/>
              </w:rPr>
              <w:t>Appellant</w:t>
            </w:r>
          </w:p>
        </w:tc>
      </w:tr>
    </w:tbl>
    <w:p w:rsidR="004448BD" w:rsidRPr="005A6E71" w:rsidRDefault="004448BD" w:rsidP="00A15234">
      <w:pPr>
        <w:jc w:val="center"/>
        <w:rPr>
          <w:rFonts w:ascii="Book Antiqua" w:hAnsi="Book Antiqua" w:cs="Arial"/>
          <w:caps/>
        </w:rPr>
      </w:pPr>
      <w:r w:rsidRPr="005A6E71">
        <w:rPr>
          <w:rFonts w:ascii="Book Antiqua" w:hAnsi="Book Antiqua" w:cs="Arial"/>
        </w:rPr>
        <w:t>(</w:t>
      </w:r>
      <w:r w:rsidR="00007349" w:rsidRPr="005A6E71">
        <w:rPr>
          <w:rFonts w:ascii="Book Antiqua" w:hAnsi="Book Antiqua" w:cs="Arial"/>
        </w:rPr>
        <w:t>ANON</w:t>
      </w:r>
      <w:r w:rsidR="005A6E71" w:rsidRPr="005A6E71">
        <w:rPr>
          <w:rFonts w:ascii="Book Antiqua" w:hAnsi="Book Antiqua" w:cs="Arial"/>
        </w:rPr>
        <w:t>Y</w:t>
      </w:r>
      <w:r w:rsidR="00007349" w:rsidRPr="005A6E71">
        <w:rPr>
          <w:rFonts w:ascii="Book Antiqua" w:hAnsi="Book Antiqua" w:cs="Arial"/>
        </w:rPr>
        <w:t>MITY ORDER MADE</w:t>
      </w:r>
      <w:r w:rsidRPr="005A6E71">
        <w:rPr>
          <w:rFonts w:ascii="Book Antiqua" w:hAnsi="Book Antiqua" w:cs="Arial"/>
        </w:rPr>
        <w:t>)</w:t>
      </w:r>
    </w:p>
    <w:p w:rsidR="004448BD" w:rsidRDefault="004448BD" w:rsidP="00A15234">
      <w:pPr>
        <w:jc w:val="center"/>
        <w:rPr>
          <w:rFonts w:ascii="Book Antiqua" w:hAnsi="Book Antiqua" w:cs="Arial"/>
          <w:b/>
          <w:caps/>
        </w:rPr>
      </w:pP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DD5071" w:rsidRPr="00AC04A0" w:rsidRDefault="004448BD" w:rsidP="00704B61">
      <w:pPr>
        <w:jc w:val="center"/>
        <w:rPr>
          <w:rFonts w:ascii="Book Antiqua" w:hAnsi="Book Antiqua" w:cs="Arial"/>
          <w:b/>
        </w:rPr>
      </w:pPr>
      <w:r w:rsidRPr="004448BD">
        <w:rPr>
          <w:rFonts w:ascii="Book Antiqua" w:hAnsi="Book Antiqua" w:cs="Arial"/>
          <w:b/>
        </w:rPr>
        <w:t>SECRETARY OF STATE FOR THE HOME DEPARTMENT</w:t>
      </w:r>
      <w:r w:rsidRPr="00AC04A0">
        <w:rPr>
          <w:rFonts w:ascii="Book Antiqua" w:hAnsi="Book Antiqua" w:cs="Arial"/>
          <w:b/>
        </w:rPr>
        <w:t xml:space="preserve"> </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DD5071" w:rsidRPr="00AC04A0" w:rsidRDefault="00DD5071" w:rsidP="00DD5071">
      <w:pPr>
        <w:rPr>
          <w:rFonts w:ascii="Book Antiqua" w:hAnsi="Book Antiqua" w:cs="Arial"/>
          <w:u w:val="single"/>
        </w:rPr>
      </w:pPr>
    </w:p>
    <w:p w:rsidR="00DD5071" w:rsidRDefault="00DE7DB7" w:rsidP="00DD5071">
      <w:pPr>
        <w:rPr>
          <w:rFonts w:ascii="Book Antiqua" w:hAnsi="Book Antiqua" w:cs="Arial"/>
          <w:b/>
        </w:rPr>
      </w:pPr>
      <w:r w:rsidRPr="00AC04A0">
        <w:rPr>
          <w:rFonts w:ascii="Book Antiqua" w:hAnsi="Book Antiqua" w:cs="Arial"/>
          <w:b/>
          <w:u w:val="single"/>
        </w:rPr>
        <w:t>Representation</w:t>
      </w:r>
      <w:r w:rsidRPr="00AC04A0">
        <w:rPr>
          <w:rFonts w:ascii="Book Antiqua" w:hAnsi="Book Antiqua" w:cs="Arial"/>
          <w:b/>
        </w:rPr>
        <w:t>:</w:t>
      </w:r>
    </w:p>
    <w:p w:rsidR="005A6E71" w:rsidRPr="00AC04A0" w:rsidRDefault="005A6E71" w:rsidP="00DD5071">
      <w:pPr>
        <w:rPr>
          <w:rFonts w:ascii="Book Antiqua" w:hAnsi="Book Antiqua" w:cs="Arial"/>
        </w:rPr>
      </w:pP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00BF6F20">
        <w:rPr>
          <w:rFonts w:ascii="Book Antiqua" w:hAnsi="Book Antiqua" w:cs="Arial"/>
        </w:rPr>
        <w:t>s</w:t>
      </w:r>
      <w:r w:rsidRPr="00AC04A0">
        <w:rPr>
          <w:rFonts w:ascii="Book Antiqua" w:hAnsi="Book Antiqua" w:cs="Arial"/>
        </w:rPr>
        <w:t>:</w:t>
      </w:r>
      <w:r w:rsidRPr="00AC04A0">
        <w:rPr>
          <w:rFonts w:ascii="Book Antiqua" w:hAnsi="Book Antiqua" w:cs="Arial"/>
        </w:rPr>
        <w:tab/>
      </w:r>
      <w:r w:rsidR="00BF6F20">
        <w:rPr>
          <w:rFonts w:ascii="Book Antiqua" w:hAnsi="Book Antiqua" w:cs="Arial"/>
        </w:rPr>
        <w:t xml:space="preserve">The First Appellant appeared in person and represented </w:t>
      </w:r>
      <w:proofErr w:type="gramStart"/>
      <w:r w:rsidR="00BF6F20">
        <w:rPr>
          <w:rFonts w:ascii="Book Antiqua" w:hAnsi="Book Antiqua" w:cs="Arial"/>
        </w:rPr>
        <w:t>all of</w:t>
      </w:r>
      <w:proofErr w:type="gramEnd"/>
      <w:r w:rsidR="00BF6F20">
        <w:rPr>
          <w:rFonts w:ascii="Book Antiqua" w:hAnsi="Book Antiqua" w:cs="Arial"/>
        </w:rPr>
        <w:t xml:space="preserve"> the </w:t>
      </w:r>
      <w:r w:rsidR="00BF6F20">
        <w:rPr>
          <w:rFonts w:ascii="Book Antiqua" w:hAnsi="Book Antiqua" w:cs="Arial"/>
        </w:rPr>
        <w:tab/>
        <w:t>appellants</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58110F">
        <w:rPr>
          <w:rFonts w:ascii="Book Antiqua" w:hAnsi="Book Antiqua" w:cs="Arial"/>
        </w:rPr>
        <w:t xml:space="preserve">Ms A Everett, </w:t>
      </w:r>
      <w:r w:rsidR="00BF6F20">
        <w:rPr>
          <w:rFonts w:ascii="Book Antiqua" w:hAnsi="Book Antiqua" w:cs="Arial"/>
        </w:rPr>
        <w:t xml:space="preserve">Senior </w:t>
      </w:r>
      <w:r w:rsidR="0058110F">
        <w:rPr>
          <w:rFonts w:ascii="Book Antiqua" w:hAnsi="Book Antiqua" w:cs="Arial"/>
        </w:rPr>
        <w:t>Home Office Presenting Officer</w:t>
      </w:r>
    </w:p>
    <w:p w:rsidR="00DE7DB7" w:rsidRPr="005A6E71" w:rsidRDefault="009F14B8" w:rsidP="00BF6F20">
      <w:pPr>
        <w:tabs>
          <w:tab w:val="left" w:pos="2520"/>
        </w:tabs>
        <w:spacing w:before="100" w:beforeAutospacing="1" w:after="100" w:afterAutospacing="1"/>
        <w:jc w:val="center"/>
        <w:rPr>
          <w:rFonts w:ascii="Book Antiqua" w:hAnsi="Book Antiqua" w:cs="Arial"/>
        </w:rPr>
      </w:pPr>
      <w:r w:rsidRPr="005A6E71">
        <w:rPr>
          <w:rFonts w:ascii="Book Antiqua" w:hAnsi="Book Antiqua" w:cs="Arial"/>
          <w:b/>
          <w:u w:val="single"/>
        </w:rPr>
        <w:t xml:space="preserve">DECISION </w:t>
      </w:r>
      <w:r w:rsidR="00402B9E" w:rsidRPr="005A6E71">
        <w:rPr>
          <w:rFonts w:ascii="Book Antiqua" w:hAnsi="Book Antiqua" w:cs="Arial"/>
          <w:b/>
          <w:u w:val="single"/>
        </w:rPr>
        <w:t>AND REASONS</w:t>
      </w:r>
    </w:p>
    <w:p w:rsidR="00007349" w:rsidRPr="00007349" w:rsidRDefault="00007349" w:rsidP="00007349">
      <w:pPr>
        <w:numPr>
          <w:ilvl w:val="0"/>
          <w:numId w:val="3"/>
        </w:numPr>
        <w:tabs>
          <w:tab w:val="left" w:pos="0"/>
        </w:tabs>
        <w:spacing w:before="120"/>
        <w:jc w:val="both"/>
        <w:rPr>
          <w:rFonts w:ascii="Book Antiqua" w:hAnsi="Book Antiqua" w:cs="Arial"/>
        </w:rPr>
      </w:pPr>
      <w:r w:rsidRPr="00806944">
        <w:rPr>
          <w:rFonts w:ascii="Century Schoolbook" w:hAnsi="Century Schoolbook" w:cs="Arial"/>
        </w:rPr>
        <w:t xml:space="preserve">Pursuant to rule 14 of the Tribunal Procedure (Upper Tribunal) Rules 2008 I make an order prohibiting the disclosure or publication of any matter likely to lead members of the public to identify the </w:t>
      </w:r>
      <w:r>
        <w:rPr>
          <w:rFonts w:ascii="Century Schoolbook" w:hAnsi="Century Schoolbook" w:cs="Arial"/>
        </w:rPr>
        <w:t>Appellants.</w:t>
      </w:r>
      <w:r w:rsidRPr="00806944">
        <w:rPr>
          <w:rFonts w:ascii="Century Schoolbook" w:hAnsi="Century Schoolbook" w:cs="Arial"/>
        </w:rPr>
        <w:t xml:space="preserve"> Breach of this order can be punished as a contempt of court. I make this order because</w:t>
      </w:r>
      <w:r>
        <w:rPr>
          <w:rFonts w:ascii="Century Schoolbook" w:hAnsi="Century Schoolbook" w:cs="Arial"/>
        </w:rPr>
        <w:t xml:space="preserve"> the second and third appellants are minors and publicity that identified them might bring them harm.</w:t>
      </w:r>
    </w:p>
    <w:p w:rsidR="00007349" w:rsidRDefault="0058110F" w:rsidP="00007349">
      <w:pPr>
        <w:numPr>
          <w:ilvl w:val="0"/>
          <w:numId w:val="3"/>
        </w:numPr>
        <w:tabs>
          <w:tab w:val="left" w:pos="0"/>
        </w:tabs>
        <w:spacing w:before="120"/>
        <w:jc w:val="both"/>
        <w:rPr>
          <w:rFonts w:ascii="Book Antiqua" w:hAnsi="Book Antiqua" w:cs="Arial"/>
        </w:rPr>
      </w:pPr>
      <w:r w:rsidRPr="00007349">
        <w:rPr>
          <w:rFonts w:ascii="Book Antiqua" w:hAnsi="Book Antiqua" w:cs="Arial"/>
        </w:rPr>
        <w:lastRenderedPageBreak/>
        <w:t xml:space="preserve">This is an appeal by </w:t>
      </w:r>
      <w:r w:rsidR="00C20324" w:rsidRPr="00007349">
        <w:rPr>
          <w:rFonts w:ascii="Book Antiqua" w:hAnsi="Book Antiqua" w:cs="Arial"/>
        </w:rPr>
        <w:t xml:space="preserve">members of </w:t>
      </w:r>
      <w:r w:rsidRPr="00007349">
        <w:rPr>
          <w:rFonts w:ascii="Book Antiqua" w:hAnsi="Book Antiqua" w:cs="Arial"/>
        </w:rPr>
        <w:t>a family originally from Pakistan against a decision of the First-tier Tribunal dismissing their appeal against the decision of the Secretary of State to allow them permission to remain on human rights grounds.</w:t>
      </w:r>
    </w:p>
    <w:p w:rsidR="00007349" w:rsidRDefault="0058110F" w:rsidP="00007349">
      <w:pPr>
        <w:numPr>
          <w:ilvl w:val="0"/>
          <w:numId w:val="3"/>
        </w:numPr>
        <w:tabs>
          <w:tab w:val="left" w:pos="0"/>
        </w:tabs>
        <w:spacing w:before="120"/>
        <w:jc w:val="both"/>
        <w:rPr>
          <w:rFonts w:ascii="Book Antiqua" w:hAnsi="Book Antiqua" w:cs="Arial"/>
        </w:rPr>
      </w:pPr>
      <w:r w:rsidRPr="00007349">
        <w:rPr>
          <w:rFonts w:ascii="Book Antiqua" w:hAnsi="Book Antiqua" w:cs="Arial"/>
        </w:rPr>
        <w:t>The first appellant appeared before me today</w:t>
      </w:r>
      <w:r w:rsidR="0043468A" w:rsidRPr="00007349">
        <w:rPr>
          <w:rFonts w:ascii="Book Antiqua" w:hAnsi="Book Antiqua" w:cs="Arial"/>
        </w:rPr>
        <w:t>. S</w:t>
      </w:r>
      <w:r w:rsidRPr="00007349">
        <w:rPr>
          <w:rFonts w:ascii="Book Antiqua" w:hAnsi="Book Antiqua" w:cs="Arial"/>
        </w:rPr>
        <w:t>he was not represented</w:t>
      </w:r>
      <w:r w:rsidR="0043468A" w:rsidRPr="00007349">
        <w:rPr>
          <w:rFonts w:ascii="Book Antiqua" w:hAnsi="Book Antiqua" w:cs="Arial"/>
        </w:rPr>
        <w:t>. S</w:t>
      </w:r>
      <w:r w:rsidRPr="00007349">
        <w:rPr>
          <w:rFonts w:ascii="Book Antiqua" w:hAnsi="Book Antiqua" w:cs="Arial"/>
        </w:rPr>
        <w:t>he explained that the firm of solicitors that she had instructed had been the subject of intervention and she was told about th</w:t>
      </w:r>
      <w:r w:rsidR="0043468A" w:rsidRPr="00007349">
        <w:rPr>
          <w:rFonts w:ascii="Book Antiqua" w:hAnsi="Book Antiqua" w:cs="Arial"/>
        </w:rPr>
        <w:t xml:space="preserve">e intervention </w:t>
      </w:r>
      <w:r w:rsidRPr="00007349">
        <w:rPr>
          <w:rFonts w:ascii="Book Antiqua" w:hAnsi="Book Antiqua" w:cs="Arial"/>
        </w:rPr>
        <w:t xml:space="preserve">at about the same time as </w:t>
      </w:r>
      <w:r w:rsidR="0043468A" w:rsidRPr="00007349">
        <w:rPr>
          <w:rFonts w:ascii="Book Antiqua" w:hAnsi="Book Antiqua" w:cs="Arial"/>
        </w:rPr>
        <w:t>s</w:t>
      </w:r>
      <w:r w:rsidRPr="00007349">
        <w:rPr>
          <w:rFonts w:ascii="Book Antiqua" w:hAnsi="Book Antiqua" w:cs="Arial"/>
        </w:rPr>
        <w:t>he</w:t>
      </w:r>
      <w:r w:rsidR="0043468A" w:rsidRPr="00007349">
        <w:rPr>
          <w:rFonts w:ascii="Book Antiqua" w:hAnsi="Book Antiqua" w:cs="Arial"/>
        </w:rPr>
        <w:t xml:space="preserve"> received </w:t>
      </w:r>
      <w:r w:rsidRPr="00007349">
        <w:rPr>
          <w:rFonts w:ascii="Book Antiqua" w:hAnsi="Book Antiqua" w:cs="Arial"/>
        </w:rPr>
        <w:t xml:space="preserve">notice of </w:t>
      </w:r>
      <w:r w:rsidR="0043468A" w:rsidRPr="00007349">
        <w:rPr>
          <w:rFonts w:ascii="Book Antiqua" w:hAnsi="Book Antiqua" w:cs="Arial"/>
        </w:rPr>
        <w:t xml:space="preserve">the </w:t>
      </w:r>
      <w:r w:rsidRPr="00007349">
        <w:rPr>
          <w:rFonts w:ascii="Book Antiqua" w:hAnsi="Book Antiqua" w:cs="Arial"/>
        </w:rPr>
        <w:t>hearing</w:t>
      </w:r>
      <w:r w:rsidR="0043468A" w:rsidRPr="00007349">
        <w:rPr>
          <w:rFonts w:ascii="Book Antiqua" w:hAnsi="Book Antiqua" w:cs="Arial"/>
        </w:rPr>
        <w:t xml:space="preserve"> in the Upper Tribunal, that is </w:t>
      </w:r>
      <w:r w:rsidRPr="00007349">
        <w:rPr>
          <w:rFonts w:ascii="Book Antiqua" w:hAnsi="Book Antiqua" w:cs="Arial"/>
        </w:rPr>
        <w:t>about a month ago</w:t>
      </w:r>
      <w:r w:rsidR="0043468A" w:rsidRPr="00007349">
        <w:rPr>
          <w:rFonts w:ascii="Book Antiqua" w:hAnsi="Book Antiqua" w:cs="Arial"/>
        </w:rPr>
        <w:t>. S</w:t>
      </w:r>
      <w:r w:rsidRPr="00007349">
        <w:rPr>
          <w:rFonts w:ascii="Book Antiqua" w:hAnsi="Book Antiqua" w:cs="Arial"/>
        </w:rPr>
        <w:t>he had not been able to instruct</w:t>
      </w:r>
      <w:r w:rsidR="00EB1617" w:rsidRPr="00007349">
        <w:rPr>
          <w:rFonts w:ascii="Book Antiqua" w:hAnsi="Book Antiqua" w:cs="Arial"/>
        </w:rPr>
        <w:t xml:space="preserve"> alternative</w:t>
      </w:r>
      <w:r w:rsidRPr="00007349">
        <w:rPr>
          <w:rFonts w:ascii="Book Antiqua" w:hAnsi="Book Antiqua" w:cs="Arial"/>
        </w:rPr>
        <w:t xml:space="preserve"> solicitors because the interveners had not been able to find her file.  I accept that</w:t>
      </w:r>
      <w:r w:rsidR="0043468A" w:rsidRPr="00007349">
        <w:rPr>
          <w:rFonts w:ascii="Book Antiqua" w:hAnsi="Book Antiqua" w:cs="Arial"/>
        </w:rPr>
        <w:t>. T</w:t>
      </w:r>
      <w:r w:rsidRPr="00007349">
        <w:rPr>
          <w:rFonts w:ascii="Book Antiqua" w:hAnsi="Book Antiqua" w:cs="Arial"/>
        </w:rPr>
        <w:t xml:space="preserve">hat is the sort of thing that happens when there is an intervention and although it might have been helpful to have made an application in writing before </w:t>
      </w:r>
      <w:r w:rsidR="0043468A" w:rsidRPr="00007349">
        <w:rPr>
          <w:rFonts w:ascii="Book Antiqua" w:hAnsi="Book Antiqua" w:cs="Arial"/>
        </w:rPr>
        <w:t xml:space="preserve">the hearing </w:t>
      </w:r>
      <w:r w:rsidRPr="00007349">
        <w:rPr>
          <w:rFonts w:ascii="Book Antiqua" w:hAnsi="Book Antiqua" w:cs="Arial"/>
        </w:rPr>
        <w:t>I certainly do not criticise a litigant in person</w:t>
      </w:r>
      <w:r w:rsidR="0043468A" w:rsidRPr="00007349">
        <w:rPr>
          <w:rFonts w:ascii="Book Antiqua" w:hAnsi="Book Antiqua" w:cs="Arial"/>
        </w:rPr>
        <w:t>,</w:t>
      </w:r>
      <w:r w:rsidRPr="00007349">
        <w:rPr>
          <w:rFonts w:ascii="Book Antiqua" w:hAnsi="Book Antiqua" w:cs="Arial"/>
        </w:rPr>
        <w:t xml:space="preserve"> which the appellant now is</w:t>
      </w:r>
      <w:r w:rsidR="0043468A" w:rsidRPr="00007349">
        <w:rPr>
          <w:rFonts w:ascii="Book Antiqua" w:hAnsi="Book Antiqua" w:cs="Arial"/>
        </w:rPr>
        <w:t>,</w:t>
      </w:r>
      <w:r w:rsidRPr="00007349">
        <w:rPr>
          <w:rFonts w:ascii="Book Antiqua" w:hAnsi="Book Antiqua" w:cs="Arial"/>
        </w:rPr>
        <w:t xml:space="preserve"> for not understanding about that.</w:t>
      </w:r>
    </w:p>
    <w:p w:rsidR="00007349" w:rsidRDefault="0058110F" w:rsidP="00007349">
      <w:pPr>
        <w:numPr>
          <w:ilvl w:val="0"/>
          <w:numId w:val="3"/>
        </w:numPr>
        <w:tabs>
          <w:tab w:val="left" w:pos="0"/>
        </w:tabs>
        <w:spacing w:before="120"/>
        <w:jc w:val="both"/>
        <w:rPr>
          <w:rFonts w:ascii="Book Antiqua" w:hAnsi="Book Antiqua" w:cs="Arial"/>
        </w:rPr>
      </w:pPr>
      <w:r w:rsidRPr="00007349">
        <w:rPr>
          <w:rFonts w:ascii="Book Antiqua" w:hAnsi="Book Antiqua" w:cs="Arial"/>
        </w:rPr>
        <w:t>I discussed the case carefully with Ms Everett and reflected on it.  I decided to refuse the application because I think this is a strong appeal and I intend to allow it and these are my reasons</w:t>
      </w:r>
      <w:r w:rsidR="00007349">
        <w:rPr>
          <w:rFonts w:ascii="Book Antiqua" w:hAnsi="Book Antiqua" w:cs="Arial"/>
        </w:rPr>
        <w:t>.</w:t>
      </w:r>
    </w:p>
    <w:p w:rsidR="00007349" w:rsidRDefault="0058110F" w:rsidP="00007349">
      <w:pPr>
        <w:numPr>
          <w:ilvl w:val="0"/>
          <w:numId w:val="3"/>
        </w:numPr>
        <w:tabs>
          <w:tab w:val="left" w:pos="0"/>
        </w:tabs>
        <w:spacing w:before="120"/>
        <w:jc w:val="both"/>
        <w:rPr>
          <w:rFonts w:ascii="Book Antiqua" w:hAnsi="Book Antiqua" w:cs="Arial"/>
        </w:rPr>
      </w:pPr>
      <w:r w:rsidRPr="00007349">
        <w:rPr>
          <w:rFonts w:ascii="Book Antiqua" w:hAnsi="Book Antiqua" w:cs="Arial"/>
        </w:rPr>
        <w:t xml:space="preserve">The </w:t>
      </w:r>
      <w:r w:rsidR="0043468A" w:rsidRPr="00007349">
        <w:rPr>
          <w:rFonts w:ascii="Book Antiqua" w:hAnsi="Book Antiqua" w:cs="Arial"/>
        </w:rPr>
        <w:t xml:space="preserve">first and second </w:t>
      </w:r>
      <w:r w:rsidR="008D76A5" w:rsidRPr="00007349">
        <w:rPr>
          <w:rFonts w:ascii="Book Antiqua" w:hAnsi="Book Antiqua" w:cs="Arial"/>
        </w:rPr>
        <w:t xml:space="preserve">appellants are married to each other and </w:t>
      </w:r>
      <w:r w:rsidR="0043468A" w:rsidRPr="00007349">
        <w:rPr>
          <w:rFonts w:ascii="Book Antiqua" w:hAnsi="Book Antiqua" w:cs="Arial"/>
        </w:rPr>
        <w:t xml:space="preserve">the second and third appellants are two of their three children. They </w:t>
      </w:r>
      <w:r w:rsidR="008D76A5" w:rsidRPr="00007349">
        <w:rPr>
          <w:rFonts w:ascii="Book Antiqua" w:hAnsi="Book Antiqua" w:cs="Arial"/>
        </w:rPr>
        <w:t xml:space="preserve">have been in the United Kingdom </w:t>
      </w:r>
      <w:r w:rsidR="0043468A" w:rsidRPr="00007349">
        <w:rPr>
          <w:rFonts w:ascii="Book Antiqua" w:hAnsi="Book Antiqua" w:cs="Arial"/>
        </w:rPr>
        <w:t>since March 2010.</w:t>
      </w:r>
      <w:r w:rsidR="008D76A5" w:rsidRPr="00007349">
        <w:rPr>
          <w:rFonts w:ascii="Book Antiqua" w:hAnsi="Book Antiqua" w:cs="Arial"/>
        </w:rPr>
        <w:t xml:space="preserve">  Their leave was extended and then curtailed to end in February 2015</w:t>
      </w:r>
      <w:r w:rsidR="0043468A" w:rsidRPr="00007349">
        <w:rPr>
          <w:rFonts w:ascii="Book Antiqua" w:hAnsi="Book Antiqua" w:cs="Arial"/>
        </w:rPr>
        <w:t>,</w:t>
      </w:r>
      <w:r w:rsidR="008D76A5" w:rsidRPr="00007349">
        <w:rPr>
          <w:rFonts w:ascii="Book Antiqua" w:hAnsi="Book Antiqua" w:cs="Arial"/>
        </w:rPr>
        <w:t xml:space="preserve"> not very long before it would have ended </w:t>
      </w:r>
      <w:r w:rsidR="0043468A" w:rsidRPr="00007349">
        <w:rPr>
          <w:rFonts w:ascii="Book Antiqua" w:hAnsi="Book Antiqua" w:cs="Arial"/>
        </w:rPr>
        <w:t>had it not been curtailed</w:t>
      </w:r>
      <w:r w:rsidR="008D76A5" w:rsidRPr="00007349">
        <w:rPr>
          <w:rFonts w:ascii="Book Antiqua" w:hAnsi="Book Antiqua" w:cs="Arial"/>
        </w:rPr>
        <w:t>.  They applied for leave to remain on human rights grounds and the application was refused and was the subject of an appeal.</w:t>
      </w:r>
    </w:p>
    <w:p w:rsidR="00007349" w:rsidRDefault="008D76A5" w:rsidP="00007349">
      <w:pPr>
        <w:numPr>
          <w:ilvl w:val="0"/>
          <w:numId w:val="3"/>
        </w:numPr>
        <w:tabs>
          <w:tab w:val="left" w:pos="0"/>
        </w:tabs>
        <w:spacing w:before="120"/>
        <w:jc w:val="both"/>
        <w:rPr>
          <w:rFonts w:ascii="Book Antiqua" w:hAnsi="Book Antiqua" w:cs="Arial"/>
        </w:rPr>
      </w:pPr>
      <w:r w:rsidRPr="00007349">
        <w:rPr>
          <w:rFonts w:ascii="Book Antiqua" w:hAnsi="Book Antiqua" w:cs="Arial"/>
        </w:rPr>
        <w:t>As far as I am concerned the first appellant and second appellants have no case whatsoever</w:t>
      </w:r>
      <w:r w:rsidR="0043468A" w:rsidRPr="00007349">
        <w:rPr>
          <w:rFonts w:ascii="Book Antiqua" w:hAnsi="Book Antiqua" w:cs="Arial"/>
        </w:rPr>
        <w:t>.</w:t>
      </w:r>
      <w:r w:rsidRPr="00007349">
        <w:rPr>
          <w:rFonts w:ascii="Book Antiqua" w:hAnsi="Book Antiqua" w:cs="Arial"/>
        </w:rPr>
        <w:t xml:space="preserve"> </w:t>
      </w:r>
      <w:r w:rsidR="0043468A" w:rsidRPr="00007349">
        <w:rPr>
          <w:rFonts w:ascii="Book Antiqua" w:hAnsi="Book Antiqua" w:cs="Arial"/>
        </w:rPr>
        <w:t>T</w:t>
      </w:r>
      <w:r w:rsidRPr="00007349">
        <w:rPr>
          <w:rFonts w:ascii="Book Antiqua" w:hAnsi="Book Antiqua" w:cs="Arial"/>
        </w:rPr>
        <w:t>hey came to the United Kingdom for a particular purpose, that purpose has come to an end and they should expect to leave.  Where I find the judge has erred is by forgetting to concentrate on the rights of the children who also are appellants in separate appeals.  The judge recognises this</w:t>
      </w:r>
      <w:r w:rsidR="0043468A" w:rsidRPr="00007349">
        <w:rPr>
          <w:rFonts w:ascii="Book Antiqua" w:hAnsi="Book Antiqua" w:cs="Arial"/>
        </w:rPr>
        <w:t xml:space="preserve"> and has noted the a</w:t>
      </w:r>
      <w:r w:rsidRPr="00007349">
        <w:rPr>
          <w:rFonts w:ascii="Book Antiqua" w:hAnsi="Book Antiqua" w:cs="Arial"/>
        </w:rPr>
        <w:t>ppeal numbers</w:t>
      </w:r>
      <w:r w:rsidR="0043468A" w:rsidRPr="00007349">
        <w:rPr>
          <w:rFonts w:ascii="Book Antiqua" w:hAnsi="Book Antiqua" w:cs="Arial"/>
        </w:rPr>
        <w:t>.</w:t>
      </w:r>
    </w:p>
    <w:p w:rsidR="00007349" w:rsidRDefault="0043468A" w:rsidP="00007349">
      <w:pPr>
        <w:numPr>
          <w:ilvl w:val="0"/>
          <w:numId w:val="3"/>
        </w:numPr>
        <w:tabs>
          <w:tab w:val="left" w:pos="0"/>
        </w:tabs>
        <w:spacing w:before="120"/>
        <w:jc w:val="both"/>
        <w:rPr>
          <w:rFonts w:ascii="Book Antiqua" w:hAnsi="Book Antiqua" w:cs="Arial"/>
        </w:rPr>
      </w:pPr>
      <w:r w:rsidRPr="00007349">
        <w:rPr>
          <w:rFonts w:ascii="Book Antiqua" w:hAnsi="Book Antiqua" w:cs="Arial"/>
        </w:rPr>
        <w:t>T</w:t>
      </w:r>
      <w:r w:rsidR="008D76A5" w:rsidRPr="00007349">
        <w:rPr>
          <w:rFonts w:ascii="Book Antiqua" w:hAnsi="Book Antiqua" w:cs="Arial"/>
        </w:rPr>
        <w:t xml:space="preserve">he three children have started to develop strong and private family lives.  The youngest child was born in the United Kingdom but the third and fourth appellants came </w:t>
      </w:r>
      <w:r w:rsidRPr="00007349">
        <w:rPr>
          <w:rFonts w:ascii="Book Antiqua" w:hAnsi="Book Antiqua" w:cs="Arial"/>
        </w:rPr>
        <w:t xml:space="preserve">to the United Kingdom </w:t>
      </w:r>
      <w:r w:rsidR="008D76A5" w:rsidRPr="00007349">
        <w:rPr>
          <w:rFonts w:ascii="Book Antiqua" w:hAnsi="Book Antiqua" w:cs="Arial"/>
        </w:rPr>
        <w:t xml:space="preserve">as small children and have accumulated seven years’ residence when the judge heard the case more now.  </w:t>
      </w:r>
      <w:r w:rsidRPr="00007349">
        <w:rPr>
          <w:rFonts w:ascii="Book Antiqua" w:hAnsi="Book Antiqua" w:cs="Arial"/>
        </w:rPr>
        <w:t>T</w:t>
      </w:r>
      <w:r w:rsidR="008D76A5" w:rsidRPr="00007349">
        <w:rPr>
          <w:rFonts w:ascii="Book Antiqua" w:hAnsi="Book Antiqua" w:cs="Arial"/>
        </w:rPr>
        <w:t xml:space="preserve">hey passed the first stages of infancy </w:t>
      </w:r>
      <w:r w:rsidRPr="00007349">
        <w:rPr>
          <w:rFonts w:ascii="Book Antiqua" w:hAnsi="Book Antiqua" w:cs="Arial"/>
        </w:rPr>
        <w:t xml:space="preserve">and </w:t>
      </w:r>
      <w:r w:rsidR="008D76A5" w:rsidRPr="00007349">
        <w:rPr>
          <w:rFonts w:ascii="Book Antiqua" w:hAnsi="Book Antiqua" w:cs="Arial"/>
        </w:rPr>
        <w:t>the eldest child parti</w:t>
      </w:r>
      <w:r w:rsidR="00A93825" w:rsidRPr="00007349">
        <w:rPr>
          <w:rFonts w:ascii="Book Antiqua" w:hAnsi="Book Antiqua" w:cs="Arial"/>
        </w:rPr>
        <w:t>c</w:t>
      </w:r>
      <w:r w:rsidR="008D76A5" w:rsidRPr="00007349">
        <w:rPr>
          <w:rFonts w:ascii="Book Antiqua" w:hAnsi="Book Antiqua" w:cs="Arial"/>
        </w:rPr>
        <w:t>u</w:t>
      </w:r>
      <w:r w:rsidR="00A93825" w:rsidRPr="00007349">
        <w:rPr>
          <w:rFonts w:ascii="Book Antiqua" w:hAnsi="Book Antiqua" w:cs="Arial"/>
        </w:rPr>
        <w:t>l</w:t>
      </w:r>
      <w:r w:rsidR="008D76A5" w:rsidRPr="00007349">
        <w:rPr>
          <w:rFonts w:ascii="Book Antiqua" w:hAnsi="Book Antiqua" w:cs="Arial"/>
        </w:rPr>
        <w:t>arly was</w:t>
      </w:r>
      <w:r w:rsidRPr="00007349">
        <w:rPr>
          <w:rFonts w:ascii="Book Antiqua" w:hAnsi="Book Antiqua" w:cs="Arial"/>
        </w:rPr>
        <w:t>,</w:t>
      </w:r>
      <w:r w:rsidR="008D76A5" w:rsidRPr="00007349">
        <w:rPr>
          <w:rFonts w:ascii="Book Antiqua" w:hAnsi="Book Antiqua" w:cs="Arial"/>
        </w:rPr>
        <w:t xml:space="preserve"> I think</w:t>
      </w:r>
      <w:r w:rsidRPr="00007349">
        <w:rPr>
          <w:rFonts w:ascii="Book Antiqua" w:hAnsi="Book Antiqua" w:cs="Arial"/>
        </w:rPr>
        <w:t>,</w:t>
      </w:r>
      <w:r w:rsidR="008D76A5" w:rsidRPr="00007349">
        <w:rPr>
          <w:rFonts w:ascii="Book Antiqua" w:hAnsi="Book Antiqua" w:cs="Arial"/>
        </w:rPr>
        <w:t xml:space="preserve"> 13 years old and had clearly accumulated a significant private and family life of his own.</w:t>
      </w:r>
    </w:p>
    <w:p w:rsidR="00007349" w:rsidRDefault="008D76A5" w:rsidP="00007349">
      <w:pPr>
        <w:numPr>
          <w:ilvl w:val="0"/>
          <w:numId w:val="3"/>
        </w:numPr>
        <w:tabs>
          <w:tab w:val="left" w:pos="0"/>
        </w:tabs>
        <w:spacing w:before="120"/>
        <w:jc w:val="both"/>
        <w:rPr>
          <w:rFonts w:ascii="Book Antiqua" w:hAnsi="Book Antiqua" w:cs="Arial"/>
        </w:rPr>
      </w:pPr>
      <w:r w:rsidRPr="00007349">
        <w:rPr>
          <w:rFonts w:ascii="Book Antiqua" w:hAnsi="Book Antiqua" w:cs="Arial"/>
        </w:rPr>
        <w:t xml:space="preserve">It is important to remember that we have guidance from the Court of Appeal on the proper approach to take here and in the case of </w:t>
      </w:r>
      <w:r w:rsidRPr="00007349">
        <w:rPr>
          <w:rFonts w:ascii="Book Antiqua" w:hAnsi="Book Antiqua" w:cs="Arial"/>
          <w:b/>
          <w:u w:val="single"/>
        </w:rPr>
        <w:t>MA (Pakistan) and Others</w:t>
      </w:r>
      <w:r w:rsidRPr="00007349">
        <w:rPr>
          <w:rFonts w:ascii="Book Antiqua" w:hAnsi="Book Antiqua" w:cs="Arial"/>
        </w:rPr>
        <w:t xml:space="preserve"> </w:t>
      </w:r>
      <w:r w:rsidR="0043468A" w:rsidRPr="00007349">
        <w:rPr>
          <w:rFonts w:ascii="Book Antiqua" w:hAnsi="Book Antiqua" w:cs="Arial"/>
        </w:rPr>
        <w:t xml:space="preserve">[2016] EWCA Civ 705 </w:t>
      </w:r>
      <w:r w:rsidRPr="00007349">
        <w:rPr>
          <w:rFonts w:ascii="Book Antiqua" w:hAnsi="Book Antiqua" w:cs="Arial"/>
        </w:rPr>
        <w:t>it was affirmed that there needs to be strong reasons for refusing leave</w:t>
      </w:r>
      <w:r w:rsidR="0043468A" w:rsidRPr="00007349">
        <w:rPr>
          <w:rFonts w:ascii="Book Antiqua" w:hAnsi="Book Antiqua" w:cs="Arial"/>
        </w:rPr>
        <w:t>. S</w:t>
      </w:r>
      <w:r w:rsidRPr="00007349">
        <w:rPr>
          <w:rFonts w:ascii="Book Antiqua" w:hAnsi="Book Antiqua" w:cs="Arial"/>
        </w:rPr>
        <w:t>trong reasons can include discreditable behaviour by the parents, at least as the law is presently, but this is not that kind of case</w:t>
      </w:r>
      <w:r w:rsidR="0043468A" w:rsidRPr="00007349">
        <w:rPr>
          <w:rFonts w:ascii="Book Antiqua" w:hAnsi="Book Antiqua" w:cs="Arial"/>
        </w:rPr>
        <w:t xml:space="preserve">. The parents </w:t>
      </w:r>
      <w:r w:rsidRPr="00007349">
        <w:rPr>
          <w:rFonts w:ascii="Book Antiqua" w:hAnsi="Book Antiqua" w:cs="Arial"/>
        </w:rPr>
        <w:t>are people whose leave came to an end and they asked for an extension in accordance with the law</w:t>
      </w:r>
      <w:r w:rsidR="00EB1617" w:rsidRPr="00007349">
        <w:rPr>
          <w:rFonts w:ascii="Book Antiqua" w:hAnsi="Book Antiqua" w:cs="Arial"/>
        </w:rPr>
        <w:t>.  T</w:t>
      </w:r>
      <w:r w:rsidRPr="00007349">
        <w:rPr>
          <w:rFonts w:ascii="Book Antiqua" w:hAnsi="Book Antiqua" w:cs="Arial"/>
        </w:rPr>
        <w:t xml:space="preserve">he </w:t>
      </w:r>
      <w:r w:rsidR="00790544">
        <w:rPr>
          <w:rFonts w:ascii="Book Antiqua" w:hAnsi="Book Antiqua" w:cs="Arial"/>
        </w:rPr>
        <w:t xml:space="preserve">case </w:t>
      </w:r>
      <w:r w:rsidRPr="00007349">
        <w:rPr>
          <w:rFonts w:ascii="Book Antiqua" w:hAnsi="Book Antiqua" w:cs="Arial"/>
        </w:rPr>
        <w:t>has cra</w:t>
      </w:r>
      <w:r w:rsidR="00EB1617" w:rsidRPr="00007349">
        <w:rPr>
          <w:rFonts w:ascii="Book Antiqua" w:hAnsi="Book Antiqua" w:cs="Arial"/>
        </w:rPr>
        <w:t>n</w:t>
      </w:r>
      <w:r w:rsidRPr="00007349">
        <w:rPr>
          <w:rFonts w:ascii="Book Antiqua" w:hAnsi="Book Antiqua" w:cs="Arial"/>
        </w:rPr>
        <w:t xml:space="preserve">ked its way through </w:t>
      </w:r>
      <w:r w:rsidR="00790544">
        <w:rPr>
          <w:rFonts w:ascii="Book Antiqua" w:hAnsi="Book Antiqua" w:cs="Arial"/>
        </w:rPr>
        <w:t xml:space="preserve">the system </w:t>
      </w:r>
      <w:r w:rsidRPr="00007349">
        <w:rPr>
          <w:rFonts w:ascii="Book Antiqua" w:hAnsi="Book Antiqua" w:cs="Arial"/>
        </w:rPr>
        <w:t>rather slowly but that is not anything to do with them</w:t>
      </w:r>
      <w:r w:rsidR="00FC1DF4" w:rsidRPr="00007349">
        <w:rPr>
          <w:rFonts w:ascii="Book Antiqua" w:hAnsi="Book Antiqua" w:cs="Arial"/>
        </w:rPr>
        <w:t>. T</w:t>
      </w:r>
      <w:r w:rsidRPr="00007349">
        <w:rPr>
          <w:rFonts w:ascii="Book Antiqua" w:hAnsi="Book Antiqua" w:cs="Arial"/>
        </w:rPr>
        <w:t>hey have not procrastinated or dallied in any way and I see no detrimental element in this case at all</w:t>
      </w:r>
      <w:r w:rsidR="00790544">
        <w:rPr>
          <w:rFonts w:ascii="Book Antiqua" w:hAnsi="Book Antiqua" w:cs="Arial"/>
        </w:rPr>
        <w:t xml:space="preserve"> beyond </w:t>
      </w:r>
      <w:r w:rsidR="00373453">
        <w:rPr>
          <w:rFonts w:ascii="Book Antiqua" w:hAnsi="Book Antiqua" w:cs="Arial"/>
        </w:rPr>
        <w:t>applying</w:t>
      </w:r>
      <w:r w:rsidR="00E66626">
        <w:rPr>
          <w:rFonts w:ascii="Book Antiqua" w:hAnsi="Book Antiqua" w:cs="Arial"/>
        </w:rPr>
        <w:t xml:space="preserve"> for leave on human rights grounds when no other application could have succeeded</w:t>
      </w:r>
      <w:r w:rsidRPr="00007349">
        <w:rPr>
          <w:rFonts w:ascii="Book Antiqua" w:hAnsi="Book Antiqua" w:cs="Arial"/>
        </w:rPr>
        <w:t>.  There is no</w:t>
      </w:r>
      <w:r w:rsidR="00FC1DF4" w:rsidRPr="00007349">
        <w:rPr>
          <w:rFonts w:ascii="Book Antiqua" w:hAnsi="Book Antiqua" w:cs="Arial"/>
        </w:rPr>
        <w:t>thing in their conduct</w:t>
      </w:r>
      <w:r w:rsidRPr="00007349">
        <w:rPr>
          <w:rFonts w:ascii="Book Antiqua" w:hAnsi="Book Antiqua" w:cs="Arial"/>
        </w:rPr>
        <w:t xml:space="preserve"> point that </w:t>
      </w:r>
      <w:r w:rsidR="009F4FA2">
        <w:rPr>
          <w:rFonts w:ascii="Book Antiqua" w:hAnsi="Book Antiqua" w:cs="Arial"/>
        </w:rPr>
        <w:t>requires their removal.</w:t>
      </w:r>
    </w:p>
    <w:p w:rsidR="00007349" w:rsidRDefault="008D76A5" w:rsidP="00007349">
      <w:pPr>
        <w:numPr>
          <w:ilvl w:val="0"/>
          <w:numId w:val="3"/>
        </w:numPr>
        <w:tabs>
          <w:tab w:val="left" w:pos="0"/>
        </w:tabs>
        <w:spacing w:before="120"/>
        <w:jc w:val="both"/>
        <w:rPr>
          <w:rFonts w:ascii="Book Antiqua" w:hAnsi="Book Antiqua" w:cs="Arial"/>
        </w:rPr>
      </w:pPr>
      <w:r w:rsidRPr="00007349">
        <w:rPr>
          <w:rFonts w:ascii="Book Antiqua" w:hAnsi="Book Antiqua" w:cs="Arial"/>
        </w:rPr>
        <w:lastRenderedPageBreak/>
        <w:t>The judge correctly recognised that she should have been considering Section 117D of the Nationality, Immigration and Asylum Act 2002 and recognised that where there is a genuine and subsisting parental relationship wit</w:t>
      </w:r>
      <w:r w:rsidR="00EB1617" w:rsidRPr="00007349">
        <w:rPr>
          <w:rFonts w:ascii="Book Antiqua" w:hAnsi="Book Antiqua" w:cs="Arial"/>
        </w:rPr>
        <w:t>h a qualifying child and it would</w:t>
      </w:r>
      <w:r w:rsidRPr="00007349">
        <w:rPr>
          <w:rFonts w:ascii="Book Antiqua" w:hAnsi="Book Antiqua" w:cs="Arial"/>
        </w:rPr>
        <w:t xml:space="preserve"> not be reasonable to expect the child to leave the United Kingdom then their appeals should have succeeded</w:t>
      </w:r>
      <w:r w:rsidR="00007349">
        <w:rPr>
          <w:rFonts w:ascii="Book Antiqua" w:hAnsi="Book Antiqua" w:cs="Arial"/>
        </w:rPr>
        <w:t>.</w:t>
      </w:r>
    </w:p>
    <w:p w:rsidR="00007349" w:rsidRDefault="008D76A5" w:rsidP="00007349">
      <w:pPr>
        <w:numPr>
          <w:ilvl w:val="0"/>
          <w:numId w:val="3"/>
        </w:numPr>
        <w:tabs>
          <w:tab w:val="left" w:pos="0"/>
        </w:tabs>
        <w:spacing w:before="120"/>
        <w:jc w:val="both"/>
        <w:rPr>
          <w:rFonts w:ascii="Book Antiqua" w:hAnsi="Book Antiqua" w:cs="Arial"/>
        </w:rPr>
      </w:pPr>
      <w:r w:rsidRPr="00007349">
        <w:rPr>
          <w:rFonts w:ascii="Book Antiqua" w:hAnsi="Book Antiqua" w:cs="Arial"/>
        </w:rPr>
        <w:t xml:space="preserve">The judge took the view it was reasonable to expect the children to leave.  I do not accept she was entitled to take that view.  She has given reasons why they </w:t>
      </w:r>
      <w:r w:rsidR="00FF2D0A" w:rsidRPr="00007349">
        <w:rPr>
          <w:rFonts w:ascii="Book Antiqua" w:hAnsi="Book Antiqua" w:cs="Arial"/>
        </w:rPr>
        <w:t>will cope in Pakistan</w:t>
      </w:r>
      <w:r w:rsidR="00FC1DF4" w:rsidRPr="00007349">
        <w:rPr>
          <w:rFonts w:ascii="Book Antiqua" w:hAnsi="Book Antiqua" w:cs="Arial"/>
        </w:rPr>
        <w:t xml:space="preserve">. </w:t>
      </w:r>
      <w:r w:rsidR="00FF2D0A" w:rsidRPr="00007349">
        <w:rPr>
          <w:rFonts w:ascii="Book Antiqua" w:hAnsi="Book Antiqua" w:cs="Arial"/>
        </w:rPr>
        <w:t>I am sure they would</w:t>
      </w:r>
      <w:r w:rsidR="00FC1DF4" w:rsidRPr="00007349">
        <w:rPr>
          <w:rFonts w:ascii="Book Antiqua" w:hAnsi="Book Antiqua" w:cs="Arial"/>
        </w:rPr>
        <w:t>. T</w:t>
      </w:r>
      <w:r w:rsidR="00FF2D0A" w:rsidRPr="00007349">
        <w:rPr>
          <w:rFonts w:ascii="Book Antiqua" w:hAnsi="Book Antiqua" w:cs="Arial"/>
        </w:rPr>
        <w:t xml:space="preserve">he implication </w:t>
      </w:r>
      <w:r w:rsidR="00FC1DF4" w:rsidRPr="00007349">
        <w:rPr>
          <w:rFonts w:ascii="Book Antiqua" w:hAnsi="Book Antiqua" w:cs="Arial"/>
        </w:rPr>
        <w:t xml:space="preserve">from many strands of evidence </w:t>
      </w:r>
      <w:r w:rsidR="00FF2D0A" w:rsidRPr="00007349">
        <w:rPr>
          <w:rFonts w:ascii="Book Antiqua" w:hAnsi="Book Antiqua" w:cs="Arial"/>
        </w:rPr>
        <w:t>is that this is an educated and industrious family who will care for the</w:t>
      </w:r>
      <w:r w:rsidR="00EB1617" w:rsidRPr="00007349">
        <w:rPr>
          <w:rFonts w:ascii="Book Antiqua" w:hAnsi="Book Antiqua" w:cs="Arial"/>
        </w:rPr>
        <w:t>ir</w:t>
      </w:r>
      <w:r w:rsidR="00FF2D0A" w:rsidRPr="00007349">
        <w:rPr>
          <w:rFonts w:ascii="Book Antiqua" w:hAnsi="Book Antiqua" w:cs="Arial"/>
        </w:rPr>
        <w:t xml:space="preserve"> children in Pakistan as they do in the United Kingdom and no doubt as they would anywhere else in the world but the</w:t>
      </w:r>
      <w:r w:rsidR="00FC1DF4" w:rsidRPr="00007349">
        <w:rPr>
          <w:rFonts w:ascii="Book Antiqua" w:hAnsi="Book Antiqua" w:cs="Arial"/>
        </w:rPr>
        <w:t xml:space="preserve"> children </w:t>
      </w:r>
      <w:r w:rsidR="00FF2D0A" w:rsidRPr="00007349">
        <w:rPr>
          <w:rFonts w:ascii="Book Antiqua" w:hAnsi="Book Antiqua" w:cs="Arial"/>
        </w:rPr>
        <w:t>are of an age when the courts recognise</w:t>
      </w:r>
      <w:r w:rsidR="00FC1DF4" w:rsidRPr="00007349">
        <w:rPr>
          <w:rFonts w:ascii="Book Antiqua" w:hAnsi="Book Antiqua" w:cs="Arial"/>
        </w:rPr>
        <w:t>,</w:t>
      </w:r>
      <w:r w:rsidR="00FF2D0A" w:rsidRPr="00007349">
        <w:rPr>
          <w:rFonts w:ascii="Book Antiqua" w:hAnsi="Book Antiqua" w:cs="Arial"/>
        </w:rPr>
        <w:t xml:space="preserve"> and various policies have recognised</w:t>
      </w:r>
      <w:r w:rsidR="00FC1DF4" w:rsidRPr="00007349">
        <w:rPr>
          <w:rFonts w:ascii="Book Antiqua" w:hAnsi="Book Antiqua" w:cs="Arial"/>
        </w:rPr>
        <w:t>,</w:t>
      </w:r>
      <w:r w:rsidR="00FF2D0A" w:rsidRPr="00007349">
        <w:rPr>
          <w:rFonts w:ascii="Book Antiqua" w:hAnsi="Book Antiqua" w:cs="Arial"/>
        </w:rPr>
        <w:t xml:space="preserve"> that they have rights of their own and rights that should not be interfered with lightly.</w:t>
      </w:r>
    </w:p>
    <w:p w:rsidR="00007349" w:rsidRDefault="00FF2D0A" w:rsidP="00007349">
      <w:pPr>
        <w:numPr>
          <w:ilvl w:val="0"/>
          <w:numId w:val="3"/>
        </w:numPr>
        <w:tabs>
          <w:tab w:val="left" w:pos="0"/>
        </w:tabs>
        <w:spacing w:before="120"/>
        <w:jc w:val="both"/>
        <w:rPr>
          <w:rFonts w:ascii="Book Antiqua" w:hAnsi="Book Antiqua" w:cs="Arial"/>
        </w:rPr>
      </w:pPr>
      <w:r w:rsidRPr="00007349">
        <w:rPr>
          <w:rFonts w:ascii="Book Antiqua" w:hAnsi="Book Antiqua" w:cs="Arial"/>
        </w:rPr>
        <w:t>There are aspects of the decision that concern me.</w:t>
      </w:r>
    </w:p>
    <w:p w:rsidR="00007349" w:rsidRDefault="00FF2D0A" w:rsidP="00007349">
      <w:pPr>
        <w:numPr>
          <w:ilvl w:val="0"/>
          <w:numId w:val="3"/>
        </w:numPr>
        <w:tabs>
          <w:tab w:val="left" w:pos="0"/>
        </w:tabs>
        <w:spacing w:before="120"/>
        <w:jc w:val="both"/>
        <w:rPr>
          <w:rFonts w:ascii="Book Antiqua" w:hAnsi="Book Antiqua" w:cs="Arial"/>
        </w:rPr>
      </w:pPr>
      <w:r w:rsidRPr="00007349">
        <w:rPr>
          <w:rFonts w:ascii="Book Antiqua" w:hAnsi="Book Antiqua" w:cs="Arial"/>
        </w:rPr>
        <w:t>The judge comment</w:t>
      </w:r>
      <w:r w:rsidR="00FC1DF4" w:rsidRPr="00007349">
        <w:rPr>
          <w:rFonts w:ascii="Book Antiqua" w:hAnsi="Book Antiqua" w:cs="Arial"/>
        </w:rPr>
        <w:t xml:space="preserve">ed </w:t>
      </w:r>
      <w:r w:rsidRPr="00007349">
        <w:rPr>
          <w:rFonts w:ascii="Book Antiqua" w:hAnsi="Book Antiqua" w:cs="Arial"/>
        </w:rPr>
        <w:t>adversely on the appellants using the school system and the resources of the National Health Service but that is not to their discredit</w:t>
      </w:r>
      <w:r w:rsidR="00007349" w:rsidRPr="00007349">
        <w:rPr>
          <w:rFonts w:ascii="Book Antiqua" w:hAnsi="Book Antiqua" w:cs="Arial"/>
        </w:rPr>
        <w:t xml:space="preserve"> T</w:t>
      </w:r>
      <w:r w:rsidRPr="00007349">
        <w:rPr>
          <w:rFonts w:ascii="Book Antiqua" w:hAnsi="Book Antiqua" w:cs="Arial"/>
        </w:rPr>
        <w:t>here is no suggestion they d</w:t>
      </w:r>
      <w:r w:rsidR="00007349" w:rsidRPr="00007349">
        <w:rPr>
          <w:rFonts w:ascii="Book Antiqua" w:hAnsi="Book Antiqua" w:cs="Arial"/>
        </w:rPr>
        <w:t xml:space="preserve">id </w:t>
      </w:r>
      <w:r w:rsidRPr="00007349">
        <w:rPr>
          <w:rFonts w:ascii="Book Antiqua" w:hAnsi="Book Antiqua" w:cs="Arial"/>
        </w:rPr>
        <w:t xml:space="preserve">anything other than take advantage of the opportunities that are given to them and indeed if they had </w:t>
      </w:r>
      <w:r w:rsidR="00007349" w:rsidRPr="00007349">
        <w:rPr>
          <w:rFonts w:ascii="Book Antiqua" w:hAnsi="Book Antiqua" w:cs="Arial"/>
        </w:rPr>
        <w:t>mad</w:t>
      </w:r>
      <w:r w:rsidRPr="00007349">
        <w:rPr>
          <w:rFonts w:ascii="Book Antiqua" w:hAnsi="Book Antiqua" w:cs="Arial"/>
        </w:rPr>
        <w:t>e</w:t>
      </w:r>
      <w:r w:rsidR="00007349" w:rsidRPr="00007349">
        <w:rPr>
          <w:rFonts w:ascii="Book Antiqua" w:hAnsi="Book Antiqua" w:cs="Arial"/>
        </w:rPr>
        <w:t xml:space="preserve"> </w:t>
      </w:r>
      <w:r w:rsidRPr="00007349">
        <w:rPr>
          <w:rFonts w:ascii="Book Antiqua" w:hAnsi="Book Antiqua" w:cs="Arial"/>
        </w:rPr>
        <w:t>use of the school system they would probably have been committing criminal offences.</w:t>
      </w:r>
    </w:p>
    <w:p w:rsidR="00007349" w:rsidRDefault="00FF2D0A" w:rsidP="00007349">
      <w:pPr>
        <w:numPr>
          <w:ilvl w:val="0"/>
          <w:numId w:val="3"/>
        </w:numPr>
        <w:tabs>
          <w:tab w:val="left" w:pos="0"/>
        </w:tabs>
        <w:spacing w:before="120"/>
        <w:jc w:val="both"/>
        <w:rPr>
          <w:rFonts w:ascii="Book Antiqua" w:hAnsi="Book Antiqua" w:cs="Arial"/>
        </w:rPr>
      </w:pPr>
      <w:r w:rsidRPr="00007349">
        <w:rPr>
          <w:rFonts w:ascii="Book Antiqua" w:hAnsi="Book Antiqua" w:cs="Arial"/>
        </w:rPr>
        <w:t>The evidence shows that the</w:t>
      </w:r>
      <w:r w:rsidR="00007349" w:rsidRPr="00007349">
        <w:rPr>
          <w:rFonts w:ascii="Book Antiqua" w:hAnsi="Book Antiqua" w:cs="Arial"/>
        </w:rPr>
        <w:t xml:space="preserve"> appellants </w:t>
      </w:r>
      <w:r w:rsidRPr="00007349">
        <w:rPr>
          <w:rFonts w:ascii="Book Antiqua" w:hAnsi="Book Antiqua" w:cs="Arial"/>
        </w:rPr>
        <w:t>are people who can speak English and are willing to work</w:t>
      </w:r>
      <w:r w:rsidR="00007349" w:rsidRPr="00007349">
        <w:rPr>
          <w:rFonts w:ascii="Book Antiqua" w:hAnsi="Book Antiqua" w:cs="Arial"/>
        </w:rPr>
        <w:t>. T</w:t>
      </w:r>
      <w:r w:rsidRPr="00007349">
        <w:rPr>
          <w:rFonts w:ascii="Book Antiqua" w:hAnsi="Book Antiqua" w:cs="Arial"/>
        </w:rPr>
        <w:t xml:space="preserve">here are no adverse factors except that they </w:t>
      </w:r>
      <w:r w:rsidR="00EB1617" w:rsidRPr="00007349">
        <w:rPr>
          <w:rFonts w:ascii="Book Antiqua" w:hAnsi="Book Antiqua" w:cs="Arial"/>
        </w:rPr>
        <w:t xml:space="preserve">have </w:t>
      </w:r>
      <w:r w:rsidRPr="00007349">
        <w:rPr>
          <w:rFonts w:ascii="Book Antiqua" w:hAnsi="Book Antiqua" w:cs="Arial"/>
        </w:rPr>
        <w:t>run out of leave.  In the case of independent adults that is a very significant point.  In the case of children who have accumulated seven years’ residence it is not a significant point</w:t>
      </w:r>
      <w:r w:rsidR="00007349" w:rsidRPr="00007349">
        <w:rPr>
          <w:rFonts w:ascii="Book Antiqua" w:hAnsi="Book Antiqua" w:cs="Arial"/>
        </w:rPr>
        <w:t>. I</w:t>
      </w:r>
      <w:r w:rsidRPr="00007349">
        <w:rPr>
          <w:rFonts w:ascii="Book Antiqua" w:hAnsi="Book Antiqua" w:cs="Arial"/>
        </w:rPr>
        <w:t>n fact it is a point of little value on its own.</w:t>
      </w:r>
    </w:p>
    <w:p w:rsidR="00007349" w:rsidRDefault="00FF2D0A" w:rsidP="00007349">
      <w:pPr>
        <w:numPr>
          <w:ilvl w:val="0"/>
          <w:numId w:val="3"/>
        </w:numPr>
        <w:tabs>
          <w:tab w:val="left" w:pos="0"/>
        </w:tabs>
        <w:spacing w:before="120"/>
        <w:jc w:val="both"/>
        <w:rPr>
          <w:rFonts w:ascii="Book Antiqua" w:hAnsi="Book Antiqua" w:cs="Arial"/>
        </w:rPr>
      </w:pPr>
      <w:r w:rsidRPr="00007349">
        <w:rPr>
          <w:rFonts w:ascii="Book Antiqua" w:hAnsi="Book Antiqua" w:cs="Arial"/>
        </w:rPr>
        <w:t xml:space="preserve">I am satisfied the First-tier Tribunal should not have concluded that it was reasonable to expect the third and fourth appellants to leave the United Kingdom but should have accepted after seven years’ lawful residence </w:t>
      </w:r>
      <w:r w:rsidR="00EB1617" w:rsidRPr="00007349">
        <w:rPr>
          <w:rFonts w:ascii="Book Antiqua" w:hAnsi="Book Antiqua" w:cs="Arial"/>
        </w:rPr>
        <w:t>th</w:t>
      </w:r>
      <w:r w:rsidR="00165C29" w:rsidRPr="00007349">
        <w:rPr>
          <w:rFonts w:ascii="Book Antiqua" w:hAnsi="Book Antiqua" w:cs="Arial"/>
        </w:rPr>
        <w:t>at their ages</w:t>
      </w:r>
      <w:r w:rsidRPr="00007349">
        <w:rPr>
          <w:rFonts w:ascii="Book Antiqua" w:hAnsi="Book Antiqua" w:cs="Arial"/>
        </w:rPr>
        <w:t xml:space="preserve"> </w:t>
      </w:r>
      <w:r w:rsidR="00007349" w:rsidRPr="00007349">
        <w:rPr>
          <w:rFonts w:ascii="Book Antiqua" w:hAnsi="Book Antiqua" w:cs="Arial"/>
        </w:rPr>
        <w:t xml:space="preserve">(the third appellant was born in April 2004 and the fourth appellant in 2006) </w:t>
      </w:r>
      <w:r w:rsidRPr="00007349">
        <w:rPr>
          <w:rFonts w:ascii="Book Antiqua" w:hAnsi="Book Antiqua" w:cs="Arial"/>
        </w:rPr>
        <w:t>that</w:t>
      </w:r>
      <w:r w:rsidR="00EB1617" w:rsidRPr="00007349">
        <w:rPr>
          <w:rFonts w:ascii="Book Antiqua" w:hAnsi="Book Antiqua" w:cs="Arial"/>
        </w:rPr>
        <w:t xml:space="preserve"> </w:t>
      </w:r>
      <w:r w:rsidR="00007349" w:rsidRPr="00007349">
        <w:rPr>
          <w:rFonts w:ascii="Book Antiqua" w:hAnsi="Book Antiqua" w:cs="Arial"/>
        </w:rPr>
        <w:t>i</w:t>
      </w:r>
      <w:r w:rsidR="00EB1617" w:rsidRPr="00007349">
        <w:rPr>
          <w:rFonts w:ascii="Book Antiqua" w:hAnsi="Book Antiqua" w:cs="Arial"/>
        </w:rPr>
        <w:t xml:space="preserve">t was not reasonable </w:t>
      </w:r>
      <w:r w:rsidRPr="00007349">
        <w:rPr>
          <w:rFonts w:ascii="Book Antiqua" w:hAnsi="Book Antiqua" w:cs="Arial"/>
        </w:rPr>
        <w:t>to expect the</w:t>
      </w:r>
      <w:r w:rsidR="00007349" w:rsidRPr="00007349">
        <w:rPr>
          <w:rFonts w:ascii="Book Antiqua" w:hAnsi="Book Antiqua" w:cs="Arial"/>
        </w:rPr>
        <w:t>m to leave the United Kingdom. The</w:t>
      </w:r>
      <w:r w:rsidRPr="00007349">
        <w:rPr>
          <w:rFonts w:ascii="Book Antiqua" w:hAnsi="Book Antiqua" w:cs="Arial"/>
        </w:rPr>
        <w:t>ir appeals should have been allowed and their parents’ appeals allowed consequently and that their younger sibling consequentially</w:t>
      </w:r>
      <w:r w:rsidR="00007349" w:rsidRPr="00007349">
        <w:rPr>
          <w:rFonts w:ascii="Book Antiqua" w:hAnsi="Book Antiqua" w:cs="Arial"/>
        </w:rPr>
        <w:t xml:space="preserve"> allowed to stay.</w:t>
      </w:r>
    </w:p>
    <w:p w:rsidR="00007349" w:rsidRPr="00007349" w:rsidRDefault="00FF2D0A" w:rsidP="00007349">
      <w:pPr>
        <w:numPr>
          <w:ilvl w:val="0"/>
          <w:numId w:val="3"/>
        </w:numPr>
        <w:tabs>
          <w:tab w:val="left" w:pos="0"/>
        </w:tabs>
        <w:spacing w:before="120"/>
        <w:jc w:val="both"/>
        <w:rPr>
          <w:rFonts w:ascii="Book Antiqua" w:hAnsi="Book Antiqua" w:cs="Arial"/>
        </w:rPr>
      </w:pPr>
      <w:r w:rsidRPr="00007349">
        <w:rPr>
          <w:rFonts w:ascii="Book Antiqua" w:hAnsi="Book Antiqua" w:cs="Arial"/>
        </w:rPr>
        <w:t xml:space="preserve">I therefore find the First-tier Tribunal erred in law.  I set aside its decision and I substitute a decision allowing the appeals of </w:t>
      </w:r>
      <w:r w:rsidR="00007349">
        <w:rPr>
          <w:rFonts w:ascii="Book Antiqua" w:hAnsi="Book Antiqua" w:cs="Arial"/>
        </w:rPr>
        <w:t xml:space="preserve">each </w:t>
      </w:r>
      <w:r w:rsidRPr="00007349">
        <w:rPr>
          <w:rFonts w:ascii="Book Antiqua" w:hAnsi="Book Antiqua" w:cs="Arial"/>
        </w:rPr>
        <w:t>of these appellants.</w:t>
      </w:r>
    </w:p>
    <w:p w:rsidR="009F14B8" w:rsidRPr="00007349" w:rsidRDefault="009F14B8" w:rsidP="00007349">
      <w:pPr>
        <w:pStyle w:val="ListParagraph"/>
        <w:tabs>
          <w:tab w:val="left" w:pos="567"/>
        </w:tabs>
        <w:spacing w:before="120"/>
        <w:ind w:left="3"/>
        <w:contextualSpacing w:val="0"/>
        <w:jc w:val="both"/>
        <w:rPr>
          <w:rFonts w:ascii="Book Antiqua" w:hAnsi="Book Antiqua" w:cs="Arial"/>
        </w:rPr>
      </w:pPr>
      <w:r w:rsidRPr="00007349">
        <w:rPr>
          <w:rFonts w:ascii="Book Antiqua" w:hAnsi="Book Antiqua" w:cs="Arial"/>
          <w:b/>
          <w:u w:val="single"/>
        </w:rPr>
        <w:t>Notice of Decision</w:t>
      </w:r>
    </w:p>
    <w:p w:rsidR="00007349" w:rsidRPr="00007349" w:rsidRDefault="00007349" w:rsidP="00007349">
      <w:pPr>
        <w:pStyle w:val="ListParagraph"/>
        <w:tabs>
          <w:tab w:val="left" w:pos="567"/>
        </w:tabs>
        <w:spacing w:before="120"/>
        <w:ind w:left="3"/>
        <w:contextualSpacing w:val="0"/>
        <w:jc w:val="both"/>
        <w:rPr>
          <w:rFonts w:ascii="Book Antiqua" w:hAnsi="Book Antiqua" w:cs="Arial"/>
        </w:rPr>
      </w:pPr>
      <w:r>
        <w:rPr>
          <w:rFonts w:ascii="Book Antiqua" w:hAnsi="Book Antiqua" w:cs="Arial"/>
        </w:rPr>
        <w:t>The appeals are allowed.</w:t>
      </w:r>
    </w:p>
    <w:p w:rsidR="00007349" w:rsidRPr="004E25CA" w:rsidRDefault="00007349" w:rsidP="003B59D7">
      <w:pPr>
        <w:spacing w:before="120"/>
        <w:ind w:left="3"/>
        <w:jc w:val="both"/>
        <w:rPr>
          <w:rFonts w:ascii="Book Antiqua" w:hAnsi="Book Antiqua" w:cs="Arial"/>
        </w:rPr>
      </w:pPr>
    </w:p>
    <w:p w:rsidR="00007349" w:rsidRPr="00132ACD" w:rsidRDefault="00D279C5" w:rsidP="00D279C5">
      <w:pPr>
        <w:tabs>
          <w:tab w:val="left" w:pos="0"/>
          <w:tab w:val="left" w:pos="5184"/>
          <w:tab w:val="left" w:pos="5460"/>
        </w:tabs>
        <w:spacing w:before="120"/>
        <w:jc w:val="both"/>
        <w:rPr>
          <w:rFonts w:ascii="Book Antiqua" w:hAnsi="Book Antiqua" w:cs="Arial"/>
        </w:rPr>
      </w:pPr>
      <w:r>
        <w:rPr>
          <w:rFonts w:ascii="Book Antiqua" w:hAnsi="Book Antiqua" w:cs="Arial"/>
        </w:rPr>
        <w:tab/>
      </w:r>
      <w:r>
        <w:rPr>
          <w:rFonts w:ascii="Book Antiqua" w:hAnsi="Book Antiqua" w:cs="Arial"/>
        </w:rPr>
        <w:tab/>
      </w:r>
    </w:p>
    <w:tbl>
      <w:tblPr>
        <w:tblW w:w="0" w:type="auto"/>
        <w:tblLook w:val="04A0" w:firstRow="1" w:lastRow="0" w:firstColumn="1" w:lastColumn="0" w:noHBand="0" w:noVBand="1"/>
      </w:tblPr>
      <w:tblGrid>
        <w:gridCol w:w="4822"/>
        <w:gridCol w:w="4816"/>
      </w:tblGrid>
      <w:tr w:rsidR="00007349" w:rsidTr="005115E0">
        <w:tc>
          <w:tcPr>
            <w:tcW w:w="4927" w:type="dxa"/>
            <w:shd w:val="clear" w:color="auto" w:fill="auto"/>
          </w:tcPr>
          <w:p w:rsidR="00007349" w:rsidRPr="00DB7BA6" w:rsidRDefault="00007349" w:rsidP="003B59D7">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007349" w:rsidRPr="00DB7BA6" w:rsidRDefault="00007349" w:rsidP="003B59D7">
            <w:pPr>
              <w:tabs>
                <w:tab w:val="left" w:pos="0"/>
              </w:tabs>
              <w:spacing w:before="120"/>
              <w:jc w:val="both"/>
              <w:rPr>
                <w:rFonts w:ascii="Book Antiqua" w:hAnsi="Book Antiqua" w:cs="Arial"/>
              </w:rPr>
            </w:pPr>
            <w:r w:rsidRPr="00007349">
              <w:rPr>
                <w:rFonts w:ascii="Century Schoolbook" w:hAnsi="Century Schoolbook" w:cs="Arial"/>
                <w:b/>
                <w:noProof/>
                <w:color w:val="000000"/>
              </w:rPr>
              <w:drawing>
                <wp:anchor distT="0" distB="0" distL="114300" distR="114300" simplePos="0" relativeHeight="251660800" behindDoc="1" locked="0" layoutInCell="1" allowOverlap="1" wp14:anchorId="1CF8CEE0" wp14:editId="4E5CE2EF">
                  <wp:simplePos x="0" y="0"/>
                  <wp:positionH relativeFrom="column">
                    <wp:posOffset>-985520</wp:posOffset>
                  </wp:positionH>
                  <wp:positionV relativeFrom="paragraph">
                    <wp:posOffset>-561975</wp:posOffset>
                  </wp:positionV>
                  <wp:extent cx="2562225" cy="1097280"/>
                  <wp:effectExtent l="0" t="0" r="952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097280"/>
                          </a:xfrm>
                          <a:prstGeom prst="rect">
                            <a:avLst/>
                          </a:prstGeom>
                          <a:noFill/>
                        </pic:spPr>
                      </pic:pic>
                    </a:graphicData>
                  </a:graphic>
                  <wp14:sizeRelH relativeFrom="page">
                    <wp14:pctWidth>0</wp14:pctWidth>
                  </wp14:sizeRelH>
                  <wp14:sizeRelV relativeFrom="page">
                    <wp14:pctHeight>0</wp14:pctHeight>
                  </wp14:sizeRelV>
                </wp:anchor>
              </w:drawing>
            </w:r>
          </w:p>
        </w:tc>
      </w:tr>
      <w:tr w:rsidR="00007349" w:rsidTr="005115E0">
        <w:tc>
          <w:tcPr>
            <w:tcW w:w="4927" w:type="dxa"/>
            <w:shd w:val="clear" w:color="auto" w:fill="auto"/>
          </w:tcPr>
          <w:p w:rsidR="00007349" w:rsidRPr="00DB7BA6" w:rsidRDefault="00007349" w:rsidP="003B59D7">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rsidR="00007349" w:rsidRPr="00DB7BA6" w:rsidRDefault="00007349" w:rsidP="003B59D7">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7 June 2018</w:t>
            </w:r>
          </w:p>
        </w:tc>
      </w:tr>
    </w:tbl>
    <w:p w:rsidR="00007349" w:rsidRPr="009F14B8" w:rsidRDefault="00007349" w:rsidP="0043468A">
      <w:pPr>
        <w:spacing w:before="120"/>
        <w:jc w:val="both"/>
        <w:rPr>
          <w:rFonts w:ascii="Book Antiqua" w:hAnsi="Book Antiqua" w:cs="Arial"/>
        </w:rPr>
      </w:pPr>
    </w:p>
    <w:sectPr w:rsidR="00007349" w:rsidRPr="009F14B8" w:rsidSect="007C58BC">
      <w:headerReference w:type="default" r:id="rId10"/>
      <w:footerReference w:type="default" r:id="rId11"/>
      <w:footerReference w:type="first" r:id="rId12"/>
      <w:pgSz w:w="11906" w:h="16838"/>
      <w:pgMar w:top="33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1A0" w:rsidRDefault="00D011A0">
      <w:r>
        <w:separator/>
      </w:r>
    </w:p>
  </w:endnote>
  <w:endnote w:type="continuationSeparator" w:id="0">
    <w:p w:rsidR="00D011A0" w:rsidRDefault="00D01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583128"/>
      <w:docPartObj>
        <w:docPartGallery w:val="Page Numbers (Bottom of Page)"/>
        <w:docPartUnique/>
      </w:docPartObj>
    </w:sdtPr>
    <w:sdtEndPr>
      <w:rPr>
        <w:rFonts w:ascii="Book Antiqua" w:hAnsi="Book Antiqua"/>
        <w:noProof/>
      </w:rPr>
    </w:sdtEndPr>
    <w:sdtContent>
      <w:p w:rsidR="00D279C5" w:rsidRPr="005A6E71" w:rsidRDefault="00D279C5">
        <w:pPr>
          <w:pStyle w:val="Footer"/>
          <w:jc w:val="center"/>
          <w:rPr>
            <w:rFonts w:ascii="Book Antiqua" w:hAnsi="Book Antiqua"/>
          </w:rPr>
        </w:pPr>
        <w:r w:rsidRPr="005A6E71">
          <w:rPr>
            <w:rFonts w:ascii="Book Antiqua" w:hAnsi="Book Antiqua"/>
          </w:rPr>
          <w:fldChar w:fldCharType="begin"/>
        </w:r>
        <w:r w:rsidRPr="005A6E71">
          <w:rPr>
            <w:rFonts w:ascii="Book Antiqua" w:hAnsi="Book Antiqua"/>
          </w:rPr>
          <w:instrText xml:space="preserve"> PAGE   \* MERGEFORMAT </w:instrText>
        </w:r>
        <w:r w:rsidRPr="005A6E71">
          <w:rPr>
            <w:rFonts w:ascii="Book Antiqua" w:hAnsi="Book Antiqua"/>
          </w:rPr>
          <w:fldChar w:fldCharType="separate"/>
        </w:r>
        <w:r w:rsidR="00746EFF">
          <w:rPr>
            <w:rFonts w:ascii="Book Antiqua" w:hAnsi="Book Antiqua"/>
            <w:noProof/>
          </w:rPr>
          <w:t>2</w:t>
        </w:r>
        <w:r w:rsidRPr="005A6E71">
          <w:rPr>
            <w:rFonts w:ascii="Book Antiqua" w:hAnsi="Book Antiqua"/>
            <w:noProof/>
          </w:rPr>
          <w:fldChar w:fldCharType="end"/>
        </w:r>
      </w:p>
    </w:sdtContent>
  </w:sdt>
  <w:p w:rsidR="00007349" w:rsidRDefault="00007349" w:rsidP="00D279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C5" w:rsidRPr="00AC04A0" w:rsidRDefault="00D279C5" w:rsidP="00D279C5">
    <w:pPr>
      <w:jc w:val="center"/>
      <w:rPr>
        <w:rFonts w:ascii="Book Antiqua" w:hAnsi="Book Antiqua" w:cs="Arial"/>
        <w:b/>
      </w:rPr>
    </w:pPr>
    <w:r w:rsidRPr="00AC04A0">
      <w:rPr>
        <w:rFonts w:ascii="Book Antiqua" w:hAnsi="Book Antiqua" w:cs="Arial"/>
        <w:b/>
        <w:spacing w:val="-6"/>
      </w:rPr>
      <w:t>©</w:t>
    </w:r>
    <w:r>
      <w:rPr>
        <w:rFonts w:ascii="Book Antiqua" w:hAnsi="Book Antiqua" w:cs="Arial"/>
        <w:b/>
      </w:rPr>
      <w:t xml:space="preserve"> CROWN COPYRIGHT 2018</w:t>
    </w:r>
  </w:p>
  <w:p w:rsidR="00D279C5" w:rsidRDefault="00D27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1A0" w:rsidRDefault="00D011A0">
      <w:r>
        <w:separator/>
      </w:r>
    </w:p>
  </w:footnote>
  <w:footnote w:type="continuationSeparator" w:id="0">
    <w:p w:rsidR="00D011A0" w:rsidRDefault="00D01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4"/>
    </w:tblGrid>
    <w:tr w:rsidR="00062967" w:rsidRPr="00D279C5" w:rsidTr="00C37B39">
      <w:trPr>
        <w:trHeight w:val="1330"/>
      </w:trPr>
      <w:tc>
        <w:tcPr>
          <w:tcW w:w="5421" w:type="dxa"/>
        </w:tcPr>
        <w:p w:rsidR="00062967" w:rsidRPr="00D279C5" w:rsidRDefault="00062967" w:rsidP="00062967">
          <w:pPr>
            <w:tabs>
              <w:tab w:val="right" w:pos="9720"/>
            </w:tabs>
            <w:ind w:right="-82"/>
            <w:jc w:val="right"/>
            <w:rPr>
              <w:rFonts w:ascii="Book Antiqua" w:hAnsi="Book Antiqua" w:cs="Arial"/>
              <w:caps/>
              <w:color w:val="000000"/>
              <w:sz w:val="16"/>
              <w:szCs w:val="16"/>
            </w:rPr>
          </w:pPr>
          <w:r w:rsidRPr="00D279C5">
            <w:rPr>
              <w:rFonts w:ascii="Book Antiqua" w:hAnsi="Book Antiqua" w:cs="Arial"/>
              <w:color w:val="000000"/>
              <w:sz w:val="16"/>
              <w:szCs w:val="16"/>
            </w:rPr>
            <w:t xml:space="preserve">Appeal Numbers: </w:t>
          </w:r>
          <w:r w:rsidRPr="00D279C5">
            <w:rPr>
              <w:rFonts w:ascii="Book Antiqua" w:hAnsi="Book Antiqua" w:cs="Arial"/>
              <w:caps/>
              <w:color w:val="000000"/>
              <w:sz w:val="16"/>
              <w:szCs w:val="16"/>
            </w:rPr>
            <w:t>IA</w:t>
          </w:r>
          <w:r w:rsidR="005A6E71">
            <w:rPr>
              <w:rFonts w:ascii="Book Antiqua" w:hAnsi="Book Antiqua" w:cs="Arial"/>
              <w:caps/>
              <w:color w:val="000000"/>
              <w:sz w:val="16"/>
              <w:szCs w:val="16"/>
            </w:rPr>
            <w:t>/</w:t>
          </w:r>
          <w:r w:rsidRPr="00D279C5">
            <w:rPr>
              <w:rFonts w:ascii="Book Antiqua" w:hAnsi="Book Antiqua" w:cs="Arial"/>
              <w:caps/>
              <w:color w:val="000000"/>
              <w:sz w:val="16"/>
              <w:szCs w:val="16"/>
            </w:rPr>
            <w:t>20786</w:t>
          </w:r>
          <w:r w:rsidR="005A6E71">
            <w:rPr>
              <w:rFonts w:ascii="Book Antiqua" w:hAnsi="Book Antiqua" w:cs="Arial"/>
              <w:caps/>
              <w:color w:val="000000"/>
              <w:sz w:val="16"/>
              <w:szCs w:val="16"/>
            </w:rPr>
            <w:t>/</w:t>
          </w:r>
          <w:r w:rsidRPr="00D279C5">
            <w:rPr>
              <w:rFonts w:ascii="Book Antiqua" w:hAnsi="Book Antiqua" w:cs="Arial"/>
              <w:caps/>
              <w:color w:val="000000"/>
              <w:sz w:val="16"/>
              <w:szCs w:val="16"/>
            </w:rPr>
            <w:t xml:space="preserve">2015 </w:t>
          </w:r>
        </w:p>
        <w:p w:rsidR="00062967" w:rsidRPr="00D279C5" w:rsidRDefault="00062967" w:rsidP="00062967">
          <w:pPr>
            <w:tabs>
              <w:tab w:val="right" w:pos="9720"/>
            </w:tabs>
            <w:ind w:right="-82"/>
            <w:jc w:val="right"/>
            <w:rPr>
              <w:rFonts w:ascii="Book Antiqua" w:hAnsi="Book Antiqua" w:cs="Arial"/>
              <w:caps/>
              <w:color w:val="000000"/>
              <w:sz w:val="16"/>
              <w:szCs w:val="16"/>
            </w:rPr>
          </w:pPr>
          <w:r w:rsidRPr="00D279C5">
            <w:rPr>
              <w:rFonts w:ascii="Book Antiqua" w:hAnsi="Book Antiqua" w:cs="Arial"/>
              <w:caps/>
              <w:color w:val="000000"/>
              <w:sz w:val="16"/>
              <w:szCs w:val="16"/>
            </w:rPr>
            <w:t>IA</w:t>
          </w:r>
          <w:r w:rsidR="005A6E71">
            <w:rPr>
              <w:rFonts w:ascii="Book Antiqua" w:hAnsi="Book Antiqua" w:cs="Arial"/>
              <w:caps/>
              <w:color w:val="000000"/>
              <w:sz w:val="16"/>
              <w:szCs w:val="16"/>
            </w:rPr>
            <w:t>/</w:t>
          </w:r>
          <w:r w:rsidRPr="00D279C5">
            <w:rPr>
              <w:rFonts w:ascii="Book Antiqua" w:hAnsi="Book Antiqua" w:cs="Arial"/>
              <w:caps/>
              <w:color w:val="000000"/>
              <w:sz w:val="16"/>
              <w:szCs w:val="16"/>
            </w:rPr>
            <w:t>2079</w:t>
          </w:r>
          <w:r w:rsidR="00DE4855">
            <w:rPr>
              <w:rFonts w:ascii="Book Antiqua" w:hAnsi="Book Antiqua" w:cs="Arial"/>
              <w:caps/>
              <w:color w:val="000000"/>
              <w:sz w:val="16"/>
              <w:szCs w:val="16"/>
            </w:rPr>
            <w:t>3</w:t>
          </w:r>
          <w:r w:rsidR="005A6E71">
            <w:rPr>
              <w:rFonts w:ascii="Book Antiqua" w:hAnsi="Book Antiqua" w:cs="Arial"/>
              <w:caps/>
              <w:color w:val="000000"/>
              <w:sz w:val="16"/>
              <w:szCs w:val="16"/>
            </w:rPr>
            <w:t>/</w:t>
          </w:r>
          <w:r w:rsidRPr="00D279C5">
            <w:rPr>
              <w:rFonts w:ascii="Book Antiqua" w:hAnsi="Book Antiqua" w:cs="Arial"/>
              <w:caps/>
              <w:color w:val="000000"/>
              <w:sz w:val="16"/>
              <w:szCs w:val="16"/>
            </w:rPr>
            <w:t>2015</w:t>
          </w:r>
        </w:p>
        <w:p w:rsidR="00062967" w:rsidRPr="00D279C5" w:rsidRDefault="00062967" w:rsidP="00062967">
          <w:pPr>
            <w:tabs>
              <w:tab w:val="right" w:pos="9720"/>
            </w:tabs>
            <w:ind w:right="-82"/>
            <w:jc w:val="right"/>
            <w:rPr>
              <w:rFonts w:ascii="Book Antiqua" w:hAnsi="Book Antiqua" w:cs="Arial"/>
              <w:caps/>
              <w:color w:val="000000"/>
              <w:sz w:val="16"/>
              <w:szCs w:val="16"/>
            </w:rPr>
          </w:pPr>
          <w:r w:rsidRPr="00D279C5">
            <w:rPr>
              <w:rFonts w:ascii="Book Antiqua" w:hAnsi="Book Antiqua" w:cs="Arial"/>
              <w:caps/>
              <w:color w:val="000000"/>
              <w:sz w:val="16"/>
              <w:szCs w:val="16"/>
            </w:rPr>
            <w:t xml:space="preserve"> IA</w:t>
          </w:r>
          <w:r w:rsidR="005A6E71">
            <w:rPr>
              <w:rFonts w:ascii="Book Antiqua" w:hAnsi="Book Antiqua" w:cs="Arial"/>
              <w:caps/>
              <w:color w:val="000000"/>
              <w:sz w:val="16"/>
              <w:szCs w:val="16"/>
            </w:rPr>
            <w:t>/</w:t>
          </w:r>
          <w:r w:rsidRPr="00D279C5">
            <w:rPr>
              <w:rFonts w:ascii="Book Antiqua" w:hAnsi="Book Antiqua" w:cs="Arial"/>
              <w:caps/>
              <w:color w:val="000000"/>
              <w:sz w:val="16"/>
              <w:szCs w:val="16"/>
            </w:rPr>
            <w:t>20800</w:t>
          </w:r>
          <w:r w:rsidR="005A6E71">
            <w:rPr>
              <w:rFonts w:ascii="Book Antiqua" w:hAnsi="Book Antiqua" w:cs="Arial"/>
              <w:caps/>
              <w:color w:val="000000"/>
              <w:sz w:val="16"/>
              <w:szCs w:val="16"/>
            </w:rPr>
            <w:t>/</w:t>
          </w:r>
          <w:r w:rsidRPr="00D279C5">
            <w:rPr>
              <w:rFonts w:ascii="Book Antiqua" w:hAnsi="Book Antiqua" w:cs="Arial"/>
              <w:caps/>
              <w:color w:val="000000"/>
              <w:sz w:val="16"/>
              <w:szCs w:val="16"/>
            </w:rPr>
            <w:t>2015</w:t>
          </w:r>
        </w:p>
        <w:p w:rsidR="00062967" w:rsidRDefault="00062967" w:rsidP="00062967">
          <w:pPr>
            <w:tabs>
              <w:tab w:val="right" w:pos="9720"/>
            </w:tabs>
            <w:ind w:right="-82"/>
            <w:jc w:val="right"/>
            <w:rPr>
              <w:rFonts w:ascii="Book Antiqua" w:hAnsi="Book Antiqua" w:cs="Arial"/>
              <w:caps/>
              <w:color w:val="000000"/>
              <w:sz w:val="16"/>
              <w:szCs w:val="16"/>
            </w:rPr>
          </w:pPr>
          <w:r w:rsidRPr="00D279C5">
            <w:rPr>
              <w:rFonts w:ascii="Book Antiqua" w:hAnsi="Book Antiqua" w:cs="Arial"/>
              <w:caps/>
              <w:color w:val="000000"/>
              <w:sz w:val="16"/>
              <w:szCs w:val="16"/>
            </w:rPr>
            <w:t>IA</w:t>
          </w:r>
          <w:r w:rsidR="005A6E71">
            <w:rPr>
              <w:rFonts w:ascii="Book Antiqua" w:hAnsi="Book Antiqua" w:cs="Arial"/>
              <w:caps/>
              <w:color w:val="000000"/>
              <w:sz w:val="16"/>
              <w:szCs w:val="16"/>
            </w:rPr>
            <w:t>/</w:t>
          </w:r>
          <w:r w:rsidRPr="00D279C5">
            <w:rPr>
              <w:rFonts w:ascii="Book Antiqua" w:hAnsi="Book Antiqua" w:cs="Arial"/>
              <w:caps/>
              <w:color w:val="000000"/>
              <w:sz w:val="16"/>
              <w:szCs w:val="16"/>
            </w:rPr>
            <w:t>20804</w:t>
          </w:r>
          <w:r w:rsidR="005A6E71">
            <w:rPr>
              <w:rFonts w:ascii="Book Antiqua" w:hAnsi="Book Antiqua" w:cs="Arial"/>
              <w:caps/>
              <w:color w:val="000000"/>
              <w:sz w:val="16"/>
              <w:szCs w:val="16"/>
            </w:rPr>
            <w:t>/</w:t>
          </w:r>
          <w:r w:rsidRPr="00D279C5">
            <w:rPr>
              <w:rFonts w:ascii="Book Antiqua" w:hAnsi="Book Antiqua" w:cs="Arial"/>
              <w:caps/>
              <w:color w:val="000000"/>
              <w:sz w:val="16"/>
              <w:szCs w:val="16"/>
            </w:rPr>
            <w:t>2015</w:t>
          </w:r>
        </w:p>
        <w:p w:rsidR="00FC691B" w:rsidRPr="00D279C5" w:rsidRDefault="007C58BC" w:rsidP="00062967">
          <w:pPr>
            <w:tabs>
              <w:tab w:val="right" w:pos="9720"/>
            </w:tabs>
            <w:ind w:right="-82"/>
            <w:jc w:val="right"/>
            <w:rPr>
              <w:rFonts w:ascii="Book Antiqua" w:hAnsi="Book Antiqua" w:cs="Arial"/>
              <w:caps/>
              <w:color w:val="000000"/>
              <w:sz w:val="16"/>
              <w:szCs w:val="16"/>
            </w:rPr>
          </w:pPr>
          <w:r>
            <w:rPr>
              <w:rFonts w:ascii="Book Antiqua" w:hAnsi="Book Antiqua" w:cs="Arial"/>
              <w:caps/>
              <w:color w:val="000000"/>
              <w:sz w:val="16"/>
              <w:szCs w:val="16"/>
            </w:rPr>
            <w:t>IA/20805/2015</w:t>
          </w:r>
        </w:p>
        <w:p w:rsidR="00062967" w:rsidRPr="00D279C5" w:rsidRDefault="005A6E71" w:rsidP="00062967">
          <w:pPr>
            <w:tabs>
              <w:tab w:val="right" w:pos="9720"/>
            </w:tabs>
            <w:ind w:right="-82"/>
            <w:jc w:val="right"/>
            <w:rPr>
              <w:rFonts w:ascii="Book Antiqua" w:hAnsi="Book Antiqua" w:cs="Arial"/>
              <w:color w:val="000000"/>
              <w:sz w:val="16"/>
              <w:szCs w:val="16"/>
            </w:rPr>
          </w:pPr>
          <w:r>
            <w:rPr>
              <w:rFonts w:ascii="Book Antiqua" w:hAnsi="Book Antiqua" w:cs="Arial"/>
              <w:caps/>
              <w:color w:val="000000"/>
              <w:sz w:val="16"/>
              <w:szCs w:val="16"/>
            </w:rPr>
            <w:t xml:space="preserve">       </w:t>
          </w:r>
        </w:p>
      </w:tc>
    </w:tr>
  </w:tbl>
  <w:p w:rsidR="00007349" w:rsidRPr="00062967" w:rsidRDefault="00007349" w:rsidP="00062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16B6B"/>
    <w:multiLevelType w:val="hybridMultilevel"/>
    <w:tmpl w:val="4A7A891A"/>
    <w:lvl w:ilvl="0" w:tplc="8160AF66">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 w15:restartNumberingAfterBreak="0">
    <w:nsid w:val="5F9C1D01"/>
    <w:multiLevelType w:val="hybridMultilevel"/>
    <w:tmpl w:val="E9C4B036"/>
    <w:lvl w:ilvl="0" w:tplc="9058ED5E">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 w15:restartNumberingAfterBreak="0">
    <w:nsid w:val="6F55531B"/>
    <w:multiLevelType w:val="hybridMultilevel"/>
    <w:tmpl w:val="EA044D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645"/>
    <w:rsid w:val="00000621"/>
    <w:rsid w:val="000036C2"/>
    <w:rsid w:val="00007349"/>
    <w:rsid w:val="000225BC"/>
    <w:rsid w:val="00033D3D"/>
    <w:rsid w:val="00047D0F"/>
    <w:rsid w:val="00062967"/>
    <w:rsid w:val="00062F02"/>
    <w:rsid w:val="00071A7E"/>
    <w:rsid w:val="000746C0"/>
    <w:rsid w:val="00074D1D"/>
    <w:rsid w:val="00092580"/>
    <w:rsid w:val="00093D4D"/>
    <w:rsid w:val="000B2BA7"/>
    <w:rsid w:val="000B3442"/>
    <w:rsid w:val="000D5D94"/>
    <w:rsid w:val="000F064A"/>
    <w:rsid w:val="000F1A0E"/>
    <w:rsid w:val="000F3645"/>
    <w:rsid w:val="001165A7"/>
    <w:rsid w:val="00127ECB"/>
    <w:rsid w:val="001554B5"/>
    <w:rsid w:val="00165C29"/>
    <w:rsid w:val="00167D3A"/>
    <w:rsid w:val="00171434"/>
    <w:rsid w:val="001A3082"/>
    <w:rsid w:val="001A61B9"/>
    <w:rsid w:val="001B186A"/>
    <w:rsid w:val="001B2F75"/>
    <w:rsid w:val="001F2716"/>
    <w:rsid w:val="001F5024"/>
    <w:rsid w:val="00207617"/>
    <w:rsid w:val="0023134B"/>
    <w:rsid w:val="00243169"/>
    <w:rsid w:val="00245E38"/>
    <w:rsid w:val="00265840"/>
    <w:rsid w:val="00283659"/>
    <w:rsid w:val="002C0F46"/>
    <w:rsid w:val="002C6BD4"/>
    <w:rsid w:val="002D290A"/>
    <w:rsid w:val="002D68BF"/>
    <w:rsid w:val="002F0753"/>
    <w:rsid w:val="002F6B98"/>
    <w:rsid w:val="00304C32"/>
    <w:rsid w:val="0031732A"/>
    <w:rsid w:val="00336CBF"/>
    <w:rsid w:val="00343FE3"/>
    <w:rsid w:val="003546C8"/>
    <w:rsid w:val="00373453"/>
    <w:rsid w:val="0038150E"/>
    <w:rsid w:val="003A7CF2"/>
    <w:rsid w:val="003C5CE5"/>
    <w:rsid w:val="003E267B"/>
    <w:rsid w:val="003E7CD1"/>
    <w:rsid w:val="003F1117"/>
    <w:rsid w:val="00402B9E"/>
    <w:rsid w:val="004249CB"/>
    <w:rsid w:val="0043468A"/>
    <w:rsid w:val="0044127D"/>
    <w:rsid w:val="004448BD"/>
    <w:rsid w:val="004448DB"/>
    <w:rsid w:val="00446C9A"/>
    <w:rsid w:val="00452F2B"/>
    <w:rsid w:val="00477193"/>
    <w:rsid w:val="004A1848"/>
    <w:rsid w:val="004A3DDC"/>
    <w:rsid w:val="004A41A6"/>
    <w:rsid w:val="004A6F4A"/>
    <w:rsid w:val="004E0F3D"/>
    <w:rsid w:val="004E4717"/>
    <w:rsid w:val="00507FEC"/>
    <w:rsid w:val="00510F0E"/>
    <w:rsid w:val="005479E1"/>
    <w:rsid w:val="00553E0A"/>
    <w:rsid w:val="005570FD"/>
    <w:rsid w:val="005575EA"/>
    <w:rsid w:val="005602CD"/>
    <w:rsid w:val="00562F7A"/>
    <w:rsid w:val="0057790C"/>
    <w:rsid w:val="0058110F"/>
    <w:rsid w:val="00593795"/>
    <w:rsid w:val="005A6E71"/>
    <w:rsid w:val="005A75FF"/>
    <w:rsid w:val="005D10AB"/>
    <w:rsid w:val="00601D8F"/>
    <w:rsid w:val="00607D3E"/>
    <w:rsid w:val="00653E97"/>
    <w:rsid w:val="006701F7"/>
    <w:rsid w:val="00684A74"/>
    <w:rsid w:val="00690B8A"/>
    <w:rsid w:val="006F2CF1"/>
    <w:rsid w:val="007038ED"/>
    <w:rsid w:val="00703BC3"/>
    <w:rsid w:val="00704B61"/>
    <w:rsid w:val="00746EFF"/>
    <w:rsid w:val="007552A9"/>
    <w:rsid w:val="00756090"/>
    <w:rsid w:val="00761858"/>
    <w:rsid w:val="0076727C"/>
    <w:rsid w:val="00767D59"/>
    <w:rsid w:val="00776E97"/>
    <w:rsid w:val="00780F86"/>
    <w:rsid w:val="00790544"/>
    <w:rsid w:val="007912AD"/>
    <w:rsid w:val="007A0B88"/>
    <w:rsid w:val="007B0824"/>
    <w:rsid w:val="007B5D3C"/>
    <w:rsid w:val="007C58BC"/>
    <w:rsid w:val="007F2A46"/>
    <w:rsid w:val="00806249"/>
    <w:rsid w:val="00821B72"/>
    <w:rsid w:val="00823EF2"/>
    <w:rsid w:val="008303B8"/>
    <w:rsid w:val="00833DCE"/>
    <w:rsid w:val="00851D4F"/>
    <w:rsid w:val="00871D34"/>
    <w:rsid w:val="008A3898"/>
    <w:rsid w:val="008B270C"/>
    <w:rsid w:val="008B5078"/>
    <w:rsid w:val="008C3D3D"/>
    <w:rsid w:val="008C739C"/>
    <w:rsid w:val="008D4131"/>
    <w:rsid w:val="008D76A5"/>
    <w:rsid w:val="008F1932"/>
    <w:rsid w:val="00921062"/>
    <w:rsid w:val="00940AF0"/>
    <w:rsid w:val="00951C5A"/>
    <w:rsid w:val="00957B0F"/>
    <w:rsid w:val="009722BC"/>
    <w:rsid w:val="009727A3"/>
    <w:rsid w:val="00983F46"/>
    <w:rsid w:val="00987774"/>
    <w:rsid w:val="009A11E8"/>
    <w:rsid w:val="009D557B"/>
    <w:rsid w:val="009F14B8"/>
    <w:rsid w:val="009F4FA2"/>
    <w:rsid w:val="009F5220"/>
    <w:rsid w:val="00A15234"/>
    <w:rsid w:val="00A201AB"/>
    <w:rsid w:val="00A31C8B"/>
    <w:rsid w:val="00A509FA"/>
    <w:rsid w:val="00A71C11"/>
    <w:rsid w:val="00A842AA"/>
    <w:rsid w:val="00A845DC"/>
    <w:rsid w:val="00A93825"/>
    <w:rsid w:val="00AC04A0"/>
    <w:rsid w:val="00B01D90"/>
    <w:rsid w:val="00B128EF"/>
    <w:rsid w:val="00B26AA2"/>
    <w:rsid w:val="00B315A7"/>
    <w:rsid w:val="00B3524D"/>
    <w:rsid w:val="00B40F69"/>
    <w:rsid w:val="00B46616"/>
    <w:rsid w:val="00B57AE9"/>
    <w:rsid w:val="00B7040A"/>
    <w:rsid w:val="00B83391"/>
    <w:rsid w:val="00B91640"/>
    <w:rsid w:val="00B95326"/>
    <w:rsid w:val="00BC2E10"/>
    <w:rsid w:val="00BD4196"/>
    <w:rsid w:val="00BF22CA"/>
    <w:rsid w:val="00BF23BB"/>
    <w:rsid w:val="00BF6F20"/>
    <w:rsid w:val="00C0458B"/>
    <w:rsid w:val="00C20324"/>
    <w:rsid w:val="00C2080F"/>
    <w:rsid w:val="00C26032"/>
    <w:rsid w:val="00C345E1"/>
    <w:rsid w:val="00C43BFD"/>
    <w:rsid w:val="00CA050F"/>
    <w:rsid w:val="00CB6E35"/>
    <w:rsid w:val="00CD3D3A"/>
    <w:rsid w:val="00CE1A46"/>
    <w:rsid w:val="00CE456F"/>
    <w:rsid w:val="00D011A0"/>
    <w:rsid w:val="00D20757"/>
    <w:rsid w:val="00D22636"/>
    <w:rsid w:val="00D279C5"/>
    <w:rsid w:val="00D40FD9"/>
    <w:rsid w:val="00D53769"/>
    <w:rsid w:val="00D8280B"/>
    <w:rsid w:val="00D85C13"/>
    <w:rsid w:val="00D9111A"/>
    <w:rsid w:val="00D91BE3"/>
    <w:rsid w:val="00D94AFC"/>
    <w:rsid w:val="00DB70AE"/>
    <w:rsid w:val="00DC2238"/>
    <w:rsid w:val="00DD5071"/>
    <w:rsid w:val="00DD5C39"/>
    <w:rsid w:val="00DE4855"/>
    <w:rsid w:val="00DE5E10"/>
    <w:rsid w:val="00DE7DB7"/>
    <w:rsid w:val="00E00A0A"/>
    <w:rsid w:val="00E066DE"/>
    <w:rsid w:val="00E07F57"/>
    <w:rsid w:val="00E30683"/>
    <w:rsid w:val="00E3418C"/>
    <w:rsid w:val="00E453D8"/>
    <w:rsid w:val="00E50BCE"/>
    <w:rsid w:val="00E574BF"/>
    <w:rsid w:val="00E61292"/>
    <w:rsid w:val="00E66626"/>
    <w:rsid w:val="00E77C4D"/>
    <w:rsid w:val="00E81D01"/>
    <w:rsid w:val="00EB1617"/>
    <w:rsid w:val="00EE45D8"/>
    <w:rsid w:val="00F22EDA"/>
    <w:rsid w:val="00F4022B"/>
    <w:rsid w:val="00F41C53"/>
    <w:rsid w:val="00F67357"/>
    <w:rsid w:val="00FC1DF4"/>
    <w:rsid w:val="00FC691B"/>
    <w:rsid w:val="00FE3BCF"/>
    <w:rsid w:val="00FF2D0A"/>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1ABC7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BF6F20"/>
    <w:pPr>
      <w:ind w:left="720"/>
      <w:contextualSpacing/>
    </w:pPr>
  </w:style>
  <w:style w:type="character" w:customStyle="1" w:styleId="FooterChar">
    <w:name w:val="Footer Char"/>
    <w:basedOn w:val="DefaultParagraphFont"/>
    <w:link w:val="Footer"/>
    <w:uiPriority w:val="99"/>
    <w:rsid w:val="0000734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85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BC2D4-9DD9-46C3-8B62-5D0F6AF14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1221</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2018-07-03T10:14:00Z</dcterms:created>
  <dcterms:modified xsi:type="dcterms:W3CDTF">2018-07-03T10:14:00Z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