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F971AB" w:rsidP="008A6059">
      <w:pPr>
        <w:jc w:val="center"/>
        <w:rPr>
          <w:rFonts w:ascii="Book Antiqua" w:hAnsi="Book Antiqua" w:cs="Arial"/>
          <w:caps/>
          <w:color w:val="000000"/>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98800" cy="1036800"/>
                    </a:xfrm>
                    <a:prstGeom prst="rect">
                      <a:avLst/>
                    </a:prstGeom>
                    <a:noFill/>
                    <a:ln w="9525">
                      <a:noFill/>
                      <a:miter lim="800000"/>
                      <a:headEnd/>
                      <a:tailEnd/>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8C6828"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8C6828">
        <w:rPr>
          <w:rFonts w:ascii="Book Antiqua" w:hAnsi="Book Antiqua" w:cs="Arial"/>
          <w:b/>
          <w:color w:val="000000"/>
        </w:rPr>
        <w:t xml:space="preserve">   </w:t>
      </w:r>
      <w:proofErr w:type="gramEnd"/>
      <w:r w:rsidR="008C6828">
        <w:rPr>
          <w:rFonts w:ascii="Book Antiqua" w:hAnsi="Book Antiqua" w:cs="Arial"/>
          <w:b/>
          <w:color w:val="000000"/>
        </w:rPr>
        <w:t xml:space="preserve">                  </w:t>
      </w:r>
      <w:r w:rsidR="00B3524D" w:rsidRPr="008C6828">
        <w:rPr>
          <w:rFonts w:ascii="Book Antiqua" w:hAnsi="Book Antiqua" w:cs="Arial"/>
          <w:b/>
          <w:color w:val="000000"/>
        </w:rPr>
        <w:t>Appeal Number</w:t>
      </w:r>
      <w:r w:rsidR="00D53769" w:rsidRPr="008C6828">
        <w:rPr>
          <w:rFonts w:ascii="Book Antiqua" w:hAnsi="Book Antiqua" w:cs="Arial"/>
          <w:b/>
          <w:color w:val="000000"/>
        </w:rPr>
        <w:t>:</w:t>
      </w:r>
      <w:r w:rsidR="00B3524D" w:rsidRPr="008C6828">
        <w:rPr>
          <w:rFonts w:ascii="Book Antiqua" w:hAnsi="Book Antiqua" w:cs="Arial"/>
          <w:b/>
          <w:color w:val="000000"/>
        </w:rPr>
        <w:t xml:space="preserve"> </w:t>
      </w:r>
      <w:r w:rsidR="00C36801" w:rsidRPr="008C6828">
        <w:rPr>
          <w:rFonts w:ascii="Book Antiqua" w:hAnsi="Book Antiqua" w:cs="Arial"/>
          <w:b/>
          <w:caps/>
          <w:color w:val="000000"/>
        </w:rPr>
        <w:t>IA/27817/2015</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70"/>
        <w:gridCol w:w="978"/>
        <w:gridCol w:w="3960"/>
      </w:tblGrid>
      <w:tr w:rsidR="00D22636" w:rsidRPr="009B7433" w:rsidTr="00CD56A1">
        <w:tc>
          <w:tcPr>
            <w:tcW w:w="5070"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36801">
              <w:rPr>
                <w:rFonts w:ascii="Book Antiqua" w:hAnsi="Book Antiqua" w:cs="Arial"/>
                <w:b/>
              </w:rPr>
              <w:t>Field House</w:t>
            </w:r>
          </w:p>
        </w:tc>
        <w:tc>
          <w:tcPr>
            <w:tcW w:w="4938" w:type="dxa"/>
            <w:gridSpan w:val="2"/>
          </w:tcPr>
          <w:p w:rsidR="00D22636" w:rsidRPr="009B7433" w:rsidRDefault="008C6828"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CD56A1">
        <w:tc>
          <w:tcPr>
            <w:tcW w:w="5070"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36801">
              <w:rPr>
                <w:rFonts w:ascii="Book Antiqua" w:hAnsi="Book Antiqua" w:cs="Arial"/>
                <w:b/>
              </w:rPr>
              <w:t>15 June 2018</w:t>
            </w:r>
          </w:p>
        </w:tc>
        <w:tc>
          <w:tcPr>
            <w:tcW w:w="4938" w:type="dxa"/>
            <w:gridSpan w:val="2"/>
          </w:tcPr>
          <w:p w:rsidR="00D22636" w:rsidRPr="009B7433" w:rsidRDefault="008C6828" w:rsidP="004A1848">
            <w:pPr>
              <w:jc w:val="both"/>
              <w:rPr>
                <w:rFonts w:ascii="Book Antiqua" w:hAnsi="Book Antiqua" w:cs="Arial"/>
                <w:b/>
              </w:rPr>
            </w:pPr>
            <w:r>
              <w:rPr>
                <w:rFonts w:ascii="Book Antiqua" w:hAnsi="Book Antiqua" w:cs="Arial"/>
                <w:b/>
              </w:rPr>
              <w:t xml:space="preserve"> </w:t>
            </w:r>
            <w:r w:rsidR="00E028B7">
              <w:rPr>
                <w:rFonts w:ascii="Book Antiqua" w:hAnsi="Book Antiqua" w:cs="Arial"/>
                <w:b/>
              </w:rPr>
              <w:t xml:space="preserve">On 29 June 2018 </w:t>
            </w:r>
          </w:p>
        </w:tc>
      </w:tr>
      <w:tr w:rsidR="00E028B7" w:rsidRPr="009B7433" w:rsidTr="00D949B7">
        <w:trPr>
          <w:gridAfter w:val="1"/>
          <w:wAfter w:w="3960" w:type="dxa"/>
        </w:trPr>
        <w:tc>
          <w:tcPr>
            <w:tcW w:w="6048" w:type="dxa"/>
            <w:gridSpan w:val="2"/>
          </w:tcPr>
          <w:p w:rsidR="00E028B7" w:rsidRPr="009B7433" w:rsidRDefault="00E028B7"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C36801" w:rsidP="00A15234">
      <w:pPr>
        <w:jc w:val="center"/>
        <w:rPr>
          <w:rFonts w:ascii="Book Antiqua" w:hAnsi="Book Antiqua" w:cs="Arial"/>
          <w:b/>
          <w:caps/>
        </w:rPr>
      </w:pPr>
      <w:r>
        <w:rPr>
          <w:rFonts w:ascii="Book Antiqua" w:hAnsi="Book Antiqua" w:cs="Arial"/>
          <w:b/>
          <w:caps/>
        </w:rPr>
        <w:t>muhammad nasir javed</w:t>
      </w:r>
    </w:p>
    <w:p w:rsidR="00D949B7" w:rsidRPr="008C6828" w:rsidRDefault="00D949B7" w:rsidP="00D949B7">
      <w:pPr>
        <w:jc w:val="center"/>
        <w:rPr>
          <w:rFonts w:ascii="Book Antiqua" w:hAnsi="Book Antiqua" w:cs="Arial"/>
          <w:caps/>
        </w:rPr>
      </w:pPr>
      <w:r w:rsidRPr="008C6828">
        <w:rPr>
          <w:rFonts w:ascii="Book Antiqua" w:hAnsi="Book Antiqua" w:cs="Arial"/>
          <w:caps/>
        </w:rPr>
        <w:t xml:space="preserve">(ANONYMITY DIRECTION </w:t>
      </w:r>
      <w:r w:rsidR="006B708C" w:rsidRPr="008C6828">
        <w:rPr>
          <w:rFonts w:ascii="Book Antiqua" w:hAnsi="Book Antiqua" w:cs="Arial"/>
          <w:caps/>
        </w:rPr>
        <w:t>NOT MADE)</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8C6828" w:rsidRDefault="008C6828"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8C6828" w:rsidRPr="009B7433" w:rsidRDefault="008C6828"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E3047B">
        <w:rPr>
          <w:rFonts w:ascii="Book Antiqua" w:hAnsi="Book Antiqua" w:cs="Arial"/>
        </w:rPr>
        <w:t>Mr S Muquit, Counsel instructed by Farani Taylor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E3047B">
        <w:rPr>
          <w:rFonts w:ascii="Book Antiqua" w:hAnsi="Book Antiqua" w:cs="Arial"/>
        </w:rPr>
        <w:t xml:space="preserve">Ms Z Kiss,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Default="00D949B7" w:rsidP="004B34A3">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B34A3" w:rsidRDefault="00C36801" w:rsidP="00273201">
      <w:pPr>
        <w:numPr>
          <w:ilvl w:val="0"/>
          <w:numId w:val="1"/>
        </w:numPr>
        <w:tabs>
          <w:tab w:val="clear" w:pos="567"/>
        </w:tabs>
        <w:spacing w:before="240"/>
        <w:rPr>
          <w:rFonts w:ascii="Book Antiqua" w:hAnsi="Book Antiqua" w:cs="Arial"/>
        </w:rPr>
      </w:pPr>
      <w:r>
        <w:rPr>
          <w:rFonts w:ascii="Book Antiqua" w:hAnsi="Book Antiqua" w:cs="Arial"/>
        </w:rPr>
        <w:t xml:space="preserve">The appellant is a citizen of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born on 13 January 1981.  </w:t>
      </w:r>
      <w:r w:rsidR="004B34A3">
        <w:rPr>
          <w:rFonts w:ascii="Book Antiqua" w:hAnsi="Book Antiqua" w:cs="Arial"/>
        </w:rPr>
        <w:t>He is married to a citizen of Portugal, whom he married on 22 July 2013.</w:t>
      </w:r>
    </w:p>
    <w:p w:rsidR="004B34A3" w:rsidRDefault="004B34A3" w:rsidP="00273201">
      <w:pPr>
        <w:numPr>
          <w:ilvl w:val="0"/>
          <w:numId w:val="1"/>
        </w:numPr>
        <w:tabs>
          <w:tab w:val="clear" w:pos="567"/>
        </w:tabs>
        <w:spacing w:before="240"/>
        <w:rPr>
          <w:rFonts w:ascii="Book Antiqua" w:hAnsi="Book Antiqua" w:cs="Arial"/>
        </w:rPr>
      </w:pPr>
      <w:r>
        <w:rPr>
          <w:rFonts w:ascii="Book Antiqua" w:hAnsi="Book Antiqua" w:cs="Arial"/>
        </w:rPr>
        <w:t xml:space="preserve">The appellant </w:t>
      </w:r>
      <w:r w:rsidR="00C36801">
        <w:rPr>
          <w:rFonts w:ascii="Book Antiqua" w:hAnsi="Book Antiqua" w:cs="Arial"/>
        </w:rPr>
        <w:t xml:space="preserve">is appealing against the decision of First-tier Tribunal Judge Fowell promulgated on 17 October 2017 whereby his appeal against the decision of the Secretary of State to refuse him a residence card as </w:t>
      </w:r>
      <w:r w:rsidR="00E3047B">
        <w:rPr>
          <w:rFonts w:ascii="Book Antiqua" w:hAnsi="Book Antiqua" w:cs="Arial"/>
        </w:rPr>
        <w:t>the</w:t>
      </w:r>
      <w:r w:rsidR="00C36801">
        <w:rPr>
          <w:rFonts w:ascii="Book Antiqua" w:hAnsi="Book Antiqua" w:cs="Arial"/>
        </w:rPr>
        <w:t xml:space="preserve"> spouse of an EEA citizen was refused.  </w:t>
      </w:r>
    </w:p>
    <w:p w:rsidR="004B34A3" w:rsidRDefault="004B34A3" w:rsidP="00273201">
      <w:pPr>
        <w:numPr>
          <w:ilvl w:val="0"/>
          <w:numId w:val="1"/>
        </w:numPr>
        <w:tabs>
          <w:tab w:val="clear" w:pos="567"/>
        </w:tabs>
        <w:spacing w:before="240"/>
        <w:rPr>
          <w:rFonts w:ascii="Book Antiqua" w:hAnsi="Book Antiqua" w:cs="Arial"/>
        </w:rPr>
      </w:pPr>
      <w:r w:rsidRPr="004B34A3">
        <w:rPr>
          <w:rFonts w:ascii="Book Antiqua" w:hAnsi="Book Antiqua" w:cs="Arial"/>
        </w:rPr>
        <w:t xml:space="preserve">The background to this appeal is that the </w:t>
      </w:r>
      <w:r w:rsidR="00C36801" w:rsidRPr="004B34A3">
        <w:rPr>
          <w:rFonts w:ascii="Book Antiqua" w:hAnsi="Book Antiqua" w:cs="Arial"/>
        </w:rPr>
        <w:t>Secretary of State in a decision made on 2 July 2015 found that the appellant was not a family member of an EEA national because his marriage</w:t>
      </w:r>
      <w:r w:rsidR="007D1529">
        <w:rPr>
          <w:rFonts w:ascii="Book Antiqua" w:hAnsi="Book Antiqua" w:cs="Arial"/>
        </w:rPr>
        <w:t xml:space="preserve"> in 2013 to a Portuguese national</w:t>
      </w:r>
      <w:r w:rsidRPr="004B34A3">
        <w:rPr>
          <w:rFonts w:ascii="Book Antiqua" w:hAnsi="Book Antiqua" w:cs="Arial"/>
        </w:rPr>
        <w:t xml:space="preserve"> was a “marriage of convenience”. The appellant appealed to the First-tier tribunal where his appeal was </w:t>
      </w:r>
      <w:r w:rsidRPr="004B34A3">
        <w:rPr>
          <w:rFonts w:ascii="Book Antiqua" w:hAnsi="Book Antiqua" w:cs="Arial"/>
        </w:rPr>
        <w:lastRenderedPageBreak/>
        <w:t xml:space="preserve">dismissed by </w:t>
      </w:r>
      <w:r w:rsidR="00C36801" w:rsidRPr="004B34A3">
        <w:rPr>
          <w:rFonts w:ascii="Book Antiqua" w:hAnsi="Book Antiqua" w:cs="Arial"/>
        </w:rPr>
        <w:t>F</w:t>
      </w:r>
      <w:r w:rsidRPr="004B34A3">
        <w:rPr>
          <w:rFonts w:ascii="Book Antiqua" w:hAnsi="Book Antiqua" w:cs="Arial"/>
        </w:rPr>
        <w:t xml:space="preserve">irst-tier Tribunal Judge Miller. He appealed to the Upper Tribunal, which set aside </w:t>
      </w:r>
      <w:r w:rsidR="00C36801" w:rsidRPr="004B34A3">
        <w:rPr>
          <w:rFonts w:ascii="Book Antiqua" w:hAnsi="Book Antiqua" w:cs="Arial"/>
        </w:rPr>
        <w:t>Judge Miller’s decision and remitted</w:t>
      </w:r>
      <w:r w:rsidRPr="004B34A3">
        <w:rPr>
          <w:rFonts w:ascii="Book Antiqua" w:hAnsi="Book Antiqua" w:cs="Arial"/>
        </w:rPr>
        <w:t xml:space="preserve"> the case</w:t>
      </w:r>
      <w:r>
        <w:rPr>
          <w:rFonts w:ascii="Book Antiqua" w:hAnsi="Book Antiqua" w:cs="Arial"/>
        </w:rPr>
        <w:t xml:space="preserve"> to the First-tier Tribunal, where it came before Judge </w:t>
      </w:r>
      <w:proofErr w:type="spellStart"/>
      <w:r>
        <w:rPr>
          <w:rFonts w:ascii="Book Antiqua" w:hAnsi="Book Antiqua" w:cs="Arial"/>
        </w:rPr>
        <w:t>Fowell</w:t>
      </w:r>
      <w:proofErr w:type="spellEnd"/>
      <w:r>
        <w:rPr>
          <w:rFonts w:ascii="Book Antiqua" w:hAnsi="Book Antiqua" w:cs="Arial"/>
        </w:rPr>
        <w:t>, whose decision is now being appealed.</w:t>
      </w:r>
    </w:p>
    <w:p w:rsidR="004B34A3" w:rsidRPr="004B34A3" w:rsidRDefault="004B34A3" w:rsidP="004B34A3">
      <w:pPr>
        <w:spacing w:before="240"/>
        <w:rPr>
          <w:rFonts w:ascii="Book Antiqua" w:hAnsi="Book Antiqua" w:cs="Arial"/>
          <w:b/>
        </w:rPr>
      </w:pPr>
      <w:r>
        <w:rPr>
          <w:rFonts w:ascii="Book Antiqua" w:hAnsi="Book Antiqua" w:cs="Arial"/>
          <w:b/>
        </w:rPr>
        <w:t>Decision of the F</w:t>
      </w:r>
      <w:r w:rsidRPr="004B34A3">
        <w:rPr>
          <w:rFonts w:ascii="Book Antiqua" w:hAnsi="Book Antiqua" w:cs="Arial"/>
          <w:b/>
        </w:rPr>
        <w:t>irst-tier tribunal</w:t>
      </w:r>
    </w:p>
    <w:p w:rsidR="00C36801" w:rsidRPr="004B34A3" w:rsidRDefault="00C36801" w:rsidP="00273201">
      <w:pPr>
        <w:numPr>
          <w:ilvl w:val="0"/>
          <w:numId w:val="1"/>
        </w:numPr>
        <w:tabs>
          <w:tab w:val="clear" w:pos="567"/>
        </w:tabs>
        <w:spacing w:before="240"/>
        <w:rPr>
          <w:rFonts w:ascii="Book Antiqua" w:hAnsi="Book Antiqua" w:cs="Arial"/>
        </w:rPr>
      </w:pPr>
      <w:r w:rsidRPr="004B34A3">
        <w:rPr>
          <w:rFonts w:ascii="Book Antiqua" w:hAnsi="Book Antiqua" w:cs="Arial"/>
        </w:rPr>
        <w:t>In a lengthy and detailed decision Judge Fowell concluded that the respondent had satisfied him on the balance of probability that the marriage betwee</w:t>
      </w:r>
      <w:r w:rsidR="004B34A3">
        <w:rPr>
          <w:rFonts w:ascii="Book Antiqua" w:hAnsi="Book Antiqua" w:cs="Arial"/>
        </w:rPr>
        <w:t>n the appellant and his spouse (“the sponsor”</w:t>
      </w:r>
      <w:r w:rsidR="007D1529">
        <w:rPr>
          <w:rFonts w:ascii="Book Antiqua" w:hAnsi="Book Antiqua" w:cs="Arial"/>
        </w:rPr>
        <w:t xml:space="preserve">) was </w:t>
      </w:r>
      <w:r w:rsidRPr="004B34A3">
        <w:rPr>
          <w:rFonts w:ascii="Book Antiqua" w:hAnsi="Book Antiqua" w:cs="Arial"/>
        </w:rPr>
        <w:t xml:space="preserve">a marriage of convenience.  The judge reached this conclusion </w:t>
      </w:r>
      <w:r w:rsidR="004B34A3">
        <w:rPr>
          <w:rFonts w:ascii="Book Antiqua" w:hAnsi="Book Antiqua" w:cs="Arial"/>
        </w:rPr>
        <w:t xml:space="preserve">after finding </w:t>
      </w:r>
      <w:r w:rsidRPr="004B34A3">
        <w:rPr>
          <w:rFonts w:ascii="Book Antiqua" w:hAnsi="Book Antiqua" w:cs="Arial"/>
        </w:rPr>
        <w:t xml:space="preserve">that the </w:t>
      </w:r>
      <w:r w:rsidR="009C4C99" w:rsidRPr="004B34A3">
        <w:rPr>
          <w:rFonts w:ascii="Book Antiqua" w:hAnsi="Book Antiqua" w:cs="Arial"/>
        </w:rPr>
        <w:t xml:space="preserve">appellant and </w:t>
      </w:r>
      <w:r w:rsidR="004B34A3">
        <w:rPr>
          <w:rFonts w:ascii="Book Antiqua" w:hAnsi="Book Antiqua" w:cs="Arial"/>
        </w:rPr>
        <w:t xml:space="preserve">the sponsor </w:t>
      </w:r>
      <w:r w:rsidR="009C4C99" w:rsidRPr="004B34A3">
        <w:rPr>
          <w:rFonts w:ascii="Book Antiqua" w:hAnsi="Book Antiqua" w:cs="Arial"/>
        </w:rPr>
        <w:t xml:space="preserve">were not credible witnesses and there were a number of inconsistencies and incongruities in their evidence.  The </w:t>
      </w:r>
      <w:r w:rsidR="004B34A3">
        <w:rPr>
          <w:rFonts w:ascii="Book Antiqua" w:hAnsi="Book Antiqua" w:cs="Arial"/>
        </w:rPr>
        <w:t xml:space="preserve">reasons that the judge gave for </w:t>
      </w:r>
      <w:r w:rsidR="009C4C99" w:rsidRPr="004B34A3">
        <w:rPr>
          <w:rFonts w:ascii="Book Antiqua" w:hAnsi="Book Antiqua" w:cs="Arial"/>
        </w:rPr>
        <w:t>finding that the appellant lacked credibility and that the marriage was one of convenience included the following:</w:t>
      </w:r>
    </w:p>
    <w:p w:rsidR="009C4C99" w:rsidRDefault="004B34A3" w:rsidP="009C4C99">
      <w:pPr>
        <w:numPr>
          <w:ilvl w:val="1"/>
          <w:numId w:val="1"/>
        </w:numPr>
        <w:spacing w:before="240"/>
        <w:rPr>
          <w:rFonts w:ascii="Book Antiqua" w:hAnsi="Book Antiqua" w:cs="Arial"/>
        </w:rPr>
      </w:pPr>
      <w:r>
        <w:rPr>
          <w:rFonts w:ascii="Book Antiqua" w:hAnsi="Book Antiqua" w:cs="Arial"/>
        </w:rPr>
        <w:t>When, on 6 October 2014, the</w:t>
      </w:r>
      <w:r w:rsidR="009C4C99">
        <w:rPr>
          <w:rFonts w:ascii="Book Antiqua" w:hAnsi="Book Antiqua" w:cs="Arial"/>
        </w:rPr>
        <w:t xml:space="preserve"> appellant </w:t>
      </w:r>
      <w:r>
        <w:rPr>
          <w:rFonts w:ascii="Book Antiqua" w:hAnsi="Book Antiqua" w:cs="Arial"/>
        </w:rPr>
        <w:t xml:space="preserve">was </w:t>
      </w:r>
      <w:r w:rsidR="009C4C99">
        <w:rPr>
          <w:rFonts w:ascii="Book Antiqua" w:hAnsi="Book Antiqua" w:cs="Arial"/>
        </w:rPr>
        <w:t xml:space="preserve">visited by Immigration Officers </w:t>
      </w:r>
      <w:r>
        <w:rPr>
          <w:rFonts w:ascii="Book Antiqua" w:hAnsi="Book Antiqua" w:cs="Arial"/>
        </w:rPr>
        <w:t xml:space="preserve">and not present </w:t>
      </w:r>
      <w:r w:rsidR="009C4C99">
        <w:rPr>
          <w:rFonts w:ascii="Book Antiqua" w:hAnsi="Book Antiqua" w:cs="Arial"/>
        </w:rPr>
        <w:t xml:space="preserve">the officers spoke to </w:t>
      </w:r>
      <w:r>
        <w:rPr>
          <w:rFonts w:ascii="Book Antiqua" w:hAnsi="Book Antiqua" w:cs="Arial"/>
        </w:rPr>
        <w:t xml:space="preserve">an occupant of the property </w:t>
      </w:r>
      <w:r w:rsidR="009C4C99">
        <w:rPr>
          <w:rFonts w:ascii="Book Antiqua" w:hAnsi="Book Antiqua" w:cs="Arial"/>
        </w:rPr>
        <w:t xml:space="preserve">who </w:t>
      </w:r>
      <w:r>
        <w:rPr>
          <w:rFonts w:ascii="Book Antiqua" w:hAnsi="Book Antiqua" w:cs="Arial"/>
        </w:rPr>
        <w:t xml:space="preserve">said </w:t>
      </w:r>
      <w:r w:rsidR="009C4C99">
        <w:rPr>
          <w:rFonts w:ascii="Book Antiqua" w:hAnsi="Book Antiqua" w:cs="Arial"/>
        </w:rPr>
        <w:t xml:space="preserve">that she had been living at the property since March 2014 and she could account for all the occupants but did not know the appellant or the sponsor and she did not recognise his photograph.  </w:t>
      </w:r>
      <w:r>
        <w:rPr>
          <w:rFonts w:ascii="Book Antiqua" w:hAnsi="Book Antiqua" w:cs="Arial"/>
        </w:rPr>
        <w:t xml:space="preserve">The occupant </w:t>
      </w:r>
      <w:r w:rsidR="009C4C99">
        <w:rPr>
          <w:rFonts w:ascii="Book Antiqua" w:hAnsi="Book Antiqua" w:cs="Arial"/>
        </w:rPr>
        <w:t xml:space="preserve">subsequently wrote a letter of retraction.  The judge noted at paragraph 61 that the letter of retraction provided the full names and details of the couple which must have come from </w:t>
      </w:r>
      <w:r>
        <w:rPr>
          <w:rFonts w:ascii="Book Antiqua" w:hAnsi="Book Antiqua" w:cs="Arial"/>
        </w:rPr>
        <w:t xml:space="preserve">the appellant </w:t>
      </w:r>
      <w:r w:rsidR="009C4C99">
        <w:rPr>
          <w:rFonts w:ascii="Book Antiqua" w:hAnsi="Book Antiqua" w:cs="Arial"/>
        </w:rPr>
        <w:t>since they were previously unknown to her and it is headed “To whom it may concern” which the judge</w:t>
      </w:r>
      <w:r>
        <w:rPr>
          <w:rFonts w:ascii="Book Antiqua" w:hAnsi="Book Antiqua" w:cs="Arial"/>
        </w:rPr>
        <w:t xml:space="preserve"> thought indicated it was provided to the appellant rather than direct to the respondent</w:t>
      </w:r>
      <w:r w:rsidR="009C4C99">
        <w:rPr>
          <w:rFonts w:ascii="Book Antiqua" w:hAnsi="Book Antiqua" w:cs="Arial"/>
        </w:rPr>
        <w:t>.  The judge stated, “on any view it was not a spontaneous retraction.  If anything I find that the terms of this letter and the fact that it has come via Mr Javed add to the concerns raised by the Immigration Officer rather than dispel them.”</w:t>
      </w:r>
    </w:p>
    <w:p w:rsidR="004B34A3" w:rsidRDefault="009C4C99" w:rsidP="009C4C99">
      <w:pPr>
        <w:numPr>
          <w:ilvl w:val="1"/>
          <w:numId w:val="1"/>
        </w:numPr>
        <w:spacing w:before="240"/>
        <w:rPr>
          <w:rFonts w:ascii="Book Antiqua" w:hAnsi="Book Antiqua" w:cs="Arial"/>
        </w:rPr>
      </w:pPr>
      <w:r>
        <w:rPr>
          <w:rFonts w:ascii="Book Antiqua" w:hAnsi="Book Antiqua" w:cs="Arial"/>
        </w:rPr>
        <w:t xml:space="preserve">The appellant contacted the Home Office on the day of </w:t>
      </w:r>
      <w:r w:rsidR="004B34A3">
        <w:rPr>
          <w:rFonts w:ascii="Book Antiqua" w:hAnsi="Book Antiqua" w:cs="Arial"/>
        </w:rPr>
        <w:t xml:space="preserve">the visit on 6 October 2014 </w:t>
      </w:r>
      <w:r>
        <w:rPr>
          <w:rFonts w:ascii="Book Antiqua" w:hAnsi="Book Antiqua" w:cs="Arial"/>
        </w:rPr>
        <w:t>to say he had moved.  The judge found that this suggests he was pr</w:t>
      </w:r>
      <w:r w:rsidR="004B34A3">
        <w:rPr>
          <w:rFonts w:ascii="Book Antiqua" w:hAnsi="Book Antiqua" w:cs="Arial"/>
        </w:rPr>
        <w:t>ompted into action by the visit</w:t>
      </w:r>
      <w:r>
        <w:rPr>
          <w:rFonts w:ascii="Book Antiqua" w:hAnsi="Book Antiqua" w:cs="Arial"/>
        </w:rPr>
        <w:t>.  The judge also noted that the appellant sent a letter to the Home Office dated 1 October 2014 apparently telling them in advance that he had moved house but in fact</w:t>
      </w:r>
      <w:r w:rsidR="004B34A3">
        <w:rPr>
          <w:rFonts w:ascii="Book Antiqua" w:hAnsi="Book Antiqua" w:cs="Arial"/>
        </w:rPr>
        <w:t>,</w:t>
      </w:r>
      <w:r>
        <w:rPr>
          <w:rFonts w:ascii="Book Antiqua" w:hAnsi="Book Antiqua" w:cs="Arial"/>
        </w:rPr>
        <w:t xml:space="preserve"> as he acknowledged</w:t>
      </w:r>
      <w:r w:rsidR="004B34A3">
        <w:rPr>
          <w:rFonts w:ascii="Book Antiqua" w:hAnsi="Book Antiqua" w:cs="Arial"/>
        </w:rPr>
        <w:t>,</w:t>
      </w:r>
      <w:r>
        <w:rPr>
          <w:rFonts w:ascii="Book Antiqua" w:hAnsi="Book Antiqua" w:cs="Arial"/>
        </w:rPr>
        <w:t xml:space="preserve"> only po</w:t>
      </w:r>
      <w:r w:rsidR="004B34A3">
        <w:rPr>
          <w:rFonts w:ascii="Book Antiqua" w:hAnsi="Book Antiqua" w:cs="Arial"/>
        </w:rPr>
        <w:t>sted the letter after the visit</w:t>
      </w:r>
      <w:r>
        <w:rPr>
          <w:rFonts w:ascii="Book Antiqua" w:hAnsi="Book Antiqua" w:cs="Arial"/>
        </w:rPr>
        <w:t>.  The judge found that there was no real reason to explain the delay</w:t>
      </w:r>
      <w:r w:rsidR="00B67339">
        <w:rPr>
          <w:rFonts w:ascii="Book Antiqua" w:hAnsi="Book Antiqua" w:cs="Arial"/>
        </w:rPr>
        <w:t xml:space="preserve">.  The judge concluded that the letter “was drafted after the visit with a view to pretending that he had notified them earlier”.  </w:t>
      </w:r>
    </w:p>
    <w:p w:rsidR="004B34A3" w:rsidRDefault="004B34A3" w:rsidP="004B34A3">
      <w:pPr>
        <w:numPr>
          <w:ilvl w:val="1"/>
          <w:numId w:val="1"/>
        </w:numPr>
        <w:spacing w:before="240"/>
        <w:rPr>
          <w:rFonts w:ascii="Book Antiqua" w:hAnsi="Book Antiqua" w:cs="Arial"/>
        </w:rPr>
      </w:pPr>
      <w:r>
        <w:rPr>
          <w:rFonts w:ascii="Book Antiqua" w:hAnsi="Book Antiqua" w:cs="Arial"/>
        </w:rPr>
        <w:t xml:space="preserve">When a further </w:t>
      </w:r>
      <w:r w:rsidR="00122437">
        <w:rPr>
          <w:rFonts w:ascii="Book Antiqua" w:hAnsi="Book Antiqua" w:cs="Arial"/>
        </w:rPr>
        <w:t>visit occurred on 26 November 2014</w:t>
      </w:r>
      <w:r>
        <w:rPr>
          <w:rFonts w:ascii="Book Antiqua" w:hAnsi="Book Antiqua" w:cs="Arial"/>
        </w:rPr>
        <w:t xml:space="preserve"> the appellant was again not home. He claimed that he and the sponsor were in Scotland but the judge, based on an analysis of the evidence, thought it likely the sponsor was in Portugal at this time. </w:t>
      </w:r>
      <w:r w:rsidR="00122437">
        <w:rPr>
          <w:rFonts w:ascii="Book Antiqua" w:hAnsi="Book Antiqua" w:cs="Arial"/>
        </w:rPr>
        <w:t>The judge said that “the evidence they both gave at this hearing on this aspect cannot be accepted which naturally lessens the confidence that can be placed in their evidence on other matters”.</w:t>
      </w:r>
    </w:p>
    <w:p w:rsidR="004B34A3" w:rsidRDefault="004B34A3" w:rsidP="004B34A3">
      <w:pPr>
        <w:numPr>
          <w:ilvl w:val="1"/>
          <w:numId w:val="1"/>
        </w:numPr>
        <w:spacing w:before="240"/>
        <w:rPr>
          <w:rFonts w:ascii="Book Antiqua" w:hAnsi="Book Antiqua" w:cs="Arial"/>
        </w:rPr>
      </w:pPr>
      <w:r w:rsidRPr="004B34A3">
        <w:rPr>
          <w:rFonts w:ascii="Book Antiqua" w:hAnsi="Book Antiqua" w:cs="Arial"/>
        </w:rPr>
        <w:t xml:space="preserve">There </w:t>
      </w:r>
      <w:r w:rsidR="00122437" w:rsidRPr="004B34A3">
        <w:rPr>
          <w:rFonts w:ascii="Book Antiqua" w:hAnsi="Book Antiqua" w:cs="Arial"/>
        </w:rPr>
        <w:t>was a lack of fami</w:t>
      </w:r>
      <w:r w:rsidRPr="004B34A3">
        <w:rPr>
          <w:rFonts w:ascii="Book Antiqua" w:hAnsi="Book Antiqua" w:cs="Arial"/>
        </w:rPr>
        <w:t xml:space="preserve">ly in attendance at the wedding, </w:t>
      </w:r>
      <w:r w:rsidR="00122437" w:rsidRPr="004B34A3">
        <w:rPr>
          <w:rFonts w:ascii="Book Antiqua" w:hAnsi="Book Antiqua" w:cs="Arial"/>
        </w:rPr>
        <w:t xml:space="preserve">confusion about whether one of the sponsor’s friends attended, </w:t>
      </w:r>
      <w:r>
        <w:rPr>
          <w:rFonts w:ascii="Book Antiqua" w:hAnsi="Book Antiqua" w:cs="Arial"/>
        </w:rPr>
        <w:t xml:space="preserve">and it </w:t>
      </w:r>
      <w:r w:rsidR="00122437" w:rsidRPr="004B34A3">
        <w:rPr>
          <w:rFonts w:ascii="Book Antiqua" w:hAnsi="Book Antiqua" w:cs="Arial"/>
        </w:rPr>
        <w:t xml:space="preserve">was an </w:t>
      </w:r>
      <w:r>
        <w:rPr>
          <w:rFonts w:ascii="Book Antiqua" w:hAnsi="Book Antiqua" w:cs="Arial"/>
        </w:rPr>
        <w:t>“</w:t>
      </w:r>
      <w:r w:rsidR="00122437" w:rsidRPr="004B34A3">
        <w:rPr>
          <w:rFonts w:ascii="Book Antiqua" w:hAnsi="Book Antiqua" w:cs="Arial"/>
        </w:rPr>
        <w:t>unusual fact</w:t>
      </w:r>
      <w:r>
        <w:rPr>
          <w:rFonts w:ascii="Book Antiqua" w:hAnsi="Book Antiqua" w:cs="Arial"/>
        </w:rPr>
        <w:t>”</w:t>
      </w:r>
      <w:r w:rsidR="00122437" w:rsidRPr="004B34A3">
        <w:rPr>
          <w:rFonts w:ascii="Book Antiqua" w:hAnsi="Book Antiqua" w:cs="Arial"/>
        </w:rPr>
        <w:t xml:space="preserve"> that the appellant was living with his uncle for a month or two for reasons that “he was not able to explain sensibly”.  The judge stated at paragraph 65 in respect of these points</w:t>
      </w:r>
      <w:r>
        <w:rPr>
          <w:rFonts w:ascii="Book Antiqua" w:hAnsi="Book Antiqua" w:cs="Arial"/>
        </w:rPr>
        <w:t xml:space="preserve"> that</w:t>
      </w:r>
      <w:r w:rsidR="00122437" w:rsidRPr="004B34A3">
        <w:rPr>
          <w:rFonts w:ascii="Book Antiqua" w:hAnsi="Book Antiqua" w:cs="Arial"/>
        </w:rPr>
        <w:t xml:space="preserve"> “the net result does overall deepen the suspicions around this match”.  </w:t>
      </w:r>
    </w:p>
    <w:p w:rsidR="00122437" w:rsidRPr="004B34A3" w:rsidRDefault="00122437" w:rsidP="004B34A3">
      <w:pPr>
        <w:numPr>
          <w:ilvl w:val="0"/>
          <w:numId w:val="1"/>
        </w:numPr>
        <w:spacing w:before="240"/>
        <w:rPr>
          <w:rFonts w:ascii="Book Antiqua" w:hAnsi="Book Antiqua" w:cs="Arial"/>
        </w:rPr>
      </w:pPr>
      <w:r w:rsidRPr="004B34A3">
        <w:rPr>
          <w:rFonts w:ascii="Book Antiqua" w:hAnsi="Book Antiqua" w:cs="Arial"/>
        </w:rPr>
        <w:lastRenderedPageBreak/>
        <w:t>The judge stated at paragraph 66:</w:t>
      </w:r>
    </w:p>
    <w:p w:rsidR="00122437" w:rsidRDefault="00122437" w:rsidP="00122437">
      <w:pPr>
        <w:spacing w:before="240"/>
        <w:ind w:left="1701"/>
        <w:rPr>
          <w:rFonts w:ascii="Book Antiqua" w:hAnsi="Book Antiqua" w:cs="Arial"/>
        </w:rPr>
      </w:pPr>
      <w:r>
        <w:rPr>
          <w:rFonts w:ascii="Book Antiqua" w:hAnsi="Book Antiqua" w:cs="Arial"/>
        </w:rPr>
        <w:t>“</w:t>
      </w:r>
      <w:r w:rsidRPr="00F67EB9">
        <w:rPr>
          <w:rFonts w:ascii="Book Antiqua" w:hAnsi="Book Antiqua" w:cs="Arial"/>
          <w:sz w:val="22"/>
          <w:szCs w:val="22"/>
        </w:rPr>
        <w:t>Summarising the position</w:t>
      </w:r>
      <w:r w:rsidR="004B34A3">
        <w:rPr>
          <w:rFonts w:ascii="Book Antiqua" w:hAnsi="Book Antiqua" w:cs="Arial"/>
          <w:sz w:val="22"/>
          <w:szCs w:val="22"/>
        </w:rPr>
        <w:t>,</w:t>
      </w:r>
      <w:r w:rsidRPr="00F67EB9">
        <w:rPr>
          <w:rFonts w:ascii="Book Antiqua" w:hAnsi="Book Antiqua" w:cs="Arial"/>
          <w:sz w:val="22"/>
          <w:szCs w:val="22"/>
        </w:rPr>
        <w:t xml:space="preserve"> there were initial circumstances surrounding the wedding which cumulatively gave rise to suspicion about it being genuine.  There was then a string of incidents in which the Home Office scrutinised their living arrangements with visits on 6 October and 26 November 2014 which found no trace of them, and then invitations to attend interviews the following January and February which were declined on the basis that Ms Ribeiro was in Portugal and unwell.  Some deception is apparent in the attempts to persuade the Home Office that previous notice had been given of a change of address, and then later that they were away together in Scotland</w:t>
      </w:r>
      <w:r>
        <w:rPr>
          <w:rFonts w:ascii="Book Antiqua" w:hAnsi="Book Antiqua" w:cs="Arial"/>
        </w:rPr>
        <w:t>.</w:t>
      </w:r>
    </w:p>
    <w:p w:rsidR="00122437" w:rsidRPr="004B34A3" w:rsidRDefault="00122437" w:rsidP="004B34A3">
      <w:pPr>
        <w:pStyle w:val="ListParagraph"/>
        <w:numPr>
          <w:ilvl w:val="0"/>
          <w:numId w:val="1"/>
        </w:numPr>
        <w:spacing w:before="240"/>
        <w:rPr>
          <w:rFonts w:ascii="Book Antiqua" w:hAnsi="Book Antiqua" w:cs="Arial"/>
        </w:rPr>
      </w:pPr>
      <w:r w:rsidRPr="004B34A3">
        <w:rPr>
          <w:rFonts w:ascii="Book Antiqua" w:hAnsi="Book Antiqua" w:cs="Arial"/>
        </w:rPr>
        <w:t xml:space="preserve">The judge then at </w:t>
      </w:r>
      <w:r w:rsidR="004B34A3">
        <w:rPr>
          <w:rFonts w:ascii="Book Antiqua" w:hAnsi="Book Antiqua" w:cs="Arial"/>
        </w:rPr>
        <w:t xml:space="preserve">paragraph </w:t>
      </w:r>
      <w:r w:rsidRPr="004B34A3">
        <w:rPr>
          <w:rFonts w:ascii="Book Antiqua" w:hAnsi="Book Antiqua" w:cs="Arial"/>
        </w:rPr>
        <w:t>67 concluded that the appellant and sponsor were not credible witnesses.</w:t>
      </w:r>
    </w:p>
    <w:p w:rsidR="009C4C99" w:rsidRDefault="004B34A3" w:rsidP="00273201">
      <w:pPr>
        <w:numPr>
          <w:ilvl w:val="0"/>
          <w:numId w:val="1"/>
        </w:numPr>
        <w:tabs>
          <w:tab w:val="clear" w:pos="567"/>
        </w:tabs>
        <w:spacing w:before="240"/>
        <w:rPr>
          <w:rFonts w:ascii="Book Antiqua" w:hAnsi="Book Antiqua" w:cs="Arial"/>
        </w:rPr>
      </w:pPr>
      <w:r>
        <w:rPr>
          <w:rFonts w:ascii="Book Antiqua" w:hAnsi="Book Antiqua" w:cs="Arial"/>
        </w:rPr>
        <w:t xml:space="preserve">In addition to making the above-described </w:t>
      </w:r>
      <w:r w:rsidR="00122437">
        <w:rPr>
          <w:rFonts w:ascii="Book Antiqua" w:hAnsi="Book Antiqua" w:cs="Arial"/>
        </w:rPr>
        <w:t>findings</w:t>
      </w:r>
      <w:r>
        <w:rPr>
          <w:rFonts w:ascii="Book Antiqua" w:hAnsi="Book Antiqua" w:cs="Arial"/>
        </w:rPr>
        <w:t xml:space="preserve"> which were said to be undermining of the appellant’s credibility, </w:t>
      </w:r>
      <w:r w:rsidR="00122437">
        <w:rPr>
          <w:rFonts w:ascii="Book Antiqua" w:hAnsi="Book Antiqua" w:cs="Arial"/>
        </w:rPr>
        <w:t>the judge made a number of findings which could be</w:t>
      </w:r>
      <w:r>
        <w:rPr>
          <w:rFonts w:ascii="Book Antiqua" w:hAnsi="Book Antiqua" w:cs="Arial"/>
        </w:rPr>
        <w:t xml:space="preserve"> construed as supportive of the </w:t>
      </w:r>
      <w:r w:rsidR="00122437">
        <w:rPr>
          <w:rFonts w:ascii="Book Antiqua" w:hAnsi="Book Antiqua" w:cs="Arial"/>
        </w:rPr>
        <w:t>claim.  This included:</w:t>
      </w:r>
    </w:p>
    <w:p w:rsidR="00122437" w:rsidRDefault="004B34A3" w:rsidP="00122437">
      <w:pPr>
        <w:numPr>
          <w:ilvl w:val="1"/>
          <w:numId w:val="1"/>
        </w:numPr>
        <w:spacing w:before="240"/>
        <w:rPr>
          <w:rFonts w:ascii="Book Antiqua" w:hAnsi="Book Antiqua" w:cs="Arial"/>
        </w:rPr>
      </w:pPr>
      <w:r>
        <w:rPr>
          <w:rFonts w:ascii="Book Antiqua" w:hAnsi="Book Antiqua" w:cs="Arial"/>
        </w:rPr>
        <w:t xml:space="preserve">The </w:t>
      </w:r>
      <w:r w:rsidR="00122437">
        <w:rPr>
          <w:rFonts w:ascii="Book Antiqua" w:hAnsi="Book Antiqua" w:cs="Arial"/>
        </w:rPr>
        <w:t>sponsor had been in employment exercising treaty rights in the UK despite travelling frequently to Portugal</w:t>
      </w:r>
      <w:r>
        <w:rPr>
          <w:rFonts w:ascii="Book Antiqua" w:hAnsi="Book Antiqua" w:cs="Arial"/>
        </w:rPr>
        <w:t>,</w:t>
      </w:r>
      <w:r w:rsidR="001E0450">
        <w:rPr>
          <w:rFonts w:ascii="Book Antiqua" w:hAnsi="Book Antiqua" w:cs="Arial"/>
        </w:rPr>
        <w:t xml:space="preserve"> such that the fact that she was regula</w:t>
      </w:r>
      <w:r>
        <w:rPr>
          <w:rFonts w:ascii="Book Antiqua" w:hAnsi="Book Antiqua" w:cs="Arial"/>
        </w:rPr>
        <w:t>rly in Portugal did</w:t>
      </w:r>
      <w:r w:rsidR="001E0450">
        <w:rPr>
          <w:rFonts w:ascii="Book Antiqua" w:hAnsi="Book Antiqua" w:cs="Arial"/>
        </w:rPr>
        <w:t xml:space="preserve"> not necessarily undermine the case.</w:t>
      </w:r>
    </w:p>
    <w:p w:rsidR="001E0450" w:rsidRDefault="004B34A3" w:rsidP="00122437">
      <w:pPr>
        <w:numPr>
          <w:ilvl w:val="1"/>
          <w:numId w:val="1"/>
        </w:numPr>
        <w:spacing w:before="240"/>
        <w:rPr>
          <w:rFonts w:ascii="Book Antiqua" w:hAnsi="Book Antiqua" w:cs="Arial"/>
        </w:rPr>
      </w:pPr>
      <w:r>
        <w:rPr>
          <w:rFonts w:ascii="Book Antiqua" w:hAnsi="Book Antiqua" w:cs="Arial"/>
        </w:rPr>
        <w:t>T</w:t>
      </w:r>
      <w:r w:rsidR="001E0450">
        <w:rPr>
          <w:rFonts w:ascii="Book Antiqua" w:hAnsi="Book Antiqua" w:cs="Arial"/>
        </w:rPr>
        <w:t>he evidence concerning where the appellant was living was not strong either way.</w:t>
      </w:r>
    </w:p>
    <w:p w:rsidR="001E0450" w:rsidRDefault="004B34A3" w:rsidP="00122437">
      <w:pPr>
        <w:numPr>
          <w:ilvl w:val="1"/>
          <w:numId w:val="1"/>
        </w:numPr>
        <w:spacing w:before="240"/>
        <w:rPr>
          <w:rFonts w:ascii="Book Antiqua" w:hAnsi="Book Antiqua" w:cs="Arial"/>
        </w:rPr>
      </w:pPr>
      <w:r>
        <w:rPr>
          <w:rFonts w:ascii="Book Antiqua" w:hAnsi="Book Antiqua" w:cs="Arial"/>
        </w:rPr>
        <w:t xml:space="preserve">The </w:t>
      </w:r>
      <w:r w:rsidR="001E0450">
        <w:rPr>
          <w:rFonts w:ascii="Book Antiqua" w:hAnsi="Book Antiqua" w:cs="Arial"/>
        </w:rPr>
        <w:t xml:space="preserve">sponsor was pregnant.  At paragraph 53 the judge stated, “the fact of this pregnancy is strong support for the appellant’s claim”.  </w:t>
      </w:r>
    </w:p>
    <w:p w:rsidR="001E0450" w:rsidRDefault="001E0450" w:rsidP="00122437">
      <w:pPr>
        <w:numPr>
          <w:ilvl w:val="1"/>
          <w:numId w:val="1"/>
        </w:numPr>
        <w:spacing w:before="240"/>
        <w:rPr>
          <w:rFonts w:ascii="Book Antiqua" w:hAnsi="Book Antiqua" w:cs="Arial"/>
        </w:rPr>
      </w:pPr>
      <w:r>
        <w:rPr>
          <w:rFonts w:ascii="Book Antiqua" w:hAnsi="Book Antiqua" w:cs="Arial"/>
        </w:rPr>
        <w:t>At paragraph 44 the judge indicated that he was unable to form a clear idea of what in fact the Secretary of State was alleging.  He stated:</w:t>
      </w:r>
    </w:p>
    <w:p w:rsidR="001E0450" w:rsidRDefault="001E0450" w:rsidP="001E0450">
      <w:pPr>
        <w:spacing w:before="240"/>
        <w:ind w:left="1701"/>
        <w:rPr>
          <w:rFonts w:ascii="Book Antiqua" w:hAnsi="Book Antiqua" w:cs="Arial"/>
        </w:rPr>
      </w:pPr>
      <w:r>
        <w:rPr>
          <w:rFonts w:ascii="Book Antiqua" w:hAnsi="Book Antiqua" w:cs="Arial"/>
        </w:rPr>
        <w:t>“</w:t>
      </w:r>
      <w:r w:rsidRPr="00F67EB9">
        <w:rPr>
          <w:rFonts w:ascii="Book Antiqua" w:hAnsi="Book Antiqua" w:cs="Arial"/>
          <w:sz w:val="22"/>
          <w:szCs w:val="22"/>
        </w:rPr>
        <w:t>However the ultimate burden is on the Home Office and I formed no very clear idea at the end of the evidence and submissions as to what in practice is alleged: whether they are supposed to be living in the same house and pretending to be in a relationship; whether Mr Ribeiro is living in Kimberley Avenue and Mr Javed is living elsewhere or whether Ms Ribeiro is in reality mainly living in Portugal and Mr Javed is at Kimberley Avenue or elsewhere.  The position alleged should be set out and put to the witnesses, even if there are alternative cases, rather than for different hypotheses to be left open</w:t>
      </w:r>
      <w:r>
        <w:rPr>
          <w:rFonts w:ascii="Book Antiqua" w:hAnsi="Book Antiqua" w:cs="Arial"/>
        </w:rPr>
        <w:t xml:space="preserve">.” </w:t>
      </w:r>
    </w:p>
    <w:p w:rsidR="004B34A3" w:rsidRPr="004B34A3" w:rsidRDefault="004B34A3" w:rsidP="004B34A3">
      <w:pPr>
        <w:spacing w:before="240"/>
        <w:rPr>
          <w:rFonts w:ascii="Book Antiqua" w:hAnsi="Book Antiqua" w:cs="Arial"/>
          <w:b/>
        </w:rPr>
      </w:pPr>
      <w:r w:rsidRPr="004B34A3">
        <w:rPr>
          <w:rFonts w:ascii="Book Antiqua" w:hAnsi="Book Antiqua" w:cs="Arial"/>
          <w:b/>
        </w:rPr>
        <w:t>Grounds of appeal and submissions</w:t>
      </w:r>
    </w:p>
    <w:p w:rsidR="00824F2B" w:rsidRPr="004B34A3" w:rsidRDefault="00AA1D28" w:rsidP="004B34A3">
      <w:pPr>
        <w:numPr>
          <w:ilvl w:val="0"/>
          <w:numId w:val="1"/>
        </w:numPr>
        <w:tabs>
          <w:tab w:val="clear" w:pos="567"/>
        </w:tabs>
        <w:spacing w:before="240"/>
        <w:rPr>
          <w:rFonts w:ascii="Book Antiqua" w:hAnsi="Book Antiqua" w:cs="Arial"/>
        </w:rPr>
      </w:pPr>
      <w:r>
        <w:rPr>
          <w:rFonts w:ascii="Book Antiqua" w:hAnsi="Book Antiqua" w:cs="Arial"/>
        </w:rPr>
        <w:t>The grounds of appeal argue</w:t>
      </w:r>
      <w:r w:rsidR="00824F2B">
        <w:rPr>
          <w:rFonts w:ascii="Book Antiqua" w:hAnsi="Book Antiqua" w:cs="Arial"/>
        </w:rPr>
        <w:t xml:space="preserve"> that the judge erred because he had no clear idea of what was being alleged</w:t>
      </w:r>
      <w:r w:rsidR="004B34A3">
        <w:rPr>
          <w:rFonts w:ascii="Book Antiqua" w:hAnsi="Book Antiqua" w:cs="Arial"/>
        </w:rPr>
        <w:t xml:space="preserve"> by the respondent and it was unclear how the judge</w:t>
      </w:r>
      <w:r w:rsidR="00824F2B">
        <w:rPr>
          <w:rFonts w:ascii="Book Antiqua" w:hAnsi="Book Antiqua" w:cs="Arial"/>
        </w:rPr>
        <w:t xml:space="preserve"> was rationally able to determine that the respondent had discharged the burden of establishing that the marriage was one of convenience.  </w:t>
      </w:r>
      <w:r w:rsidR="00E3047B">
        <w:rPr>
          <w:rFonts w:ascii="Book Antiqua" w:hAnsi="Book Antiqua" w:cs="Arial"/>
        </w:rPr>
        <w:t>The grounds also submit</w:t>
      </w:r>
      <w:r>
        <w:rPr>
          <w:rFonts w:ascii="Book Antiqua" w:hAnsi="Book Antiqua" w:cs="Arial"/>
        </w:rPr>
        <w:t xml:space="preserve"> that the judge erred by failing to make findings on the evidence of witness</w:t>
      </w:r>
      <w:r w:rsidR="004B34A3">
        <w:rPr>
          <w:rFonts w:ascii="Book Antiqua" w:hAnsi="Book Antiqua" w:cs="Arial"/>
        </w:rPr>
        <w:t xml:space="preserve">es </w:t>
      </w:r>
      <w:r>
        <w:rPr>
          <w:rFonts w:ascii="Book Antiqua" w:hAnsi="Book Antiqua" w:cs="Arial"/>
        </w:rPr>
        <w:t>who gave evidence in respect of the address</w:t>
      </w:r>
      <w:r w:rsidR="004B34A3">
        <w:rPr>
          <w:rFonts w:ascii="Book Antiqua" w:hAnsi="Book Antiqua" w:cs="Arial"/>
        </w:rPr>
        <w:t>es at which the appellant lived and corroborated his account.</w:t>
      </w:r>
      <w:r>
        <w:rPr>
          <w:rFonts w:ascii="Book Antiqua" w:hAnsi="Book Antiqua" w:cs="Arial"/>
        </w:rPr>
        <w:t xml:space="preserve"> </w:t>
      </w:r>
      <w:r w:rsidRPr="004B34A3">
        <w:rPr>
          <w:rFonts w:ascii="Book Antiqua" w:hAnsi="Book Antiqua" w:cs="Arial"/>
        </w:rPr>
        <w:t xml:space="preserve">The grounds </w:t>
      </w:r>
      <w:r w:rsidR="004B34A3" w:rsidRPr="004B34A3">
        <w:rPr>
          <w:rFonts w:ascii="Book Antiqua" w:hAnsi="Book Antiqua" w:cs="Arial"/>
        </w:rPr>
        <w:t xml:space="preserve">further </w:t>
      </w:r>
      <w:r w:rsidRPr="004B34A3">
        <w:rPr>
          <w:rFonts w:ascii="Book Antiqua" w:hAnsi="Book Antiqua" w:cs="Arial"/>
        </w:rPr>
        <w:t>argue</w:t>
      </w:r>
      <w:r w:rsidR="004B34A3" w:rsidRPr="004B34A3">
        <w:rPr>
          <w:rFonts w:ascii="Book Antiqua" w:hAnsi="Book Antiqua" w:cs="Arial"/>
        </w:rPr>
        <w:t xml:space="preserve"> that</w:t>
      </w:r>
      <w:r w:rsidRPr="004B34A3">
        <w:rPr>
          <w:rFonts w:ascii="Book Antiqua" w:hAnsi="Book Antiqua" w:cs="Arial"/>
        </w:rPr>
        <w:t xml:space="preserve"> </w:t>
      </w:r>
      <w:r w:rsidR="004B34A3" w:rsidRPr="004B34A3">
        <w:rPr>
          <w:rFonts w:ascii="Book Antiqua" w:hAnsi="Book Antiqua" w:cs="Arial"/>
        </w:rPr>
        <w:t xml:space="preserve">it was an error to regard the sponsor’s presence in Portugal as indicating her marriage was one of convenience given that, </w:t>
      </w:r>
      <w:r w:rsidR="004B34A3" w:rsidRPr="004B34A3">
        <w:rPr>
          <w:rFonts w:ascii="Book Antiqua" w:hAnsi="Book Antiqua" w:cs="Arial"/>
        </w:rPr>
        <w:lastRenderedPageBreak/>
        <w:t xml:space="preserve">amongst other things, it was accepted (and employment records established) that she was working in the UK.  </w:t>
      </w:r>
    </w:p>
    <w:p w:rsidR="00AA1D28" w:rsidRDefault="00AA1D28" w:rsidP="00273201">
      <w:pPr>
        <w:numPr>
          <w:ilvl w:val="0"/>
          <w:numId w:val="1"/>
        </w:numPr>
        <w:tabs>
          <w:tab w:val="clear" w:pos="567"/>
        </w:tabs>
        <w:spacing w:before="240"/>
        <w:rPr>
          <w:rFonts w:ascii="Book Antiqua" w:hAnsi="Book Antiqua" w:cs="Arial"/>
        </w:rPr>
      </w:pPr>
      <w:r>
        <w:rPr>
          <w:rFonts w:ascii="Book Antiqua" w:hAnsi="Book Antiqua" w:cs="Arial"/>
        </w:rPr>
        <w:t>At the error of law hearing Mr Muquit argued that the decisio</w:t>
      </w:r>
      <w:r w:rsidR="004B34A3">
        <w:rPr>
          <w:rFonts w:ascii="Book Antiqua" w:hAnsi="Book Antiqua" w:cs="Arial"/>
        </w:rPr>
        <w:t xml:space="preserve">n of the First-tier Tribunal was </w:t>
      </w:r>
      <w:r>
        <w:rPr>
          <w:rFonts w:ascii="Book Antiqua" w:hAnsi="Book Antiqua" w:cs="Arial"/>
        </w:rPr>
        <w:t>undermined by contradictory findings.  In particular, he noted that at paragraph 53 the judge stated that the pregnancy was strong support for the appellant’s claim but at paragraph 70 stat</w:t>
      </w:r>
      <w:r w:rsidR="00E3047B">
        <w:rPr>
          <w:rFonts w:ascii="Book Antiqua" w:hAnsi="Book Antiqua" w:cs="Arial"/>
        </w:rPr>
        <w:t>ed that it was at least probable</w:t>
      </w:r>
      <w:r>
        <w:rPr>
          <w:rFonts w:ascii="Book Antiqua" w:hAnsi="Book Antiqua" w:cs="Arial"/>
        </w:rPr>
        <w:t xml:space="preserve"> that she remained in </w:t>
      </w:r>
      <w:smartTag w:uri="urn:schemas-microsoft-com:office:smarttags" w:element="country-region">
        <w:smartTag w:uri="urn:schemas-microsoft-com:office:smarttags" w:element="place">
          <w:r>
            <w:rPr>
              <w:rFonts w:ascii="Book Antiqua" w:hAnsi="Book Antiqua" w:cs="Arial"/>
            </w:rPr>
            <w:t>Portugal</w:t>
          </w:r>
        </w:smartTag>
      </w:smartTag>
      <w:r>
        <w:rPr>
          <w:rFonts w:ascii="Book Antiqua" w:hAnsi="Book Antiqua" w:cs="Arial"/>
        </w:rPr>
        <w:t xml:space="preserve"> and that the pregnancy was by someone else.  Likewise</w:t>
      </w:r>
      <w:r w:rsidR="004B34A3">
        <w:rPr>
          <w:rFonts w:ascii="Book Antiqua" w:hAnsi="Book Antiqua" w:cs="Arial"/>
        </w:rPr>
        <w:t xml:space="preserve">, Mr </w:t>
      </w:r>
      <w:proofErr w:type="spellStart"/>
      <w:r w:rsidR="004B34A3">
        <w:rPr>
          <w:rFonts w:ascii="Book Antiqua" w:hAnsi="Book Antiqua" w:cs="Arial"/>
        </w:rPr>
        <w:t>Muquit</w:t>
      </w:r>
      <w:proofErr w:type="spellEnd"/>
      <w:r>
        <w:rPr>
          <w:rFonts w:ascii="Book Antiqua" w:hAnsi="Book Antiqua" w:cs="Arial"/>
        </w:rPr>
        <w:t xml:space="preserve"> argued that there was a contradiction between</w:t>
      </w:r>
      <w:r w:rsidR="004B34A3">
        <w:rPr>
          <w:rFonts w:ascii="Book Antiqua" w:hAnsi="Book Antiqua" w:cs="Arial"/>
        </w:rPr>
        <w:t>, on the one hand, it being accepted that</w:t>
      </w:r>
      <w:r>
        <w:rPr>
          <w:rFonts w:ascii="Book Antiqua" w:hAnsi="Book Antiqua" w:cs="Arial"/>
        </w:rPr>
        <w:t xml:space="preserve"> the </w:t>
      </w:r>
      <w:r w:rsidR="004B34A3">
        <w:rPr>
          <w:rFonts w:ascii="Book Antiqua" w:hAnsi="Book Antiqua" w:cs="Arial"/>
        </w:rPr>
        <w:t>sponsor was working in the UK and, on the other hand, the judge’s comments at paragraph 69 which indicate</w:t>
      </w:r>
      <w:r>
        <w:rPr>
          <w:rFonts w:ascii="Book Antiqua" w:hAnsi="Book Antiqua" w:cs="Arial"/>
        </w:rPr>
        <w:t xml:space="preserve"> that he was of the view that the employment records could have been fabricated and his finding at paragrap</w:t>
      </w:r>
      <w:r w:rsidR="004B34A3">
        <w:rPr>
          <w:rFonts w:ascii="Book Antiqua" w:hAnsi="Book Antiqua" w:cs="Arial"/>
        </w:rPr>
        <w:t>h 70 that it was likely that the sponsor</w:t>
      </w:r>
      <w:r>
        <w:rPr>
          <w:rFonts w:ascii="Book Antiqua" w:hAnsi="Book Antiqua" w:cs="Arial"/>
        </w:rPr>
        <w:t xml:space="preserve"> spent much of her time in Portugal</w:t>
      </w:r>
      <w:r w:rsidR="004B34A3">
        <w:rPr>
          <w:rFonts w:ascii="Book Antiqua" w:hAnsi="Book Antiqua" w:cs="Arial"/>
        </w:rPr>
        <w:t>.</w:t>
      </w:r>
      <w:r>
        <w:rPr>
          <w:rFonts w:ascii="Book Antiqua" w:hAnsi="Book Antiqua" w:cs="Arial"/>
        </w:rPr>
        <w:t xml:space="preserve"> </w:t>
      </w:r>
    </w:p>
    <w:p w:rsidR="007F5AD6" w:rsidRDefault="007F5AD6" w:rsidP="00273201">
      <w:pPr>
        <w:numPr>
          <w:ilvl w:val="0"/>
          <w:numId w:val="1"/>
        </w:numPr>
        <w:tabs>
          <w:tab w:val="clear" w:pos="567"/>
        </w:tabs>
        <w:spacing w:before="240"/>
        <w:rPr>
          <w:rFonts w:ascii="Book Antiqua" w:hAnsi="Book Antiqua" w:cs="Arial"/>
        </w:rPr>
      </w:pPr>
      <w:r>
        <w:rPr>
          <w:rFonts w:ascii="Book Antiqua" w:hAnsi="Book Antiqua" w:cs="Arial"/>
        </w:rPr>
        <w:t>Ms Kiss’s response was tha</w:t>
      </w:r>
      <w:r w:rsidR="004B34A3">
        <w:rPr>
          <w:rFonts w:ascii="Book Antiqua" w:hAnsi="Book Antiqua" w:cs="Arial"/>
        </w:rPr>
        <w:t>t the judge was</w:t>
      </w:r>
      <w:r>
        <w:rPr>
          <w:rFonts w:ascii="Book Antiqua" w:hAnsi="Book Antiqua" w:cs="Arial"/>
        </w:rPr>
        <w:t xml:space="preserve"> being criticised for undertaking the task which he was required to undertake which is to conduct a careful balancing exercise.  She submitted that the judge </w:t>
      </w:r>
      <w:r w:rsidR="004B34A3">
        <w:rPr>
          <w:rFonts w:ascii="Book Antiqua" w:hAnsi="Book Antiqua" w:cs="Arial"/>
        </w:rPr>
        <w:t xml:space="preserve">did </w:t>
      </w:r>
      <w:r>
        <w:rPr>
          <w:rFonts w:ascii="Book Antiqua" w:hAnsi="Book Antiqua" w:cs="Arial"/>
        </w:rPr>
        <w:t>this properly by looking at factors that point in both directions before reaching a conclusion having regard to all of the evidence on the issue before him</w:t>
      </w:r>
      <w:r w:rsidR="004B34A3">
        <w:rPr>
          <w:rFonts w:ascii="Book Antiqua" w:hAnsi="Book Antiqua" w:cs="Arial"/>
        </w:rPr>
        <w:t>,</w:t>
      </w:r>
      <w:r>
        <w:rPr>
          <w:rFonts w:ascii="Book Antiqua" w:hAnsi="Book Antiqua" w:cs="Arial"/>
        </w:rPr>
        <w:t xml:space="preserve"> which was whether the marriage was</w:t>
      </w:r>
      <w:r w:rsidR="004B34A3">
        <w:rPr>
          <w:rFonts w:ascii="Book Antiqua" w:hAnsi="Book Antiqua" w:cs="Arial"/>
        </w:rPr>
        <w:t xml:space="preserve"> a marriage of convenience.  She highlighted that it </w:t>
      </w:r>
      <w:r>
        <w:rPr>
          <w:rFonts w:ascii="Book Antiqua" w:hAnsi="Book Antiqua" w:cs="Arial"/>
        </w:rPr>
        <w:t xml:space="preserve">was not suggested by either party and it is not raised in the grounds that the judge misstated the applicable standard or burden of proof.  </w:t>
      </w:r>
    </w:p>
    <w:p w:rsidR="004B34A3" w:rsidRPr="004B34A3" w:rsidRDefault="004B34A3" w:rsidP="004B34A3">
      <w:pPr>
        <w:spacing w:before="240"/>
        <w:rPr>
          <w:rFonts w:ascii="Book Antiqua" w:hAnsi="Book Antiqua" w:cs="Arial"/>
          <w:b/>
        </w:rPr>
      </w:pPr>
      <w:r w:rsidRPr="004B34A3">
        <w:rPr>
          <w:rFonts w:ascii="Book Antiqua" w:hAnsi="Book Antiqua" w:cs="Arial"/>
          <w:b/>
        </w:rPr>
        <w:t>Analysis</w:t>
      </w:r>
    </w:p>
    <w:p w:rsidR="004B34A3" w:rsidRDefault="007F5AD6" w:rsidP="00273201">
      <w:pPr>
        <w:numPr>
          <w:ilvl w:val="0"/>
          <w:numId w:val="1"/>
        </w:numPr>
        <w:tabs>
          <w:tab w:val="clear" w:pos="567"/>
        </w:tabs>
        <w:spacing w:before="240"/>
        <w:rPr>
          <w:rFonts w:ascii="Book Antiqua" w:hAnsi="Book Antiqua" w:cs="Arial"/>
        </w:rPr>
      </w:pPr>
      <w:r>
        <w:rPr>
          <w:rFonts w:ascii="Book Antiqua" w:hAnsi="Book Antiqua" w:cs="Arial"/>
        </w:rPr>
        <w:t xml:space="preserve">I am satisfied that the decision does not contain a material error of law.  The judge has delivered an extremely detailed decision where he has explored the evidence thoroughly.  Between paragraphs 40 and 70 the judge has </w:t>
      </w:r>
      <w:r w:rsidR="004B34A3">
        <w:rPr>
          <w:rFonts w:ascii="Book Antiqua" w:hAnsi="Book Antiqua" w:cs="Arial"/>
        </w:rPr>
        <w:t xml:space="preserve">considered </w:t>
      </w:r>
      <w:r>
        <w:rPr>
          <w:rFonts w:ascii="Book Antiqua" w:hAnsi="Book Antiqua" w:cs="Arial"/>
        </w:rPr>
        <w:t xml:space="preserve">the material events including in particular the visits by Immigration Officers and the appellant’s </w:t>
      </w:r>
      <w:r w:rsidR="004B34A3">
        <w:rPr>
          <w:rFonts w:ascii="Book Antiqua" w:hAnsi="Book Antiqua" w:cs="Arial"/>
        </w:rPr>
        <w:t>explanations for his absence and the fact that he was not recognised by an occupant.</w:t>
      </w:r>
    </w:p>
    <w:p w:rsidR="004B34A3" w:rsidRPr="004B34A3" w:rsidRDefault="004B34A3" w:rsidP="004B34A3">
      <w:pPr>
        <w:numPr>
          <w:ilvl w:val="0"/>
          <w:numId w:val="1"/>
        </w:numPr>
        <w:spacing w:before="240"/>
        <w:rPr>
          <w:rFonts w:ascii="Book Antiqua" w:hAnsi="Book Antiqua" w:cs="Arial"/>
        </w:rPr>
      </w:pPr>
      <w:r>
        <w:rPr>
          <w:rFonts w:ascii="Book Antiqua" w:hAnsi="Book Antiqua" w:cs="Arial"/>
        </w:rPr>
        <w:t>The judge made the following findings, all of which were consistent with the evidence before him:</w:t>
      </w:r>
    </w:p>
    <w:p w:rsidR="004B34A3" w:rsidRDefault="004B34A3" w:rsidP="004B34A3">
      <w:pPr>
        <w:numPr>
          <w:ilvl w:val="2"/>
          <w:numId w:val="1"/>
        </w:numPr>
        <w:spacing w:before="240"/>
        <w:rPr>
          <w:rFonts w:ascii="Book Antiqua" w:hAnsi="Book Antiqua" w:cs="Arial"/>
        </w:rPr>
      </w:pPr>
      <w:r>
        <w:rPr>
          <w:rFonts w:ascii="Book Antiqua" w:hAnsi="Book Antiqua" w:cs="Arial"/>
        </w:rPr>
        <w:t>T</w:t>
      </w:r>
      <w:r w:rsidR="007F5AD6" w:rsidRPr="004B34A3">
        <w:rPr>
          <w:rFonts w:ascii="Book Antiqua" w:hAnsi="Book Antiqua" w:cs="Arial"/>
        </w:rPr>
        <w:t xml:space="preserve">he appellant </w:t>
      </w:r>
      <w:r>
        <w:rPr>
          <w:rFonts w:ascii="Book Antiqua" w:hAnsi="Book Antiqua" w:cs="Arial"/>
        </w:rPr>
        <w:t xml:space="preserve">wrote </w:t>
      </w:r>
      <w:r w:rsidR="007F5AD6" w:rsidRPr="004B34A3">
        <w:rPr>
          <w:rFonts w:ascii="Book Antiqua" w:hAnsi="Book Antiqua" w:cs="Arial"/>
        </w:rPr>
        <w:t>a letter to the Home Office dating it substantially earlier than when it was in fact sent in order to create the impression that it was sen</w:t>
      </w:r>
      <w:r w:rsidRPr="004B34A3">
        <w:rPr>
          <w:rFonts w:ascii="Book Antiqua" w:hAnsi="Book Antiqua" w:cs="Arial"/>
        </w:rPr>
        <w:t>t prior to an immigration visit</w:t>
      </w:r>
      <w:r>
        <w:rPr>
          <w:rFonts w:ascii="Book Antiqua" w:hAnsi="Book Antiqua" w:cs="Arial"/>
        </w:rPr>
        <w:t>.</w:t>
      </w:r>
    </w:p>
    <w:p w:rsidR="004B34A3" w:rsidRDefault="004B34A3" w:rsidP="004B34A3">
      <w:pPr>
        <w:numPr>
          <w:ilvl w:val="2"/>
          <w:numId w:val="1"/>
        </w:numPr>
        <w:spacing w:before="240"/>
        <w:rPr>
          <w:rFonts w:ascii="Book Antiqua" w:hAnsi="Book Antiqua" w:cs="Arial"/>
        </w:rPr>
      </w:pPr>
      <w:r>
        <w:rPr>
          <w:rFonts w:ascii="Book Antiqua" w:hAnsi="Book Antiqua" w:cs="Arial"/>
        </w:rPr>
        <w:t>T</w:t>
      </w:r>
      <w:r w:rsidR="007F5AD6">
        <w:rPr>
          <w:rFonts w:ascii="Book Antiqua" w:hAnsi="Book Antiqua" w:cs="Arial"/>
        </w:rPr>
        <w:t>wo visits by the Home Office were undertaken where no trace of the</w:t>
      </w:r>
      <w:r>
        <w:rPr>
          <w:rFonts w:ascii="Book Antiqua" w:hAnsi="Book Antiqua" w:cs="Arial"/>
        </w:rPr>
        <w:t xml:space="preserve"> appellant or sponsor was found.</w:t>
      </w:r>
    </w:p>
    <w:p w:rsidR="004B34A3" w:rsidRDefault="004B34A3" w:rsidP="004B34A3">
      <w:pPr>
        <w:numPr>
          <w:ilvl w:val="2"/>
          <w:numId w:val="1"/>
        </w:numPr>
        <w:spacing w:before="240"/>
        <w:rPr>
          <w:rFonts w:ascii="Book Antiqua" w:hAnsi="Book Antiqua" w:cs="Arial"/>
        </w:rPr>
      </w:pPr>
      <w:r>
        <w:rPr>
          <w:rFonts w:ascii="Book Antiqua" w:hAnsi="Book Antiqua" w:cs="Arial"/>
        </w:rPr>
        <w:t>T</w:t>
      </w:r>
      <w:r w:rsidR="007F5AD6">
        <w:rPr>
          <w:rFonts w:ascii="Book Antiqua" w:hAnsi="Book Antiqua" w:cs="Arial"/>
        </w:rPr>
        <w:t>wo invitations to attend interview were declined</w:t>
      </w:r>
      <w:r>
        <w:rPr>
          <w:rFonts w:ascii="Book Antiqua" w:hAnsi="Book Antiqua" w:cs="Arial"/>
        </w:rPr>
        <w:t>.</w:t>
      </w:r>
    </w:p>
    <w:p w:rsidR="004B34A3" w:rsidRDefault="006E3D42" w:rsidP="004B34A3">
      <w:pPr>
        <w:numPr>
          <w:ilvl w:val="2"/>
          <w:numId w:val="1"/>
        </w:numPr>
        <w:spacing w:before="240"/>
        <w:rPr>
          <w:rFonts w:ascii="Book Antiqua" w:hAnsi="Book Antiqua" w:cs="Arial"/>
        </w:rPr>
      </w:pPr>
      <w:r>
        <w:rPr>
          <w:rFonts w:ascii="Book Antiqua" w:hAnsi="Book Antiqua" w:cs="Arial"/>
        </w:rPr>
        <w:t xml:space="preserve"> </w:t>
      </w:r>
      <w:r w:rsidR="004B34A3">
        <w:rPr>
          <w:rFonts w:ascii="Book Antiqua" w:hAnsi="Book Antiqua" w:cs="Arial"/>
        </w:rPr>
        <w:t xml:space="preserve">It was </w:t>
      </w:r>
      <w:r>
        <w:rPr>
          <w:rFonts w:ascii="Book Antiqua" w:hAnsi="Book Antiqua" w:cs="Arial"/>
        </w:rPr>
        <w:t>unclear where the appellant</w:t>
      </w:r>
      <w:r w:rsidR="004B34A3">
        <w:rPr>
          <w:rFonts w:ascii="Book Antiqua" w:hAnsi="Book Antiqua" w:cs="Arial"/>
        </w:rPr>
        <w:t xml:space="preserve"> or sponsor were</w:t>
      </w:r>
      <w:r>
        <w:rPr>
          <w:rFonts w:ascii="Book Antiqua" w:hAnsi="Book Antiqua" w:cs="Arial"/>
        </w:rPr>
        <w:t xml:space="preserve"> </w:t>
      </w:r>
      <w:proofErr w:type="gramStart"/>
      <w:r w:rsidR="004B34A3">
        <w:rPr>
          <w:rFonts w:ascii="Book Antiqua" w:hAnsi="Book Antiqua" w:cs="Arial"/>
        </w:rPr>
        <w:t>actually living</w:t>
      </w:r>
      <w:proofErr w:type="gramEnd"/>
      <w:r w:rsidR="004B34A3">
        <w:rPr>
          <w:rFonts w:ascii="Book Antiqua" w:hAnsi="Book Antiqua" w:cs="Arial"/>
        </w:rPr>
        <w:t>.</w:t>
      </w:r>
    </w:p>
    <w:p w:rsidR="004B34A3" w:rsidRDefault="004B34A3" w:rsidP="004B34A3">
      <w:pPr>
        <w:numPr>
          <w:ilvl w:val="2"/>
          <w:numId w:val="1"/>
        </w:numPr>
        <w:spacing w:before="240"/>
        <w:rPr>
          <w:rFonts w:ascii="Book Antiqua" w:hAnsi="Book Antiqua" w:cs="Arial"/>
        </w:rPr>
      </w:pPr>
      <w:r>
        <w:rPr>
          <w:rFonts w:ascii="Book Antiqua" w:hAnsi="Book Antiqua" w:cs="Arial"/>
        </w:rPr>
        <w:t>The appellant and sponsor claimed to be in one location (Scotland) when the evidence indicated the sponsor was elsewhere (Portugal)</w:t>
      </w:r>
      <w:r w:rsidR="007D1529">
        <w:rPr>
          <w:rFonts w:ascii="Book Antiqua" w:hAnsi="Book Antiqua" w:cs="Arial"/>
        </w:rPr>
        <w:t>.</w:t>
      </w:r>
    </w:p>
    <w:p w:rsidR="004B34A3" w:rsidRDefault="004B34A3" w:rsidP="004B34A3">
      <w:pPr>
        <w:pStyle w:val="ListParagraph"/>
        <w:numPr>
          <w:ilvl w:val="0"/>
          <w:numId w:val="1"/>
        </w:numPr>
        <w:spacing w:before="240"/>
        <w:rPr>
          <w:rFonts w:ascii="Book Antiqua" w:hAnsi="Book Antiqua" w:cs="Arial"/>
        </w:rPr>
      </w:pPr>
      <w:r>
        <w:rPr>
          <w:rFonts w:ascii="Book Antiqua" w:hAnsi="Book Antiqua" w:cs="Arial"/>
        </w:rPr>
        <w:t xml:space="preserve">Having made these findings, </w:t>
      </w:r>
      <w:r w:rsidRPr="004B34A3">
        <w:rPr>
          <w:rFonts w:ascii="Book Antiqua" w:hAnsi="Book Antiqua" w:cs="Arial"/>
        </w:rPr>
        <w:t xml:space="preserve">it was open to the judge to not believe the appellant and reject his credibility even though </w:t>
      </w:r>
      <w:r>
        <w:rPr>
          <w:rFonts w:ascii="Book Antiqua" w:hAnsi="Book Antiqua" w:cs="Arial"/>
        </w:rPr>
        <w:t>the appellant</w:t>
      </w:r>
      <w:r w:rsidRPr="004B34A3">
        <w:rPr>
          <w:rFonts w:ascii="Book Antiqua" w:hAnsi="Book Antiqua" w:cs="Arial"/>
        </w:rPr>
        <w:t xml:space="preserve"> was able to provide witnesses </w:t>
      </w:r>
      <w:r w:rsidR="007D1529">
        <w:rPr>
          <w:rFonts w:ascii="Book Antiqua" w:hAnsi="Book Antiqua" w:cs="Arial"/>
        </w:rPr>
        <w:t xml:space="preserve">who </w:t>
      </w:r>
      <w:r>
        <w:rPr>
          <w:rFonts w:ascii="Book Antiqua" w:hAnsi="Book Antiqua" w:cs="Arial"/>
        </w:rPr>
        <w:t xml:space="preserve">stated that they could </w:t>
      </w:r>
      <w:r w:rsidRPr="004B34A3">
        <w:rPr>
          <w:rFonts w:ascii="Book Antiqua" w:hAnsi="Book Antiqua" w:cs="Arial"/>
        </w:rPr>
        <w:t>corroborate his claims about where he lived.</w:t>
      </w:r>
      <w:r w:rsidR="007D1529">
        <w:rPr>
          <w:rFonts w:ascii="Book Antiqua" w:hAnsi="Book Antiqua" w:cs="Arial"/>
        </w:rPr>
        <w:t xml:space="preserve"> I accept the point made by Mr </w:t>
      </w:r>
      <w:proofErr w:type="spellStart"/>
      <w:r w:rsidR="007D1529">
        <w:rPr>
          <w:rFonts w:ascii="Book Antiqua" w:hAnsi="Book Antiqua" w:cs="Arial"/>
        </w:rPr>
        <w:t>Muquit</w:t>
      </w:r>
      <w:proofErr w:type="spellEnd"/>
      <w:r w:rsidR="007D1529">
        <w:rPr>
          <w:rFonts w:ascii="Book Antiqua" w:hAnsi="Book Antiqua" w:cs="Arial"/>
        </w:rPr>
        <w:t xml:space="preserve"> that it is not clear from the decision what weight the judge </w:t>
      </w:r>
      <w:r w:rsidR="007D1529">
        <w:rPr>
          <w:rFonts w:ascii="Book Antiqua" w:hAnsi="Book Antiqua" w:cs="Arial"/>
        </w:rPr>
        <w:lastRenderedPageBreak/>
        <w:t xml:space="preserve">gave to the sponsor’s pregnancy and whether or not the evidence showing that the sponsor was living in the UK was accepted. However, given the findings summarised above in paragraph 12 which undermine the appellant’s credibility, </w:t>
      </w:r>
      <w:r w:rsidR="006B708C">
        <w:rPr>
          <w:rFonts w:ascii="Book Antiqua" w:hAnsi="Book Antiqua" w:cs="Arial"/>
        </w:rPr>
        <w:t xml:space="preserve">I am satisfied that it was open to the judge to find the appellant not credible </w:t>
      </w:r>
      <w:r w:rsidR="007D1529">
        <w:rPr>
          <w:rFonts w:ascii="Book Antiqua" w:hAnsi="Book Antiqua" w:cs="Arial"/>
        </w:rPr>
        <w:t xml:space="preserve">irrespective of </w:t>
      </w:r>
      <w:r w:rsidR="006B708C">
        <w:rPr>
          <w:rFonts w:ascii="Book Antiqua" w:hAnsi="Book Antiqua" w:cs="Arial"/>
        </w:rPr>
        <w:t xml:space="preserve">the significance of the </w:t>
      </w:r>
      <w:r w:rsidR="007D1529">
        <w:rPr>
          <w:rFonts w:ascii="Book Antiqua" w:hAnsi="Book Antiqua" w:cs="Arial"/>
        </w:rPr>
        <w:t xml:space="preserve">pregnancy and </w:t>
      </w:r>
      <w:r w:rsidR="006B708C">
        <w:rPr>
          <w:rFonts w:ascii="Book Antiqua" w:hAnsi="Book Antiqua" w:cs="Arial"/>
        </w:rPr>
        <w:t>the sponsor’s residency the UK.</w:t>
      </w:r>
    </w:p>
    <w:p w:rsidR="004B34A3" w:rsidRDefault="004B34A3" w:rsidP="004B34A3">
      <w:pPr>
        <w:pStyle w:val="ListParagraph"/>
        <w:spacing w:before="240"/>
        <w:ind w:left="567"/>
        <w:rPr>
          <w:rFonts w:ascii="Book Antiqua" w:hAnsi="Book Antiqua" w:cs="Arial"/>
        </w:rPr>
      </w:pPr>
    </w:p>
    <w:p w:rsidR="004B34A3" w:rsidRDefault="004B34A3" w:rsidP="004B34A3">
      <w:pPr>
        <w:pStyle w:val="ListParagraph"/>
        <w:numPr>
          <w:ilvl w:val="0"/>
          <w:numId w:val="1"/>
        </w:numPr>
        <w:spacing w:before="240"/>
        <w:rPr>
          <w:rFonts w:ascii="Book Antiqua" w:hAnsi="Book Antiqua" w:cs="Arial"/>
        </w:rPr>
      </w:pPr>
      <w:r w:rsidRPr="004B34A3">
        <w:rPr>
          <w:rFonts w:ascii="Book Antiqua" w:hAnsi="Book Antiqua" w:cs="Arial"/>
        </w:rPr>
        <w:t xml:space="preserve">The judge observed </w:t>
      </w:r>
      <w:r w:rsidR="006E3D42" w:rsidRPr="004B34A3">
        <w:rPr>
          <w:rFonts w:ascii="Book Antiqua" w:hAnsi="Book Antiqua" w:cs="Arial"/>
        </w:rPr>
        <w:t>at paragraph 44 that the Secretary of State did not put forward</w:t>
      </w:r>
      <w:r w:rsidRPr="004B34A3">
        <w:rPr>
          <w:rFonts w:ascii="Book Antiqua" w:hAnsi="Book Antiqua" w:cs="Arial"/>
        </w:rPr>
        <w:t xml:space="preserve"> a positive case setting out his</w:t>
      </w:r>
      <w:r w:rsidR="006E3D42" w:rsidRPr="004B34A3">
        <w:rPr>
          <w:rFonts w:ascii="Book Antiqua" w:hAnsi="Book Antiqua" w:cs="Arial"/>
        </w:rPr>
        <w:t xml:space="preserve"> view</w:t>
      </w:r>
      <w:r>
        <w:rPr>
          <w:rFonts w:ascii="Book Antiqua" w:hAnsi="Book Antiqua" w:cs="Arial"/>
        </w:rPr>
        <w:t xml:space="preserve"> on whethe</w:t>
      </w:r>
      <w:r w:rsidR="006B708C">
        <w:rPr>
          <w:rFonts w:ascii="Book Antiqua" w:hAnsi="Book Antiqua" w:cs="Arial"/>
        </w:rPr>
        <w:t xml:space="preserve">r the appellant and sponsor were </w:t>
      </w:r>
      <w:r>
        <w:rPr>
          <w:rFonts w:ascii="Book Antiqua" w:hAnsi="Book Antiqua" w:cs="Arial"/>
        </w:rPr>
        <w:t>living in the same house and pretending to be in a relationship, living in different locations in the UK, or the sponsor was mainly living in Portugal</w:t>
      </w:r>
      <w:r w:rsidR="006E3D42" w:rsidRPr="004B34A3">
        <w:rPr>
          <w:rFonts w:ascii="Book Antiqua" w:hAnsi="Book Antiqua" w:cs="Arial"/>
        </w:rPr>
        <w:t xml:space="preserve">.  Mr </w:t>
      </w:r>
      <w:proofErr w:type="spellStart"/>
      <w:r w:rsidR="006E3D42" w:rsidRPr="004B34A3">
        <w:rPr>
          <w:rFonts w:ascii="Book Antiqua" w:hAnsi="Book Antiqua" w:cs="Arial"/>
        </w:rPr>
        <w:t>Muquit</w:t>
      </w:r>
      <w:proofErr w:type="spellEnd"/>
      <w:r w:rsidR="006E3D42" w:rsidRPr="004B34A3">
        <w:rPr>
          <w:rFonts w:ascii="Book Antiqua" w:hAnsi="Book Antiqua" w:cs="Arial"/>
        </w:rPr>
        <w:t xml:space="preserve"> </w:t>
      </w:r>
      <w:r w:rsidRPr="004B34A3">
        <w:rPr>
          <w:rFonts w:ascii="Book Antiqua" w:hAnsi="Book Antiqua" w:cs="Arial"/>
        </w:rPr>
        <w:t>submitted that because a positive</w:t>
      </w:r>
      <w:r w:rsidR="006E3D42" w:rsidRPr="004B34A3">
        <w:rPr>
          <w:rFonts w:ascii="Book Antiqua" w:hAnsi="Book Antiqua" w:cs="Arial"/>
        </w:rPr>
        <w:t xml:space="preserve"> case has not been put forward the burden of proof</w:t>
      </w:r>
      <w:r w:rsidRPr="004B34A3">
        <w:rPr>
          <w:rFonts w:ascii="Book Antiqua" w:hAnsi="Book Antiqua" w:cs="Arial"/>
        </w:rPr>
        <w:t>,</w:t>
      </w:r>
      <w:r w:rsidR="006E3D42" w:rsidRPr="004B34A3">
        <w:rPr>
          <w:rFonts w:ascii="Book Antiqua" w:hAnsi="Book Antiqua" w:cs="Arial"/>
        </w:rPr>
        <w:t xml:space="preserve"> which lies with the Secretary of State</w:t>
      </w:r>
      <w:r w:rsidRPr="004B34A3">
        <w:rPr>
          <w:rFonts w:ascii="Book Antiqua" w:hAnsi="Book Antiqua" w:cs="Arial"/>
        </w:rPr>
        <w:t>,</w:t>
      </w:r>
      <w:r w:rsidR="006E3D42" w:rsidRPr="004B34A3">
        <w:rPr>
          <w:rFonts w:ascii="Book Antiqua" w:hAnsi="Book Antiqua" w:cs="Arial"/>
        </w:rPr>
        <w:t xml:space="preserve"> has not been discharged. </w:t>
      </w:r>
      <w:r w:rsidRPr="004B34A3">
        <w:rPr>
          <w:rFonts w:ascii="Book Antiqua" w:hAnsi="Book Antiqua" w:cs="Arial"/>
        </w:rPr>
        <w:t>I disagree. The burden on the Secretary of State is to show that on the balance of probabilities the marriage was “a marriage of convenience”. It may, in some cases, assist in establishing that there is a marriage of convenience if the Secretary of State is able to</w:t>
      </w:r>
      <w:r>
        <w:rPr>
          <w:rFonts w:ascii="Book Antiqua" w:hAnsi="Book Antiqua" w:cs="Arial"/>
        </w:rPr>
        <w:t xml:space="preserve"> put forward a  view on how the parties to the marriage are in practice conducting themselves. However, it is not necessary, in order to find that there is a marriage of convenience, for the Secretary of State to put forward a hypothesis or theory (or for the judge to make a finding) about the appellant’s living arrangements following the marriage. The relevant question</w:t>
      </w:r>
      <w:r w:rsidRPr="004B34A3">
        <w:rPr>
          <w:rFonts w:ascii="Book Antiqua" w:hAnsi="Book Antiqua" w:cs="Arial"/>
        </w:rPr>
        <w:t xml:space="preserve"> </w:t>
      </w:r>
      <w:r>
        <w:rPr>
          <w:rFonts w:ascii="Book Antiqua" w:hAnsi="Book Antiqua" w:cs="Arial"/>
        </w:rPr>
        <w:t>i</w:t>
      </w:r>
      <w:r w:rsidRPr="004B34A3">
        <w:rPr>
          <w:rFonts w:ascii="Book Antiqua" w:hAnsi="Book Antiqua" w:cs="Arial"/>
        </w:rPr>
        <w:t xml:space="preserve">s whether the sole aim of the marriage was to circumvent the rules on entry and residence of third-country nationals and obtain for the third-country national a residence permit or authority to reside in a Member State (see para 10 of </w:t>
      </w:r>
      <w:r w:rsidRPr="004B34A3">
        <w:rPr>
          <w:rFonts w:ascii="Book Antiqua" w:hAnsi="Book Antiqua" w:cs="Arial"/>
          <w:i/>
        </w:rPr>
        <w:t>Rosa v Secretary of State for the Home Department</w:t>
      </w:r>
      <w:r w:rsidRPr="004B34A3">
        <w:rPr>
          <w:rFonts w:ascii="Book Antiqua" w:hAnsi="Book Antiqua" w:cs="Arial"/>
        </w:rPr>
        <w:t xml:space="preserve"> [2016] EWCA </w:t>
      </w:r>
      <w:proofErr w:type="spellStart"/>
      <w:r w:rsidRPr="004B34A3">
        <w:rPr>
          <w:rFonts w:ascii="Book Antiqua" w:hAnsi="Book Antiqua" w:cs="Arial"/>
        </w:rPr>
        <w:t>Civ</w:t>
      </w:r>
      <w:proofErr w:type="spellEnd"/>
      <w:r w:rsidRPr="004B34A3">
        <w:rPr>
          <w:rFonts w:ascii="Book Antiqua" w:hAnsi="Book Antiqua" w:cs="Arial"/>
        </w:rPr>
        <w:t xml:space="preserve"> 14)</w:t>
      </w:r>
      <w:r>
        <w:rPr>
          <w:rFonts w:ascii="Book Antiqua" w:hAnsi="Book Antiqua" w:cs="Arial"/>
        </w:rPr>
        <w:t>. It was not necessary to reach a conclusion on the appellant’s living arrangements to reach a conclusion on the intention behind the marriage, which is the relevant question where a marriage of convenience is alleged.</w:t>
      </w:r>
    </w:p>
    <w:p w:rsidR="004B34A3" w:rsidRDefault="004B34A3" w:rsidP="004B34A3">
      <w:pPr>
        <w:pStyle w:val="ListParagraph"/>
        <w:spacing w:before="240"/>
        <w:ind w:left="567"/>
        <w:rPr>
          <w:rFonts w:ascii="Book Antiqua" w:hAnsi="Book Antiqua" w:cs="Arial"/>
        </w:rPr>
      </w:pPr>
    </w:p>
    <w:p w:rsidR="007F5AD6" w:rsidRPr="004B34A3" w:rsidRDefault="004B34A3" w:rsidP="004B34A3">
      <w:pPr>
        <w:pStyle w:val="ListParagraph"/>
        <w:numPr>
          <w:ilvl w:val="0"/>
          <w:numId w:val="1"/>
        </w:numPr>
        <w:spacing w:before="240"/>
        <w:rPr>
          <w:rFonts w:ascii="Book Antiqua" w:hAnsi="Book Antiqua" w:cs="Arial"/>
        </w:rPr>
      </w:pPr>
      <w:r>
        <w:rPr>
          <w:rFonts w:ascii="Book Antiqua" w:hAnsi="Book Antiqua" w:cs="Arial"/>
        </w:rPr>
        <w:t>In this case, the judge, for clearly articulated reasons – as summ</w:t>
      </w:r>
      <w:r w:rsidR="006B708C">
        <w:rPr>
          <w:rFonts w:ascii="Book Antiqua" w:hAnsi="Book Antiqua" w:cs="Arial"/>
        </w:rPr>
        <w:t>arised at paragraph 12 above- did</w:t>
      </w:r>
      <w:r>
        <w:rPr>
          <w:rFonts w:ascii="Book Antiqua" w:hAnsi="Book Antiqua" w:cs="Arial"/>
        </w:rPr>
        <w:t xml:space="preserve"> not find the appellant or sponsor to be credible and rejected their evidence. Having done so, he was entitled to find that the burden had been discharged by the Secretary of State and I am satisfied that </w:t>
      </w:r>
      <w:r w:rsidR="006B708C">
        <w:rPr>
          <w:rFonts w:ascii="Book Antiqua" w:hAnsi="Book Antiqua" w:cs="Arial"/>
        </w:rPr>
        <w:t xml:space="preserve">the </w:t>
      </w:r>
      <w:r>
        <w:rPr>
          <w:rFonts w:ascii="Book Antiqua" w:hAnsi="Book Antiqua" w:cs="Arial"/>
        </w:rPr>
        <w:t xml:space="preserve">conclusion he reached, </w:t>
      </w:r>
      <w:r w:rsidR="006B708C">
        <w:rPr>
          <w:rFonts w:ascii="Book Antiqua" w:hAnsi="Book Antiqua" w:cs="Arial"/>
        </w:rPr>
        <w:t xml:space="preserve">which is </w:t>
      </w:r>
      <w:r>
        <w:rPr>
          <w:rFonts w:ascii="Book Antiqua" w:hAnsi="Book Antiqua" w:cs="Arial"/>
        </w:rPr>
        <w:t>that the marriage betw</w:t>
      </w:r>
      <w:r w:rsidR="006B708C">
        <w:rPr>
          <w:rFonts w:ascii="Book Antiqua" w:hAnsi="Book Antiqua" w:cs="Arial"/>
        </w:rPr>
        <w:t>een the appellant and sponsor was</w:t>
      </w:r>
      <w:r>
        <w:rPr>
          <w:rFonts w:ascii="Book Antiqua" w:hAnsi="Book Antiqua" w:cs="Arial"/>
        </w:rPr>
        <w:t xml:space="preserve"> “a marriage of convenience</w:t>
      </w:r>
      <w:r w:rsidR="006B708C">
        <w:rPr>
          <w:rFonts w:ascii="Book Antiqua" w:hAnsi="Book Antiqua" w:cs="Arial"/>
        </w:rPr>
        <w:t>,</w:t>
      </w:r>
      <w:r>
        <w:rPr>
          <w:rFonts w:ascii="Book Antiqua" w:hAnsi="Book Antiqua" w:cs="Arial"/>
        </w:rPr>
        <w:t xml:space="preserve">” was open to him. </w:t>
      </w:r>
      <w:r w:rsidR="00E3047B" w:rsidRPr="004B34A3">
        <w:rPr>
          <w:rFonts w:ascii="Book Antiqua" w:hAnsi="Book Antiqua" w:cs="Arial"/>
        </w:rPr>
        <w:t>Accordingly</w:t>
      </w:r>
      <w:r w:rsidR="006B708C">
        <w:rPr>
          <w:rFonts w:ascii="Book Antiqua" w:hAnsi="Book Antiqua" w:cs="Arial"/>
        </w:rPr>
        <w:t>,</w:t>
      </w:r>
      <w:r w:rsidR="00E3047B" w:rsidRPr="004B34A3">
        <w:rPr>
          <w:rFonts w:ascii="Book Antiqua" w:hAnsi="Book Antiqua" w:cs="Arial"/>
        </w:rPr>
        <w:t xml:space="preserve"> the appeal is dismissed and the decision of the First-tier Tribunal stands.</w:t>
      </w:r>
    </w:p>
    <w:p w:rsidR="00D949B7" w:rsidRPr="00D949B7" w:rsidRDefault="00D949B7" w:rsidP="00273201">
      <w:pPr>
        <w:spacing w:before="240"/>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273201">
      <w:pPr>
        <w:rPr>
          <w:rFonts w:ascii="Book Antiqua" w:hAnsi="Book Antiqua" w:cs="Arial"/>
        </w:rPr>
      </w:pPr>
    </w:p>
    <w:p w:rsidR="00D949B7" w:rsidRPr="00D949B7" w:rsidRDefault="00D949B7" w:rsidP="00273201">
      <w:pPr>
        <w:rPr>
          <w:rFonts w:ascii="Book Antiqua" w:hAnsi="Book Antiqua" w:cs="Arial"/>
        </w:rPr>
      </w:pPr>
      <w:r w:rsidRPr="00D949B7">
        <w:rPr>
          <w:rFonts w:ascii="Book Antiqua" w:hAnsi="Book Antiqua" w:cs="Arial"/>
        </w:rPr>
        <w:t xml:space="preserve">The appeal is </w:t>
      </w:r>
      <w:r w:rsidR="00E3047B">
        <w:rPr>
          <w:rFonts w:ascii="Book Antiqua" w:hAnsi="Book Antiqua" w:cs="Arial"/>
        </w:rPr>
        <w:t>dismissed.</w:t>
      </w:r>
    </w:p>
    <w:p w:rsidR="00D949B7" w:rsidRPr="00D949B7" w:rsidRDefault="00D949B7" w:rsidP="00273201">
      <w:pPr>
        <w:rPr>
          <w:rFonts w:ascii="Book Antiqua" w:hAnsi="Book Antiqua" w:cs="Arial"/>
        </w:rPr>
      </w:pPr>
    </w:p>
    <w:p w:rsidR="00D949B7" w:rsidRPr="00D949B7" w:rsidRDefault="00D949B7" w:rsidP="00273201">
      <w:pPr>
        <w:rPr>
          <w:rFonts w:ascii="Book Antiqua" w:hAnsi="Book Antiqua" w:cs="Arial"/>
        </w:rPr>
      </w:pPr>
      <w:r w:rsidRPr="00D949B7">
        <w:rPr>
          <w:rFonts w:ascii="Book Antiqua" w:hAnsi="Book Antiqua" w:cs="Arial"/>
        </w:rPr>
        <w:t>No anonymity direction is made.</w:t>
      </w:r>
    </w:p>
    <w:p w:rsidR="00D949B7" w:rsidRPr="009B7433" w:rsidRDefault="00D949B7" w:rsidP="00273201">
      <w:pPr>
        <w:rPr>
          <w:rFonts w:ascii="Book Antiqua" w:hAnsi="Book Antiqua" w:cs="Arial"/>
        </w:rPr>
      </w:pPr>
    </w:p>
    <w:tbl>
      <w:tblPr>
        <w:tblW w:w="0" w:type="auto"/>
        <w:tblLook w:val="01E0" w:firstRow="1" w:lastRow="1" w:firstColumn="1" w:lastColumn="1" w:noHBand="0" w:noVBand="0"/>
      </w:tblPr>
      <w:tblGrid>
        <w:gridCol w:w="5092"/>
        <w:gridCol w:w="322"/>
        <w:gridCol w:w="517"/>
        <w:gridCol w:w="3707"/>
      </w:tblGrid>
      <w:tr w:rsidR="006B708C" w:rsidRPr="00647F2A" w:rsidTr="004E15B1">
        <w:trPr>
          <w:trHeight w:val="277"/>
        </w:trPr>
        <w:tc>
          <w:tcPr>
            <w:tcW w:w="5211" w:type="dxa"/>
          </w:tcPr>
          <w:p w:rsidR="006B708C" w:rsidRDefault="006B708C" w:rsidP="004E15B1">
            <w:pPr>
              <w:tabs>
                <w:tab w:val="left" w:pos="2520"/>
              </w:tabs>
              <w:rPr>
                <w:rFonts w:ascii="Book Antiqua" w:hAnsi="Book Antiqua"/>
                <w:color w:val="000000"/>
              </w:rPr>
            </w:pPr>
            <w:bookmarkStart w:id="0" w:name="_GoBack"/>
            <w:bookmarkEnd w:id="0"/>
          </w:p>
          <w:p w:rsidR="006B708C" w:rsidRDefault="006B708C" w:rsidP="004E15B1">
            <w:pPr>
              <w:tabs>
                <w:tab w:val="left" w:pos="2520"/>
              </w:tabs>
              <w:rPr>
                <w:rFonts w:ascii="Book Antiqua" w:hAnsi="Book Antiqua"/>
                <w:color w:val="000000"/>
              </w:rPr>
            </w:pPr>
            <w:r>
              <w:rPr>
                <w:rFonts w:ascii="Book Antiqua" w:hAnsi="Book Antiqua"/>
                <w:color w:val="000000"/>
              </w:rPr>
              <w:t>Signed</w:t>
            </w:r>
          </w:p>
          <w:p w:rsidR="006B708C" w:rsidRPr="00647F2A" w:rsidRDefault="006B708C" w:rsidP="004E15B1">
            <w:pPr>
              <w:tabs>
                <w:tab w:val="left" w:pos="2520"/>
              </w:tabs>
              <w:rPr>
                <w:rFonts w:ascii="Book Antiqua" w:hAnsi="Book Antiqua"/>
                <w:color w:val="000000"/>
              </w:rPr>
            </w:pPr>
            <w:r>
              <w:rPr>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9" cstate="print"/>
                          <a:srcRect/>
                          <a:stretch>
                            <a:fillRect/>
                          </a:stretch>
                        </pic:blipFill>
                        <pic:spPr bwMode="auto">
                          <a:xfrm>
                            <a:off x="0" y="0"/>
                            <a:ext cx="1482090" cy="323215"/>
                          </a:xfrm>
                          <a:prstGeom prst="rect">
                            <a:avLst/>
                          </a:prstGeom>
                          <a:noFill/>
                          <a:ln w="9525">
                            <a:noFill/>
                            <a:miter lim="800000"/>
                            <a:headEnd/>
                            <a:tailEnd/>
                          </a:ln>
                        </pic:spPr>
                      </pic:pic>
                    </a:graphicData>
                  </a:graphic>
                </wp:anchor>
              </w:drawing>
            </w:r>
          </w:p>
          <w:p w:rsidR="006B708C" w:rsidRPr="00647F2A" w:rsidRDefault="006B708C" w:rsidP="004E15B1">
            <w:pPr>
              <w:tabs>
                <w:tab w:val="left" w:pos="2520"/>
              </w:tabs>
              <w:rPr>
                <w:rFonts w:ascii="Book Antiqua" w:hAnsi="Book Antiqua"/>
                <w:color w:val="000000"/>
              </w:rPr>
            </w:pPr>
          </w:p>
        </w:tc>
        <w:tc>
          <w:tcPr>
            <w:tcW w:w="325" w:type="dxa"/>
          </w:tcPr>
          <w:p w:rsidR="006B708C" w:rsidRPr="00647F2A" w:rsidRDefault="006B708C" w:rsidP="004E15B1">
            <w:pPr>
              <w:jc w:val="center"/>
              <w:rPr>
                <w:rFonts w:ascii="Book Antiqua" w:hAnsi="Book Antiqua"/>
                <w:color w:val="000000"/>
              </w:rPr>
            </w:pPr>
          </w:p>
          <w:p w:rsidR="006B708C" w:rsidRPr="00647F2A" w:rsidRDefault="006B708C" w:rsidP="004E15B1">
            <w:pPr>
              <w:jc w:val="center"/>
              <w:rPr>
                <w:rFonts w:ascii="Book Antiqua" w:hAnsi="Book Antiqua"/>
                <w:color w:val="000000"/>
              </w:rPr>
            </w:pPr>
          </w:p>
        </w:tc>
        <w:tc>
          <w:tcPr>
            <w:tcW w:w="526" w:type="dxa"/>
          </w:tcPr>
          <w:p w:rsidR="006B708C" w:rsidRPr="00647F2A" w:rsidRDefault="006B708C" w:rsidP="004E15B1">
            <w:pPr>
              <w:jc w:val="center"/>
              <w:rPr>
                <w:rFonts w:ascii="Book Antiqua" w:hAnsi="Book Antiqua"/>
                <w:color w:val="000000"/>
              </w:rPr>
            </w:pPr>
          </w:p>
        </w:tc>
        <w:tc>
          <w:tcPr>
            <w:tcW w:w="3792" w:type="dxa"/>
          </w:tcPr>
          <w:p w:rsidR="006B708C" w:rsidRPr="00647F2A" w:rsidRDefault="006B708C" w:rsidP="004E15B1">
            <w:pPr>
              <w:jc w:val="center"/>
              <w:rPr>
                <w:rFonts w:ascii="Book Antiqua" w:hAnsi="Book Antiqua"/>
                <w:color w:val="000000"/>
              </w:rPr>
            </w:pPr>
          </w:p>
        </w:tc>
      </w:tr>
      <w:tr w:rsidR="006B708C" w:rsidRPr="00CD6FF1" w:rsidTr="004E15B1">
        <w:trPr>
          <w:trHeight w:val="1000"/>
        </w:trPr>
        <w:tc>
          <w:tcPr>
            <w:tcW w:w="5211" w:type="dxa"/>
          </w:tcPr>
          <w:p w:rsidR="006B708C" w:rsidRDefault="006B708C" w:rsidP="004E15B1">
            <w:pPr>
              <w:tabs>
                <w:tab w:val="left" w:pos="2520"/>
              </w:tabs>
              <w:rPr>
                <w:rFonts w:ascii="Book Antiqua" w:hAnsi="Book Antiqua" w:cs="Arial"/>
              </w:rPr>
            </w:pPr>
          </w:p>
          <w:p w:rsidR="006B708C" w:rsidRDefault="006B708C" w:rsidP="004E15B1">
            <w:pPr>
              <w:tabs>
                <w:tab w:val="left" w:pos="2520"/>
              </w:tabs>
              <w:rPr>
                <w:rFonts w:ascii="Book Antiqua" w:hAnsi="Book Antiqua" w:cs="Arial"/>
              </w:rPr>
            </w:pPr>
          </w:p>
          <w:p w:rsidR="006B708C" w:rsidRPr="00CD6FF1" w:rsidRDefault="006B708C" w:rsidP="004E15B1">
            <w:pPr>
              <w:tabs>
                <w:tab w:val="left" w:pos="2520"/>
              </w:tabs>
              <w:rPr>
                <w:rFonts w:ascii="Book Antiqua" w:hAnsi="Book Antiqua" w:cs="Arial"/>
              </w:rPr>
            </w:pPr>
            <w:r w:rsidRPr="00CD6FF1">
              <w:rPr>
                <w:rFonts w:ascii="Book Antiqua" w:hAnsi="Book Antiqua" w:cs="Arial"/>
              </w:rPr>
              <w:t>Deputy Upper Tribunal Judge Sheridan</w:t>
            </w:r>
          </w:p>
        </w:tc>
        <w:tc>
          <w:tcPr>
            <w:tcW w:w="325" w:type="dxa"/>
          </w:tcPr>
          <w:p w:rsidR="006B708C" w:rsidRPr="00CD6FF1" w:rsidRDefault="006B708C" w:rsidP="004E15B1">
            <w:pPr>
              <w:tabs>
                <w:tab w:val="left" w:pos="2520"/>
              </w:tabs>
              <w:rPr>
                <w:rFonts w:ascii="Book Antiqua" w:hAnsi="Book Antiqua" w:cs="Arial"/>
              </w:rPr>
            </w:pPr>
          </w:p>
          <w:p w:rsidR="006B708C" w:rsidRPr="00CD6FF1" w:rsidRDefault="006B708C" w:rsidP="004E15B1">
            <w:pPr>
              <w:tabs>
                <w:tab w:val="left" w:pos="2520"/>
              </w:tabs>
              <w:rPr>
                <w:rFonts w:ascii="Book Antiqua" w:hAnsi="Book Antiqua" w:cs="Arial"/>
              </w:rPr>
            </w:pPr>
          </w:p>
        </w:tc>
        <w:tc>
          <w:tcPr>
            <w:tcW w:w="526" w:type="dxa"/>
          </w:tcPr>
          <w:p w:rsidR="006B708C" w:rsidRPr="00CD6FF1" w:rsidRDefault="006B708C" w:rsidP="004E15B1">
            <w:pPr>
              <w:tabs>
                <w:tab w:val="left" w:pos="2520"/>
              </w:tabs>
              <w:rPr>
                <w:rFonts w:ascii="Book Antiqua" w:hAnsi="Book Antiqua" w:cs="Arial"/>
              </w:rPr>
            </w:pPr>
          </w:p>
        </w:tc>
        <w:tc>
          <w:tcPr>
            <w:tcW w:w="3792" w:type="dxa"/>
          </w:tcPr>
          <w:p w:rsidR="006B708C" w:rsidRDefault="006B708C" w:rsidP="004E15B1">
            <w:pPr>
              <w:tabs>
                <w:tab w:val="left" w:pos="2520"/>
              </w:tabs>
              <w:rPr>
                <w:rFonts w:ascii="Book Antiqua" w:hAnsi="Book Antiqua" w:cs="Arial"/>
              </w:rPr>
            </w:pPr>
          </w:p>
          <w:p w:rsidR="006B708C" w:rsidRDefault="006B708C" w:rsidP="004E15B1">
            <w:pPr>
              <w:tabs>
                <w:tab w:val="left" w:pos="2520"/>
              </w:tabs>
              <w:rPr>
                <w:rFonts w:ascii="Book Antiqua" w:hAnsi="Book Antiqua" w:cs="Arial"/>
              </w:rPr>
            </w:pPr>
          </w:p>
          <w:p w:rsidR="006B708C" w:rsidRPr="00CD6FF1" w:rsidRDefault="006B708C" w:rsidP="004E15B1">
            <w:pPr>
              <w:tabs>
                <w:tab w:val="left" w:pos="2520"/>
              </w:tabs>
              <w:rPr>
                <w:rFonts w:ascii="Book Antiqua" w:hAnsi="Book Antiqua" w:cs="Arial"/>
              </w:rPr>
            </w:pPr>
            <w:r w:rsidRPr="00CD6FF1">
              <w:rPr>
                <w:rFonts w:ascii="Book Antiqua" w:hAnsi="Book Antiqua" w:cs="Arial"/>
              </w:rPr>
              <w:t>Dated</w:t>
            </w:r>
            <w:r>
              <w:rPr>
                <w:rFonts w:ascii="Book Antiqua" w:hAnsi="Book Antiqua" w:cs="Arial"/>
              </w:rPr>
              <w:t>: 28 June 2018</w:t>
            </w:r>
            <w:r w:rsidR="008C6828">
              <w:rPr>
                <w:rFonts w:ascii="Book Antiqua" w:hAnsi="Book Antiqua" w:cs="Arial"/>
              </w:rPr>
              <w:t xml:space="preserve"> </w:t>
            </w:r>
          </w:p>
        </w:tc>
      </w:tr>
    </w:tbl>
    <w:p w:rsidR="00B95326" w:rsidRDefault="00B95326" w:rsidP="00CD56A1">
      <w:pPr>
        <w:rPr>
          <w:rFonts w:ascii="Book Antiqua" w:hAnsi="Book Antiqua" w:cs="Arial"/>
          <w:color w:val="000000"/>
        </w:rPr>
      </w:pPr>
    </w:p>
    <w:sectPr w:rsidR="00B95326" w:rsidSect="008C6828">
      <w:headerReference w:type="default" r:id="rId10"/>
      <w:footerReference w:type="default" r:id="rId11"/>
      <w:headerReference w:type="first" r:id="rId12"/>
      <w:footerReference w:type="first" r:id="rId13"/>
      <w:pgSz w:w="11906" w:h="16838"/>
      <w:pgMar w:top="567"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529" w:rsidRDefault="007D1529">
      <w:r>
        <w:separator/>
      </w:r>
    </w:p>
  </w:endnote>
  <w:endnote w:type="continuationSeparator" w:id="0">
    <w:p w:rsidR="007D1529" w:rsidRDefault="007D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529" w:rsidRPr="008C6828" w:rsidRDefault="007D1529" w:rsidP="00593795">
    <w:pPr>
      <w:pStyle w:val="Footer"/>
      <w:jc w:val="center"/>
      <w:rPr>
        <w:rFonts w:ascii="Book Antiqua" w:hAnsi="Book Antiqua" w:cs="Arial"/>
      </w:rPr>
    </w:pPr>
    <w:r w:rsidRPr="008C6828">
      <w:rPr>
        <w:rStyle w:val="PageNumber"/>
        <w:rFonts w:ascii="Book Antiqua" w:hAnsi="Book Antiqua" w:cs="Arial"/>
      </w:rPr>
      <w:fldChar w:fldCharType="begin"/>
    </w:r>
    <w:r w:rsidRPr="008C6828">
      <w:rPr>
        <w:rStyle w:val="PageNumber"/>
        <w:rFonts w:ascii="Book Antiqua" w:hAnsi="Book Antiqua" w:cs="Arial"/>
      </w:rPr>
      <w:instrText xml:space="preserve"> PAGE </w:instrText>
    </w:r>
    <w:r w:rsidRPr="008C6828">
      <w:rPr>
        <w:rStyle w:val="PageNumber"/>
        <w:rFonts w:ascii="Book Antiqua" w:hAnsi="Book Antiqua" w:cs="Arial"/>
      </w:rPr>
      <w:fldChar w:fldCharType="separate"/>
    </w:r>
    <w:r w:rsidR="00106831">
      <w:rPr>
        <w:rStyle w:val="PageNumber"/>
        <w:rFonts w:ascii="Book Antiqua" w:hAnsi="Book Antiqua" w:cs="Arial"/>
        <w:noProof/>
      </w:rPr>
      <w:t>4</w:t>
    </w:r>
    <w:r w:rsidRPr="008C682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529" w:rsidRPr="009B7433" w:rsidRDefault="007D152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529" w:rsidRDefault="007D1529">
      <w:r>
        <w:separator/>
      </w:r>
    </w:p>
  </w:footnote>
  <w:footnote w:type="continuationSeparator" w:id="0">
    <w:p w:rsidR="007D1529" w:rsidRDefault="007D1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529" w:rsidRDefault="007D152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IA/27817/2015</w:t>
    </w:r>
    <w:r w:rsidRPr="009B7433">
      <w:rPr>
        <w:rFonts w:ascii="Book Antiqua" w:hAnsi="Book Antiqua" w:cs="Arial"/>
        <w:sz w:val="16"/>
        <w:szCs w:val="16"/>
      </w:rPr>
      <w:t xml:space="preserve"> </w:t>
    </w:r>
  </w:p>
  <w:p w:rsidR="008C6828" w:rsidRPr="009B7433" w:rsidRDefault="008C682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529" w:rsidRPr="009B7433" w:rsidRDefault="007D152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84414-AD44-4748-A2A3-20DA8AFDB2FF}"/>
    <w:docVar w:name="dgnword-eventsink" w:val="303163384"/>
  </w:docVars>
  <w:rsids>
    <w:rsidRoot w:val="00F812EB"/>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D5D94"/>
    <w:rsid w:val="000F1A0E"/>
    <w:rsid w:val="00106831"/>
    <w:rsid w:val="001165A7"/>
    <w:rsid w:val="00122437"/>
    <w:rsid w:val="0016508E"/>
    <w:rsid w:val="00167D3A"/>
    <w:rsid w:val="00173F50"/>
    <w:rsid w:val="00185986"/>
    <w:rsid w:val="001A3082"/>
    <w:rsid w:val="001B186A"/>
    <w:rsid w:val="001B2F75"/>
    <w:rsid w:val="001C6F5F"/>
    <w:rsid w:val="001D6167"/>
    <w:rsid w:val="001E0450"/>
    <w:rsid w:val="001F2716"/>
    <w:rsid w:val="001F3AC0"/>
    <w:rsid w:val="00207617"/>
    <w:rsid w:val="0023134B"/>
    <w:rsid w:val="00273201"/>
    <w:rsid w:val="00283659"/>
    <w:rsid w:val="002A56E5"/>
    <w:rsid w:val="002C6BD4"/>
    <w:rsid w:val="002D68BF"/>
    <w:rsid w:val="002E4541"/>
    <w:rsid w:val="002F6B98"/>
    <w:rsid w:val="00336CBF"/>
    <w:rsid w:val="00343FE3"/>
    <w:rsid w:val="003546C8"/>
    <w:rsid w:val="0037777D"/>
    <w:rsid w:val="003825D4"/>
    <w:rsid w:val="003A7CF2"/>
    <w:rsid w:val="003C5CE5"/>
    <w:rsid w:val="003D25F1"/>
    <w:rsid w:val="003D60DD"/>
    <w:rsid w:val="003D6FAD"/>
    <w:rsid w:val="003E267B"/>
    <w:rsid w:val="003E7CD1"/>
    <w:rsid w:val="003F0D75"/>
    <w:rsid w:val="00402B9E"/>
    <w:rsid w:val="004249CB"/>
    <w:rsid w:val="0044127D"/>
    <w:rsid w:val="004448DB"/>
    <w:rsid w:val="00446C9A"/>
    <w:rsid w:val="00446F1E"/>
    <w:rsid w:val="00452F2B"/>
    <w:rsid w:val="00477193"/>
    <w:rsid w:val="004A1848"/>
    <w:rsid w:val="004A2D15"/>
    <w:rsid w:val="004A534C"/>
    <w:rsid w:val="004A6F4A"/>
    <w:rsid w:val="004B34A3"/>
    <w:rsid w:val="004B70D7"/>
    <w:rsid w:val="004D6B45"/>
    <w:rsid w:val="004E4717"/>
    <w:rsid w:val="004F2676"/>
    <w:rsid w:val="00507FEC"/>
    <w:rsid w:val="00510F0E"/>
    <w:rsid w:val="005244C7"/>
    <w:rsid w:val="005479E1"/>
    <w:rsid w:val="00550AF2"/>
    <w:rsid w:val="00553028"/>
    <w:rsid w:val="00553E0A"/>
    <w:rsid w:val="00556AA8"/>
    <w:rsid w:val="005570FD"/>
    <w:rsid w:val="005575EA"/>
    <w:rsid w:val="0057790C"/>
    <w:rsid w:val="00593795"/>
    <w:rsid w:val="005A75FF"/>
    <w:rsid w:val="005D10AB"/>
    <w:rsid w:val="00601D8F"/>
    <w:rsid w:val="00605582"/>
    <w:rsid w:val="00611F34"/>
    <w:rsid w:val="00621FE8"/>
    <w:rsid w:val="006434B6"/>
    <w:rsid w:val="00653E97"/>
    <w:rsid w:val="006667DB"/>
    <w:rsid w:val="00684A74"/>
    <w:rsid w:val="0068620A"/>
    <w:rsid w:val="00690B8A"/>
    <w:rsid w:val="006B708C"/>
    <w:rsid w:val="006C2FB8"/>
    <w:rsid w:val="006E3D42"/>
    <w:rsid w:val="006F2CF1"/>
    <w:rsid w:val="007038ED"/>
    <w:rsid w:val="00703BC3"/>
    <w:rsid w:val="00704B61"/>
    <w:rsid w:val="00715A64"/>
    <w:rsid w:val="007217D8"/>
    <w:rsid w:val="00740C1F"/>
    <w:rsid w:val="007552A9"/>
    <w:rsid w:val="0075658A"/>
    <w:rsid w:val="00761858"/>
    <w:rsid w:val="00767D59"/>
    <w:rsid w:val="00776E97"/>
    <w:rsid w:val="00780F86"/>
    <w:rsid w:val="007845C5"/>
    <w:rsid w:val="007912AD"/>
    <w:rsid w:val="007B0824"/>
    <w:rsid w:val="007B5D3C"/>
    <w:rsid w:val="007D1529"/>
    <w:rsid w:val="007F5AD6"/>
    <w:rsid w:val="00815011"/>
    <w:rsid w:val="00821B72"/>
    <w:rsid w:val="0082229E"/>
    <w:rsid w:val="00823EF2"/>
    <w:rsid w:val="00824F2B"/>
    <w:rsid w:val="008303B8"/>
    <w:rsid w:val="00833DCE"/>
    <w:rsid w:val="00833E86"/>
    <w:rsid w:val="00871D34"/>
    <w:rsid w:val="008810C9"/>
    <w:rsid w:val="008A25EC"/>
    <w:rsid w:val="008A6059"/>
    <w:rsid w:val="008B17FF"/>
    <w:rsid w:val="008B270C"/>
    <w:rsid w:val="008B5078"/>
    <w:rsid w:val="008C3D3D"/>
    <w:rsid w:val="008C6828"/>
    <w:rsid w:val="008D1E9B"/>
    <w:rsid w:val="008D4131"/>
    <w:rsid w:val="008F1932"/>
    <w:rsid w:val="0090151B"/>
    <w:rsid w:val="009042A9"/>
    <w:rsid w:val="00921062"/>
    <w:rsid w:val="00936004"/>
    <w:rsid w:val="009722BC"/>
    <w:rsid w:val="009727A3"/>
    <w:rsid w:val="00987774"/>
    <w:rsid w:val="009A11E8"/>
    <w:rsid w:val="009B7433"/>
    <w:rsid w:val="009C4C99"/>
    <w:rsid w:val="009C57C8"/>
    <w:rsid w:val="009D348A"/>
    <w:rsid w:val="009F5220"/>
    <w:rsid w:val="00A07919"/>
    <w:rsid w:val="00A15234"/>
    <w:rsid w:val="00A172F5"/>
    <w:rsid w:val="00A201AB"/>
    <w:rsid w:val="00A31C8B"/>
    <w:rsid w:val="00A509FA"/>
    <w:rsid w:val="00A845DC"/>
    <w:rsid w:val="00AA1D28"/>
    <w:rsid w:val="00B26AA2"/>
    <w:rsid w:val="00B3524D"/>
    <w:rsid w:val="00B40F69"/>
    <w:rsid w:val="00B46616"/>
    <w:rsid w:val="00B528BB"/>
    <w:rsid w:val="00B67339"/>
    <w:rsid w:val="00B7040A"/>
    <w:rsid w:val="00B83391"/>
    <w:rsid w:val="00B95326"/>
    <w:rsid w:val="00BD4196"/>
    <w:rsid w:val="00BF22CA"/>
    <w:rsid w:val="00BF23BB"/>
    <w:rsid w:val="00C26032"/>
    <w:rsid w:val="00C345E1"/>
    <w:rsid w:val="00C36801"/>
    <w:rsid w:val="00C43BFD"/>
    <w:rsid w:val="00C6048A"/>
    <w:rsid w:val="00CB6E35"/>
    <w:rsid w:val="00CD56A1"/>
    <w:rsid w:val="00CE09B1"/>
    <w:rsid w:val="00CE1A46"/>
    <w:rsid w:val="00D05EA6"/>
    <w:rsid w:val="00D20757"/>
    <w:rsid w:val="00D22636"/>
    <w:rsid w:val="00D40FD9"/>
    <w:rsid w:val="00D43DC3"/>
    <w:rsid w:val="00D53769"/>
    <w:rsid w:val="00D6602D"/>
    <w:rsid w:val="00D85C13"/>
    <w:rsid w:val="00D9111A"/>
    <w:rsid w:val="00D91BE3"/>
    <w:rsid w:val="00D949B7"/>
    <w:rsid w:val="00D94AFC"/>
    <w:rsid w:val="00DB70AE"/>
    <w:rsid w:val="00DD5071"/>
    <w:rsid w:val="00DD5C39"/>
    <w:rsid w:val="00DE7DB7"/>
    <w:rsid w:val="00E00A0A"/>
    <w:rsid w:val="00E028B7"/>
    <w:rsid w:val="00E05AD9"/>
    <w:rsid w:val="00E066DE"/>
    <w:rsid w:val="00E07F57"/>
    <w:rsid w:val="00E17CC2"/>
    <w:rsid w:val="00E3047B"/>
    <w:rsid w:val="00E30683"/>
    <w:rsid w:val="00E42107"/>
    <w:rsid w:val="00E453D8"/>
    <w:rsid w:val="00E50BCE"/>
    <w:rsid w:val="00E574BF"/>
    <w:rsid w:val="00E61292"/>
    <w:rsid w:val="00E77C4D"/>
    <w:rsid w:val="00E81D01"/>
    <w:rsid w:val="00EB485A"/>
    <w:rsid w:val="00EE45D8"/>
    <w:rsid w:val="00F22EDA"/>
    <w:rsid w:val="00F40176"/>
    <w:rsid w:val="00F470D6"/>
    <w:rsid w:val="00F5589A"/>
    <w:rsid w:val="00F67EB9"/>
    <w:rsid w:val="00F812EB"/>
    <w:rsid w:val="00F971AB"/>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1CC2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B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73A7B5-6A18-4A9E-AF80-149A9E99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2240</Words>
  <Characters>10864</Characters>
  <Application>Microsoft Office Word</Application>
  <DocSecurity>0</DocSecurity>
  <Lines>90</Lines>
  <Paragraphs>26</Paragraphs>
  <ScaleCrop>false</ScaleCrop>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2018-07-17T16:49:00Z</dcterms:created>
  <dcterms:modified xsi:type="dcterms:W3CDTF">2018-07-17T16:49:00Z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