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Default="00524303" w:rsidP="00F97703">
      <w:pPr>
        <w:jc w:val="center"/>
        <w:rPr>
          <w:rFonts w:ascii="Book Antiqua" w:hAnsi="Book Antiqua" w:cs="Arial"/>
          <w:color w:val="000000"/>
        </w:rPr>
      </w:pPr>
      <w:r>
        <w:rPr>
          <w:noProof/>
        </w:rPr>
        <w:drawing>
          <wp:inline distT="0" distB="0" distL="0" distR="0">
            <wp:extent cx="1404000" cy="1065600"/>
            <wp:effectExtent l="0" t="0" r="571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04000" cy="1065600"/>
                    </a:xfrm>
                    <a:prstGeom prst="rect">
                      <a:avLst/>
                    </a:prstGeom>
                    <a:noFill/>
                    <a:ln>
                      <a:noFill/>
                    </a:ln>
                  </pic:spPr>
                </pic:pic>
              </a:graphicData>
            </a:graphic>
          </wp:inline>
        </w:drawing>
      </w: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BF0D24">
      <w:pPr>
        <w:tabs>
          <w:tab w:val="right" w:pos="9720"/>
        </w:tabs>
        <w:ind w:right="-82"/>
        <w:rPr>
          <w:rFonts w:ascii="Book Antiqua" w:hAnsi="Book Antiqua" w:cs="Arial"/>
        </w:rPr>
      </w:pPr>
      <w:r w:rsidRPr="00D32B8A">
        <w:rPr>
          <w:rFonts w:ascii="Book Antiqua" w:hAnsi="Book Antiqua" w:cs="Arial"/>
          <w:b/>
          <w:color w:val="000000"/>
        </w:rPr>
        <w:t xml:space="preserve">(Immigration and Asylum </w:t>
      </w:r>
      <w:proofErr w:type="gramStart"/>
      <w:r w:rsidRPr="00D32B8A">
        <w:rPr>
          <w:rFonts w:ascii="Book Antiqua" w:hAnsi="Book Antiqua" w:cs="Arial"/>
          <w:b/>
          <w:color w:val="000000"/>
        </w:rPr>
        <w:t>Chamber)</w:t>
      </w:r>
      <w:r w:rsidR="00BF0D24">
        <w:rPr>
          <w:rFonts w:ascii="Book Antiqua" w:hAnsi="Book Antiqua" w:cs="Arial"/>
          <w:b/>
          <w:color w:val="000000"/>
        </w:rPr>
        <w:t xml:space="preserve">   </w:t>
      </w:r>
      <w:proofErr w:type="gramEnd"/>
      <w:r w:rsidR="00BF0D24">
        <w:rPr>
          <w:rFonts w:ascii="Book Antiqua" w:hAnsi="Book Antiqua" w:cs="Arial"/>
          <w:b/>
          <w:color w:val="000000"/>
        </w:rPr>
        <w:t xml:space="preserve">                       </w:t>
      </w:r>
      <w:r w:rsidR="00B3524D" w:rsidRPr="00BF0D24">
        <w:rPr>
          <w:rFonts w:ascii="Book Antiqua" w:hAnsi="Book Antiqua" w:cs="Arial"/>
          <w:b/>
          <w:color w:val="000000"/>
        </w:rPr>
        <w:t>Appeal Number</w:t>
      </w:r>
      <w:r w:rsidR="00D53769" w:rsidRPr="00BF0D24">
        <w:rPr>
          <w:rFonts w:ascii="Book Antiqua" w:hAnsi="Book Antiqua" w:cs="Arial"/>
          <w:b/>
          <w:color w:val="000000"/>
        </w:rPr>
        <w:t>:</w:t>
      </w:r>
      <w:r w:rsidR="00B3524D" w:rsidRPr="00BF0D24">
        <w:rPr>
          <w:rFonts w:ascii="Book Antiqua" w:hAnsi="Book Antiqua" w:cs="Arial"/>
          <w:b/>
          <w:color w:val="000000"/>
        </w:rPr>
        <w:t xml:space="preserve"> </w:t>
      </w:r>
      <w:r w:rsidR="00BF0D24" w:rsidRPr="00BF0D24">
        <w:rPr>
          <w:rFonts w:ascii="Book Antiqua" w:hAnsi="Book Antiqua" w:cs="Arial"/>
          <w:b/>
          <w:color w:val="000000"/>
        </w:rPr>
        <w:t>IA/29051/2012</w:t>
      </w:r>
    </w:p>
    <w:p w:rsidR="00E533BA" w:rsidRPr="00D32B8A" w:rsidRDefault="00E533BA" w:rsidP="003446EF">
      <w:pPr>
        <w:tabs>
          <w:tab w:val="right" w:pos="9720"/>
        </w:tabs>
        <w:ind w:right="-82"/>
        <w:jc w:val="right"/>
        <w:rPr>
          <w:rFonts w:ascii="Book Antiqua" w:hAnsi="Book Antiqua" w:cs="Arial"/>
          <w:color w:val="000000"/>
        </w:rPr>
      </w:pPr>
    </w:p>
    <w:p w:rsidR="000C36F5" w:rsidRPr="00D32B8A" w:rsidRDefault="000C36F5" w:rsidP="000C36F5">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C345E1" w:rsidRDefault="00C345E1" w:rsidP="00C345E1">
      <w:pPr>
        <w:jc w:val="center"/>
        <w:rPr>
          <w:rFonts w:ascii="Book Antiqua" w:hAnsi="Book Antiqua" w:cs="Arial"/>
          <w:color w:val="000000"/>
        </w:rPr>
      </w:pPr>
    </w:p>
    <w:tbl>
      <w:tblPr>
        <w:tblW w:w="0" w:type="auto"/>
        <w:tblLook w:val="01E0" w:firstRow="1" w:lastRow="1" w:firstColumn="1" w:lastColumn="1" w:noHBand="0" w:noVBand="0"/>
      </w:tblPr>
      <w:tblGrid>
        <w:gridCol w:w="4832"/>
        <w:gridCol w:w="4806"/>
      </w:tblGrid>
      <w:tr w:rsidR="00E533BA" w:rsidRPr="003C5723" w:rsidTr="00524303">
        <w:tc>
          <w:tcPr>
            <w:tcW w:w="4928"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A5153C">
              <w:rPr>
                <w:rFonts w:ascii="Book Antiqua" w:hAnsi="Book Antiqua" w:cs="Arial"/>
                <w:b/>
              </w:rPr>
              <w:t>Birmingham</w:t>
            </w:r>
          </w:p>
        </w:tc>
        <w:tc>
          <w:tcPr>
            <w:tcW w:w="4900" w:type="dxa"/>
            <w:shd w:val="clear" w:color="auto" w:fill="auto"/>
          </w:tcPr>
          <w:p w:rsidR="00E533BA" w:rsidRPr="003C5723" w:rsidRDefault="00BF0D24" w:rsidP="003C5723">
            <w:pPr>
              <w:jc w:val="both"/>
              <w:rPr>
                <w:rFonts w:ascii="Book Antiqua" w:hAnsi="Book Antiqua" w:cs="Arial"/>
                <w:b/>
                <w:color w:val="000000"/>
              </w:rPr>
            </w:pPr>
            <w:r>
              <w:rPr>
                <w:rFonts w:ascii="Book Antiqua" w:hAnsi="Book Antiqua" w:cs="Arial"/>
                <w:b/>
                <w:color w:val="000000"/>
              </w:rPr>
              <w:t xml:space="preserve">          </w:t>
            </w:r>
            <w:r w:rsidR="00E533BA" w:rsidRPr="003C5723">
              <w:rPr>
                <w:rFonts w:ascii="Book Antiqua" w:hAnsi="Book Antiqua" w:cs="Arial"/>
                <w:b/>
                <w:color w:val="000000"/>
              </w:rPr>
              <w:t>De</w:t>
            </w:r>
            <w:r w:rsidR="00A5153C">
              <w:rPr>
                <w:rFonts w:ascii="Book Antiqua" w:hAnsi="Book Antiqua" w:cs="Arial"/>
                <w:b/>
                <w:color w:val="000000"/>
              </w:rPr>
              <w:t>cision</w:t>
            </w:r>
            <w:r w:rsidR="00524303">
              <w:rPr>
                <w:rFonts w:ascii="Book Antiqua" w:hAnsi="Book Antiqua" w:cs="Arial"/>
                <w:b/>
                <w:color w:val="000000"/>
              </w:rPr>
              <w:t xml:space="preserve"> and Reasons</w:t>
            </w:r>
            <w:r w:rsidR="00A5153C">
              <w:rPr>
                <w:rFonts w:ascii="Book Antiqua" w:hAnsi="Book Antiqua" w:cs="Arial"/>
                <w:b/>
                <w:color w:val="000000"/>
              </w:rPr>
              <w:t xml:space="preserve"> p</w:t>
            </w:r>
            <w:r w:rsidR="00E533BA" w:rsidRPr="003C5723">
              <w:rPr>
                <w:rFonts w:ascii="Book Antiqua" w:hAnsi="Book Antiqua" w:cs="Arial"/>
                <w:b/>
                <w:color w:val="000000"/>
              </w:rPr>
              <w:t>romulgated</w:t>
            </w:r>
          </w:p>
        </w:tc>
      </w:tr>
      <w:tr w:rsidR="00E533BA" w:rsidRPr="003C5723" w:rsidTr="00524303">
        <w:tc>
          <w:tcPr>
            <w:tcW w:w="4928" w:type="dxa"/>
            <w:shd w:val="clear" w:color="auto" w:fill="auto"/>
          </w:tcPr>
          <w:p w:rsidR="00E533BA" w:rsidRPr="003C5723" w:rsidRDefault="00524303" w:rsidP="003C5723">
            <w:pPr>
              <w:jc w:val="both"/>
              <w:rPr>
                <w:rFonts w:ascii="Book Antiqua" w:hAnsi="Book Antiqua" w:cs="Arial"/>
                <w:b/>
              </w:rPr>
            </w:pPr>
            <w:r>
              <w:rPr>
                <w:rFonts w:ascii="Book Antiqua" w:hAnsi="Book Antiqua" w:cs="Arial"/>
                <w:b/>
              </w:rPr>
              <w:t>O</w:t>
            </w:r>
            <w:r w:rsidR="00E533BA" w:rsidRPr="003C5723">
              <w:rPr>
                <w:rFonts w:ascii="Book Antiqua" w:hAnsi="Book Antiqua" w:cs="Arial"/>
                <w:b/>
              </w:rPr>
              <w:t xml:space="preserve">n </w:t>
            </w:r>
            <w:r w:rsidR="00A5153C">
              <w:rPr>
                <w:rFonts w:ascii="Book Antiqua" w:hAnsi="Book Antiqua" w:cs="Arial"/>
                <w:b/>
              </w:rPr>
              <w:t>10 May 2018</w:t>
            </w:r>
          </w:p>
        </w:tc>
        <w:tc>
          <w:tcPr>
            <w:tcW w:w="4900" w:type="dxa"/>
            <w:shd w:val="clear" w:color="auto" w:fill="auto"/>
          </w:tcPr>
          <w:p w:rsidR="00E533BA" w:rsidRPr="003C5723" w:rsidRDefault="00BF0D24" w:rsidP="003C5723">
            <w:pPr>
              <w:jc w:val="both"/>
              <w:rPr>
                <w:rFonts w:ascii="Book Antiqua" w:hAnsi="Book Antiqua" w:cs="Arial"/>
                <w:b/>
              </w:rPr>
            </w:pPr>
            <w:r>
              <w:rPr>
                <w:rFonts w:ascii="Book Antiqua" w:hAnsi="Book Antiqua" w:cs="Arial"/>
                <w:b/>
              </w:rPr>
              <w:t xml:space="preserve">          </w:t>
            </w:r>
            <w:r w:rsidR="00524303">
              <w:rPr>
                <w:rFonts w:ascii="Book Antiqua" w:hAnsi="Book Antiqua" w:cs="Arial"/>
                <w:b/>
              </w:rPr>
              <w:t xml:space="preserve">On 05 June 2018 </w:t>
            </w:r>
          </w:p>
        </w:tc>
      </w:tr>
    </w:tbl>
    <w:p w:rsidR="00E533BA" w:rsidRPr="00D32B8A" w:rsidRDefault="00E533BA" w:rsidP="00C345E1">
      <w:pPr>
        <w:jc w:val="center"/>
        <w:rPr>
          <w:rFonts w:ascii="Book Antiqua" w:hAnsi="Book Antiqua" w:cs="Arial"/>
          <w:color w:val="000000"/>
        </w:rPr>
      </w:pPr>
    </w:p>
    <w:p w:rsidR="00A15234" w:rsidRPr="00D32B8A" w:rsidRDefault="00A15234" w:rsidP="00A15234">
      <w:pPr>
        <w:jc w:val="center"/>
        <w:rPr>
          <w:rFonts w:ascii="Book Antiqua" w:hAnsi="Book Antiqua" w:cs="Arial"/>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D20757" w:rsidRPr="00D32B8A" w:rsidRDefault="00D20757" w:rsidP="00A15234">
      <w:pPr>
        <w:jc w:val="center"/>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A5153C" w:rsidRPr="00D32B8A" w:rsidRDefault="00A5153C" w:rsidP="00B467EA">
      <w:pPr>
        <w:jc w:val="center"/>
        <w:outlineLvl w:val="0"/>
        <w:rPr>
          <w:rFonts w:ascii="Book Antiqua" w:hAnsi="Book Antiqua" w:cs="Arial"/>
          <w:b/>
        </w:rPr>
      </w:pPr>
    </w:p>
    <w:p w:rsidR="00A845DC" w:rsidRDefault="00A5153C" w:rsidP="00A15234">
      <w:pPr>
        <w:jc w:val="center"/>
        <w:rPr>
          <w:rFonts w:ascii="Book Antiqua" w:hAnsi="Book Antiqua" w:cs="Arial"/>
          <w:b/>
        </w:rPr>
      </w:pPr>
      <w:r>
        <w:rPr>
          <w:rFonts w:ascii="Book Antiqua" w:hAnsi="Book Antiqua" w:cs="Arial"/>
          <w:b/>
        </w:rPr>
        <w:t>KAI ZHAO</w:t>
      </w:r>
    </w:p>
    <w:p w:rsidR="00A5153C" w:rsidRPr="00BF0D24" w:rsidRDefault="00BF0D24" w:rsidP="00A15234">
      <w:pPr>
        <w:jc w:val="center"/>
        <w:rPr>
          <w:rFonts w:ascii="Book Antiqua" w:hAnsi="Book Antiqua" w:cs="Arial"/>
        </w:rPr>
      </w:pPr>
      <w:r w:rsidRPr="00BF0D24">
        <w:rPr>
          <w:rFonts w:ascii="Book Antiqua" w:hAnsi="Book Antiqua" w:cs="Arial"/>
        </w:rPr>
        <w:t>(ANONYMITY DIRECTION NOT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BF0D24" w:rsidRDefault="00BF0D24" w:rsidP="00704B61">
      <w:pPr>
        <w:jc w:val="center"/>
        <w:rPr>
          <w:rFonts w:ascii="Book Antiqua" w:hAnsi="Book Antiqua" w:cs="Arial"/>
          <w:b/>
        </w:rPr>
      </w:pP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Default="00DD5071" w:rsidP="00704B61">
      <w:pPr>
        <w:jc w:val="center"/>
        <w:rPr>
          <w:rFonts w:ascii="Book Antiqua" w:hAnsi="Book Antiqua" w:cs="Arial"/>
          <w:b/>
        </w:rPr>
      </w:pPr>
    </w:p>
    <w:p w:rsidR="00BF0D24" w:rsidRPr="00D32B8A" w:rsidRDefault="00BF0D24" w:rsidP="00704B61">
      <w:pPr>
        <w:jc w:val="center"/>
        <w:rPr>
          <w:rFonts w:ascii="Book Antiqua" w:hAnsi="Book Antiqua" w:cs="Arial"/>
          <w:b/>
        </w:rPr>
      </w:pPr>
      <w:r>
        <w:rPr>
          <w:rFonts w:ascii="Book Antiqua" w:hAnsi="Book Antiqua" w:cs="Arial"/>
          <w:b/>
        </w:rPr>
        <w:t>THE SECRETARY OF STATE FOR THE HOME DEPARTMENT</w:t>
      </w:r>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Pr="00D32B8A" w:rsidRDefault="00DD5071"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DD5071">
      <w:pPr>
        <w:rPr>
          <w:rFonts w:ascii="Book Antiqua" w:hAnsi="Book Antiqua" w:cs="Arial"/>
        </w:rPr>
      </w:pPr>
    </w:p>
    <w:p w:rsidR="00DE7DB7" w:rsidRPr="00D32B8A" w:rsidRDefault="00DE7DB7" w:rsidP="00B467EA">
      <w:pPr>
        <w:tabs>
          <w:tab w:val="left" w:pos="2520"/>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BF0D24">
        <w:rPr>
          <w:rFonts w:ascii="Book Antiqua" w:hAnsi="Book Antiqua" w:cs="Arial"/>
        </w:rPr>
        <w:t xml:space="preserve">        </w:t>
      </w:r>
      <w:r w:rsidR="00080F58">
        <w:rPr>
          <w:rFonts w:ascii="Book Antiqua" w:hAnsi="Book Antiqua" w:cs="Arial"/>
        </w:rPr>
        <w:t>Mr J Walsh instructed by Stevens &amp; Richard Solicitors LLP</w:t>
      </w:r>
      <w:r w:rsidRPr="00D32B8A">
        <w:rPr>
          <w:rFonts w:ascii="Book Antiqua" w:hAnsi="Book Antiqua" w:cs="Arial"/>
        </w:rPr>
        <w:tab/>
      </w:r>
    </w:p>
    <w:p w:rsidR="00DE7DB7" w:rsidRPr="00D32B8A" w:rsidRDefault="00DE7DB7" w:rsidP="00DE7DB7">
      <w:pPr>
        <w:tabs>
          <w:tab w:val="left" w:pos="2520"/>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BF0D24">
        <w:rPr>
          <w:rFonts w:ascii="Book Antiqua" w:hAnsi="Book Antiqua" w:cs="Arial"/>
        </w:rPr>
        <w:t xml:space="preserve">     Mr Mills, Senior</w:t>
      </w:r>
      <w:r w:rsidR="00A67E95">
        <w:rPr>
          <w:rFonts w:ascii="Book Antiqua" w:hAnsi="Book Antiqua" w:cs="Arial"/>
        </w:rPr>
        <w:t xml:space="preserve"> Home Office Presenting Officer</w:t>
      </w:r>
      <w:r w:rsidRPr="00D32B8A">
        <w:rPr>
          <w:rFonts w:ascii="Book Antiqua" w:hAnsi="Book Antiqua" w:cs="Arial"/>
        </w:rPr>
        <w:tab/>
      </w:r>
    </w:p>
    <w:p w:rsidR="00DE7DB7" w:rsidRPr="00D32B8A" w:rsidRDefault="00DE7DB7" w:rsidP="00402B9E">
      <w:pPr>
        <w:tabs>
          <w:tab w:val="left" w:pos="2520"/>
        </w:tabs>
        <w:jc w:val="center"/>
        <w:rPr>
          <w:rFonts w:ascii="Book Antiqua" w:hAnsi="Book Antiqua" w:cs="Arial"/>
        </w:rPr>
      </w:pPr>
    </w:p>
    <w:p w:rsidR="00DE7DB7" w:rsidRPr="00D32B8A" w:rsidRDefault="00DE7DB7"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E</w:t>
      </w:r>
      <w:r w:rsidR="00A5153C">
        <w:rPr>
          <w:rFonts w:ascii="Book Antiqua" w:hAnsi="Book Antiqua"/>
          <w:b/>
          <w:u w:val="single"/>
        </w:rPr>
        <w:t xml:space="preserve">RROR OF LAW FINDING AND </w:t>
      </w:r>
      <w:r>
        <w:rPr>
          <w:rFonts w:ascii="Book Antiqua" w:hAnsi="Book Antiqua"/>
          <w:b/>
          <w:u w:val="single"/>
        </w:rPr>
        <w:t>REASONS</w:t>
      </w:r>
    </w:p>
    <w:p w:rsidR="00BE485D" w:rsidRDefault="00BE485D" w:rsidP="00BE485D">
      <w:pPr>
        <w:tabs>
          <w:tab w:val="left" w:pos="2520"/>
        </w:tabs>
        <w:ind w:left="360"/>
        <w:jc w:val="both"/>
        <w:rPr>
          <w:rFonts w:ascii="Book Antiqua" w:hAnsi="Book Antiqua" w:cs="Arial"/>
        </w:rPr>
      </w:pPr>
    </w:p>
    <w:p w:rsidR="00BE485D" w:rsidRDefault="00BE485D" w:rsidP="00BE485D">
      <w:pPr>
        <w:tabs>
          <w:tab w:val="left" w:pos="2520"/>
        </w:tabs>
        <w:ind w:left="360"/>
        <w:jc w:val="both"/>
        <w:rPr>
          <w:rFonts w:ascii="Book Antiqua" w:hAnsi="Book Antiqua" w:cs="Arial"/>
        </w:rPr>
      </w:pPr>
    </w:p>
    <w:p w:rsidR="00BE485D" w:rsidRDefault="00A5153C" w:rsidP="0092787C">
      <w:pPr>
        <w:numPr>
          <w:ilvl w:val="0"/>
          <w:numId w:val="3"/>
        </w:numPr>
        <w:tabs>
          <w:tab w:val="left" w:pos="2520"/>
        </w:tabs>
        <w:jc w:val="both"/>
        <w:rPr>
          <w:rFonts w:ascii="Book Antiqua" w:hAnsi="Book Antiqua" w:cs="Arial"/>
        </w:rPr>
      </w:pPr>
      <w:r>
        <w:rPr>
          <w:rFonts w:ascii="Book Antiqua" w:hAnsi="Book Antiqua" w:cs="Arial"/>
        </w:rPr>
        <w:t>The appellant appeals with permission against a decision of First-tier Tribunal Judge Robertson promulgated on 21 September 2017 in which the Judge dismissed the appellant’s appeal on human rights grounds.</w:t>
      </w:r>
    </w:p>
    <w:p w:rsidR="00402B9E" w:rsidRPr="00D32B8A" w:rsidRDefault="00402B9E" w:rsidP="0092787C">
      <w:pPr>
        <w:tabs>
          <w:tab w:val="left" w:pos="2520"/>
        </w:tabs>
        <w:ind w:left="360" w:firstLine="60"/>
        <w:jc w:val="both"/>
        <w:rPr>
          <w:rFonts w:ascii="Book Antiqua" w:hAnsi="Book Antiqua" w:cs="Arial"/>
        </w:rPr>
      </w:pPr>
    </w:p>
    <w:p w:rsidR="00D32B8A" w:rsidRDefault="00FD1BDB" w:rsidP="0092787C">
      <w:pPr>
        <w:pStyle w:val="Heading5"/>
        <w:jc w:val="both"/>
        <w:rPr>
          <w:rFonts w:ascii="Book Antiqua" w:hAnsi="Book Antiqua" w:cs="Arial"/>
          <w:sz w:val="24"/>
        </w:rPr>
      </w:pPr>
      <w:r>
        <w:rPr>
          <w:rFonts w:ascii="Book Antiqua" w:hAnsi="Book Antiqua" w:cs="Arial"/>
          <w:sz w:val="24"/>
        </w:rPr>
        <w:t>Background</w:t>
      </w:r>
    </w:p>
    <w:p w:rsidR="00BE485D" w:rsidRPr="00BE485D" w:rsidRDefault="00BE485D" w:rsidP="0092787C">
      <w:pPr>
        <w:jc w:val="both"/>
        <w:rPr>
          <w:lang w:eastAsia="en-US"/>
        </w:rPr>
      </w:pPr>
    </w:p>
    <w:p w:rsidR="00FD1BDB" w:rsidRDefault="00A5153C" w:rsidP="0092787C">
      <w:pPr>
        <w:numPr>
          <w:ilvl w:val="0"/>
          <w:numId w:val="3"/>
        </w:numPr>
        <w:jc w:val="both"/>
        <w:rPr>
          <w:rFonts w:ascii="Book Antiqua" w:hAnsi="Book Antiqua" w:cs="Arial"/>
        </w:rPr>
      </w:pPr>
      <w:r>
        <w:rPr>
          <w:rFonts w:ascii="Book Antiqua" w:hAnsi="Book Antiqua" w:cs="Arial"/>
        </w:rPr>
        <w:t>The appellant, a citizen of China, was born on 16 September 1964. The Judge sets out a detailed immigration and procedural history in relation to the appellant</w:t>
      </w:r>
      <w:r w:rsidR="00080F58">
        <w:rPr>
          <w:rFonts w:ascii="Book Antiqua" w:hAnsi="Book Antiqua" w:cs="Arial"/>
        </w:rPr>
        <w:t>;</w:t>
      </w:r>
      <w:r>
        <w:rPr>
          <w:rFonts w:ascii="Book Antiqua" w:hAnsi="Book Antiqua" w:cs="Arial"/>
        </w:rPr>
        <w:t xml:space="preserve"> noting he arrived on 3 December 1996, has been granted various periods of leave to remain as a student until 31 May 2000 afte</w:t>
      </w:r>
      <w:bookmarkStart w:id="0" w:name="_GoBack"/>
      <w:bookmarkEnd w:id="0"/>
      <w:r>
        <w:rPr>
          <w:rFonts w:ascii="Book Antiqua" w:hAnsi="Book Antiqua" w:cs="Arial"/>
        </w:rPr>
        <w:t xml:space="preserve">r which no further applications were </w:t>
      </w:r>
      <w:r>
        <w:rPr>
          <w:rFonts w:ascii="Book Antiqua" w:hAnsi="Book Antiqua" w:cs="Arial"/>
        </w:rPr>
        <w:lastRenderedPageBreak/>
        <w:t xml:space="preserve">made </w:t>
      </w:r>
      <w:r w:rsidR="00080F58">
        <w:rPr>
          <w:rFonts w:ascii="Book Antiqua" w:hAnsi="Book Antiqua" w:cs="Arial"/>
        </w:rPr>
        <w:t xml:space="preserve">until </w:t>
      </w:r>
      <w:r>
        <w:rPr>
          <w:rFonts w:ascii="Book Antiqua" w:hAnsi="Book Antiqua" w:cs="Arial"/>
        </w:rPr>
        <w:t>an application for indefinite leave to remain on the basis of long residenc</w:t>
      </w:r>
      <w:r w:rsidR="00080F58">
        <w:rPr>
          <w:rFonts w:ascii="Book Antiqua" w:hAnsi="Book Antiqua" w:cs="Arial"/>
        </w:rPr>
        <w:t>e</w:t>
      </w:r>
      <w:r>
        <w:rPr>
          <w:rFonts w:ascii="Book Antiqua" w:hAnsi="Book Antiqua" w:cs="Arial"/>
        </w:rPr>
        <w:t xml:space="preserve"> which was refused on 24 February 2011 without a right of appeal. The applicant then applied for indefinite leave to remain </w:t>
      </w:r>
      <w:r w:rsidR="00080F58">
        <w:rPr>
          <w:rFonts w:ascii="Book Antiqua" w:hAnsi="Book Antiqua" w:cs="Arial"/>
        </w:rPr>
        <w:t xml:space="preserve">on </w:t>
      </w:r>
      <w:r>
        <w:rPr>
          <w:rFonts w:ascii="Book Antiqua" w:hAnsi="Book Antiqua" w:cs="Arial"/>
        </w:rPr>
        <w:t>the basis of long residenc</w:t>
      </w:r>
      <w:r w:rsidR="00080F58">
        <w:rPr>
          <w:rFonts w:ascii="Book Antiqua" w:hAnsi="Book Antiqua" w:cs="Arial"/>
        </w:rPr>
        <w:t xml:space="preserve">e </w:t>
      </w:r>
      <w:r>
        <w:rPr>
          <w:rFonts w:ascii="Book Antiqua" w:hAnsi="Book Antiqua" w:cs="Arial"/>
        </w:rPr>
        <w:t xml:space="preserve">on 3 February 2012 claiming to have 10 years continuous lawful residence and 14 years continuing residence which was refused by the respondent. </w:t>
      </w:r>
      <w:r w:rsidR="00080F58">
        <w:rPr>
          <w:rFonts w:ascii="Book Antiqua" w:hAnsi="Book Antiqua" w:cs="Arial"/>
        </w:rPr>
        <w:t xml:space="preserve">The </w:t>
      </w:r>
      <w:r>
        <w:rPr>
          <w:rFonts w:ascii="Book Antiqua" w:hAnsi="Book Antiqua" w:cs="Arial"/>
        </w:rPr>
        <w:t>Judge refers to numerous previous hearings before other judges in relation to this application which eventually came before the Judge following orders the Court of Appeal and remittal of article 8</w:t>
      </w:r>
      <w:r w:rsidR="00080F58">
        <w:rPr>
          <w:rFonts w:ascii="Book Antiqua" w:hAnsi="Book Antiqua" w:cs="Arial"/>
        </w:rPr>
        <w:t xml:space="preserve"> E</w:t>
      </w:r>
      <w:r>
        <w:rPr>
          <w:rFonts w:ascii="Book Antiqua" w:hAnsi="Book Antiqua" w:cs="Arial"/>
        </w:rPr>
        <w:t>CHR matters by a Deputy Judge of the Upper Tribunal.</w:t>
      </w:r>
    </w:p>
    <w:p w:rsidR="00A5153C" w:rsidRDefault="00A5153C" w:rsidP="0092787C">
      <w:pPr>
        <w:numPr>
          <w:ilvl w:val="0"/>
          <w:numId w:val="3"/>
        </w:numPr>
        <w:jc w:val="both"/>
        <w:rPr>
          <w:rFonts w:ascii="Book Antiqua" w:hAnsi="Book Antiqua" w:cs="Arial"/>
        </w:rPr>
      </w:pPr>
      <w:r>
        <w:rPr>
          <w:rFonts w:ascii="Book Antiqua" w:hAnsi="Book Antiqua" w:cs="Arial"/>
        </w:rPr>
        <w:t>The Judge sets out a key finding at [26] in the following terms:</w:t>
      </w:r>
    </w:p>
    <w:p w:rsidR="00A5153C" w:rsidRDefault="00A5153C" w:rsidP="0092787C">
      <w:pPr>
        <w:ind w:left="1080"/>
        <w:jc w:val="both"/>
        <w:rPr>
          <w:rFonts w:ascii="Book Antiqua" w:hAnsi="Book Antiqua" w:cs="Arial"/>
        </w:rPr>
      </w:pPr>
    </w:p>
    <w:p w:rsidR="00A5153C" w:rsidRDefault="00A5153C" w:rsidP="0092787C">
      <w:pPr>
        <w:ind w:left="2265" w:hanging="564"/>
        <w:jc w:val="both"/>
        <w:rPr>
          <w:rFonts w:ascii="Book Antiqua" w:hAnsi="Book Antiqua" w:cs="Arial"/>
          <w:sz w:val="20"/>
          <w:szCs w:val="20"/>
        </w:rPr>
      </w:pPr>
      <w:r>
        <w:rPr>
          <w:rFonts w:ascii="Book Antiqua" w:hAnsi="Book Antiqua" w:cs="Arial"/>
          <w:sz w:val="20"/>
          <w:szCs w:val="20"/>
        </w:rPr>
        <w:t xml:space="preserve">26. </w:t>
      </w:r>
      <w:r w:rsidR="00080F58">
        <w:rPr>
          <w:rFonts w:ascii="Book Antiqua" w:hAnsi="Book Antiqua" w:cs="Arial"/>
          <w:sz w:val="20"/>
          <w:szCs w:val="20"/>
        </w:rPr>
        <w:tab/>
      </w:r>
      <w:r>
        <w:rPr>
          <w:rFonts w:ascii="Book Antiqua" w:hAnsi="Book Antiqua" w:cs="Arial"/>
          <w:sz w:val="20"/>
          <w:szCs w:val="20"/>
        </w:rPr>
        <w:t>On the evidence, in the round, on the balance of probabilities, I find that the Appellant has failed to discharge the burden of proof to establish that he was resident in the UK between 31 May 2000 and October 2002. I would add that whilst I have not taken into account the findings of fact made by DUTJ Juss</w:t>
      </w:r>
      <w:r w:rsidR="00B81C02">
        <w:rPr>
          <w:rFonts w:ascii="Book Antiqua" w:hAnsi="Book Antiqua" w:cs="Arial"/>
          <w:sz w:val="20"/>
          <w:szCs w:val="20"/>
        </w:rPr>
        <w:t>, my own findings on the evidence before me have not differed from his findings on the gap in the evidence before me.</w:t>
      </w:r>
    </w:p>
    <w:p w:rsidR="00FD1BDB" w:rsidRDefault="00FD1BDB" w:rsidP="0092787C">
      <w:pPr>
        <w:ind w:left="1701"/>
        <w:jc w:val="both"/>
        <w:rPr>
          <w:rFonts w:ascii="Book Antiqua" w:hAnsi="Book Antiqua" w:cs="Arial"/>
        </w:rPr>
      </w:pPr>
    </w:p>
    <w:p w:rsidR="00FD1BDB" w:rsidRDefault="00B81C02" w:rsidP="0092787C">
      <w:pPr>
        <w:numPr>
          <w:ilvl w:val="0"/>
          <w:numId w:val="3"/>
        </w:numPr>
        <w:jc w:val="both"/>
        <w:rPr>
          <w:rFonts w:ascii="Book Antiqua" w:hAnsi="Book Antiqua" w:cs="Arial"/>
        </w:rPr>
      </w:pPr>
      <w:r>
        <w:rPr>
          <w:rFonts w:ascii="Book Antiqua" w:hAnsi="Book Antiqua" w:cs="Arial"/>
        </w:rPr>
        <w:t>The Judge therefore finds the appel</w:t>
      </w:r>
      <w:r w:rsidR="00136433">
        <w:rPr>
          <w:rFonts w:ascii="Book Antiqua" w:hAnsi="Book Antiqua" w:cs="Arial"/>
        </w:rPr>
        <w:t>lant had</w:t>
      </w:r>
      <w:r>
        <w:rPr>
          <w:rFonts w:ascii="Book Antiqua" w:hAnsi="Book Antiqua" w:cs="Arial"/>
        </w:rPr>
        <w:t xml:space="preserve"> been in the United Kingdom from 3</w:t>
      </w:r>
      <w:r w:rsidRPr="00B81C02">
        <w:rPr>
          <w:rFonts w:ascii="Book Antiqua" w:hAnsi="Book Antiqua" w:cs="Arial"/>
          <w:vertAlign w:val="superscript"/>
        </w:rPr>
        <w:t>rd</w:t>
      </w:r>
      <w:r>
        <w:rPr>
          <w:rFonts w:ascii="Book Antiqua" w:hAnsi="Book Antiqua" w:cs="Arial"/>
        </w:rPr>
        <w:t xml:space="preserve"> December to 1996 to 31 May 2000, a period of 3 ½ years, and then from October 2002 to the date of the hearing appeal of approximately 14 years and 10 months. Although the Judge notes this is not the 20 years provided for in paragraph 276ADE(1)(iii) this is still a considerable period of time. </w:t>
      </w:r>
      <w:r w:rsidR="00080F58">
        <w:rPr>
          <w:rFonts w:ascii="Book Antiqua" w:hAnsi="Book Antiqua" w:cs="Arial"/>
        </w:rPr>
        <w:t xml:space="preserve">The </w:t>
      </w:r>
      <w:r>
        <w:rPr>
          <w:rFonts w:ascii="Book Antiqua" w:hAnsi="Book Antiqua" w:cs="Arial"/>
        </w:rPr>
        <w:t xml:space="preserve">Judge notes the appellant has a number of friends who live in the UK </w:t>
      </w:r>
      <w:r w:rsidR="00080F58">
        <w:rPr>
          <w:rFonts w:ascii="Book Antiqua" w:hAnsi="Book Antiqua" w:cs="Arial"/>
        </w:rPr>
        <w:t xml:space="preserve">and that </w:t>
      </w:r>
      <w:r>
        <w:rPr>
          <w:rFonts w:ascii="Book Antiqua" w:hAnsi="Book Antiqua" w:cs="Arial"/>
        </w:rPr>
        <w:t xml:space="preserve">this is a claim based upon article 8 private life as the appellant has no family in the United Kingdom. </w:t>
      </w:r>
      <w:r w:rsidR="00080F58">
        <w:rPr>
          <w:rFonts w:ascii="Book Antiqua" w:hAnsi="Book Antiqua" w:cs="Arial"/>
        </w:rPr>
        <w:t xml:space="preserve">The </w:t>
      </w:r>
      <w:r>
        <w:rPr>
          <w:rFonts w:ascii="Book Antiqua" w:hAnsi="Book Antiqua" w:cs="Arial"/>
        </w:rPr>
        <w:t>Judge at [27] notes that although submissions were not made in relation to paragraph 276ADE(1)(iv) the appellant would find it very difficult to establish that he would face very significant obstacles to his reintegration into life in China.</w:t>
      </w:r>
    </w:p>
    <w:p w:rsidR="00B81C02" w:rsidRDefault="00B81C02" w:rsidP="0092787C">
      <w:pPr>
        <w:numPr>
          <w:ilvl w:val="0"/>
          <w:numId w:val="3"/>
        </w:numPr>
        <w:jc w:val="both"/>
        <w:rPr>
          <w:rFonts w:ascii="Book Antiqua" w:hAnsi="Book Antiqua" w:cs="Arial"/>
        </w:rPr>
      </w:pPr>
      <w:r>
        <w:rPr>
          <w:rFonts w:ascii="Book Antiqua" w:hAnsi="Book Antiqua" w:cs="Arial"/>
        </w:rPr>
        <w:t xml:space="preserve">The Judge notes at [14] </w:t>
      </w:r>
      <w:r w:rsidR="00787325">
        <w:rPr>
          <w:rFonts w:ascii="Book Antiqua" w:hAnsi="Book Antiqua" w:cs="Arial"/>
        </w:rPr>
        <w:t xml:space="preserve">the </w:t>
      </w:r>
      <w:r>
        <w:rPr>
          <w:rFonts w:ascii="Book Antiqua" w:hAnsi="Book Antiqua" w:cs="Arial"/>
        </w:rPr>
        <w:t>following</w:t>
      </w:r>
      <w:r w:rsidR="00787325">
        <w:rPr>
          <w:rFonts w:ascii="Book Antiqua" w:hAnsi="Book Antiqua" w:cs="Arial"/>
        </w:rPr>
        <w:t>: “A</w:t>
      </w:r>
      <w:r>
        <w:rPr>
          <w:rFonts w:ascii="Book Antiqua" w:hAnsi="Book Antiqua" w:cs="Arial"/>
        </w:rPr>
        <w:t>t the beginning of the hearing, it was accepted by both representatives the remit was article 8 only”.</w:t>
      </w:r>
    </w:p>
    <w:p w:rsidR="00B81C02" w:rsidRDefault="00B81C02" w:rsidP="0092787C">
      <w:pPr>
        <w:numPr>
          <w:ilvl w:val="0"/>
          <w:numId w:val="3"/>
        </w:numPr>
        <w:jc w:val="both"/>
        <w:rPr>
          <w:rFonts w:ascii="Book Antiqua" w:hAnsi="Book Antiqua" w:cs="Arial"/>
        </w:rPr>
      </w:pPr>
      <w:r>
        <w:rPr>
          <w:rFonts w:ascii="Book Antiqua" w:hAnsi="Book Antiqua" w:cs="Arial"/>
        </w:rPr>
        <w:t>Drawing together the threads</w:t>
      </w:r>
      <w:r w:rsidR="00787325">
        <w:rPr>
          <w:rFonts w:ascii="Book Antiqua" w:hAnsi="Book Antiqua" w:cs="Arial"/>
        </w:rPr>
        <w:t xml:space="preserve"> of the </w:t>
      </w:r>
      <w:r>
        <w:rPr>
          <w:rFonts w:ascii="Book Antiqua" w:hAnsi="Book Antiqua" w:cs="Arial"/>
        </w:rPr>
        <w:t>Judge’s findings and thoughts she writes as follows at [30]:</w:t>
      </w:r>
    </w:p>
    <w:p w:rsidR="00B81C02" w:rsidRDefault="00B81C02" w:rsidP="0092787C">
      <w:pPr>
        <w:ind w:left="1080"/>
        <w:jc w:val="both"/>
        <w:rPr>
          <w:rFonts w:ascii="Book Antiqua" w:hAnsi="Book Antiqua" w:cs="Arial"/>
        </w:rPr>
      </w:pPr>
    </w:p>
    <w:p w:rsidR="00B81C02" w:rsidRDefault="00B81C02" w:rsidP="0092787C">
      <w:pPr>
        <w:ind w:left="2265" w:hanging="564"/>
        <w:jc w:val="both"/>
        <w:rPr>
          <w:rFonts w:ascii="Book Antiqua" w:hAnsi="Book Antiqua" w:cs="Arial"/>
          <w:sz w:val="20"/>
          <w:szCs w:val="20"/>
        </w:rPr>
      </w:pPr>
      <w:r>
        <w:rPr>
          <w:rFonts w:ascii="Book Antiqua" w:hAnsi="Book Antiqua" w:cs="Arial"/>
          <w:sz w:val="20"/>
          <w:szCs w:val="20"/>
        </w:rPr>
        <w:t xml:space="preserve">30. </w:t>
      </w:r>
      <w:r w:rsidR="00787325">
        <w:rPr>
          <w:rFonts w:ascii="Book Antiqua" w:hAnsi="Book Antiqua" w:cs="Arial"/>
          <w:sz w:val="20"/>
          <w:szCs w:val="20"/>
        </w:rPr>
        <w:tab/>
      </w:r>
      <w:r>
        <w:rPr>
          <w:rFonts w:ascii="Book Antiqua" w:hAnsi="Book Antiqua" w:cs="Arial"/>
          <w:sz w:val="20"/>
          <w:szCs w:val="20"/>
        </w:rPr>
        <w:t>I find, taking into account the various factors, on balance, that the decision to refuse the Appellant leave to remain is proportionate when the public interest factors as set out above are balanced against the interference caused to his private life. In making this decision, I have read the witness statements of the Appellant and his friends, and the letter submitted by friends in support of his appeal and I appreciate the length of time that the Appellant has lived in the UK. However, the Appellants friends in the UK are adults and there is no reason why he cannot continue such friendship by modern means of communication. There was little evidence of ties to the wider community. He has no family in the UK and his parents reside in China. My attention was not drawn to any compelling reasons which would tip the balance in favour of the Appellant in the proportionality assessment.</w:t>
      </w:r>
    </w:p>
    <w:p w:rsidR="00B81C02" w:rsidRPr="00B81C02" w:rsidRDefault="00B81C02" w:rsidP="0092787C">
      <w:pPr>
        <w:ind w:left="1701"/>
        <w:jc w:val="both"/>
        <w:rPr>
          <w:rFonts w:ascii="Book Antiqua" w:hAnsi="Book Antiqua" w:cs="Arial"/>
          <w:sz w:val="20"/>
          <w:szCs w:val="20"/>
        </w:rPr>
      </w:pPr>
    </w:p>
    <w:p w:rsidR="00B81C02" w:rsidRDefault="00B81C02" w:rsidP="0092787C">
      <w:pPr>
        <w:numPr>
          <w:ilvl w:val="0"/>
          <w:numId w:val="3"/>
        </w:numPr>
        <w:jc w:val="both"/>
        <w:rPr>
          <w:rFonts w:ascii="Book Antiqua" w:hAnsi="Book Antiqua" w:cs="Arial"/>
        </w:rPr>
      </w:pPr>
      <w:r>
        <w:rPr>
          <w:rFonts w:ascii="Book Antiqua" w:hAnsi="Book Antiqua" w:cs="Arial"/>
        </w:rPr>
        <w:t>The Judge found it follows from the above that the appeal was dismissed pursuant to article 8</w:t>
      </w:r>
      <w:r w:rsidR="00787325">
        <w:rPr>
          <w:rFonts w:ascii="Book Antiqua" w:hAnsi="Book Antiqua" w:cs="Arial"/>
        </w:rPr>
        <w:t xml:space="preserve"> E</w:t>
      </w:r>
      <w:r>
        <w:rPr>
          <w:rFonts w:ascii="Book Antiqua" w:hAnsi="Book Antiqua" w:cs="Arial"/>
        </w:rPr>
        <w:t>CHR.</w:t>
      </w:r>
    </w:p>
    <w:p w:rsidR="00787325" w:rsidRDefault="00B81C02" w:rsidP="0092787C">
      <w:pPr>
        <w:numPr>
          <w:ilvl w:val="0"/>
          <w:numId w:val="3"/>
        </w:numPr>
        <w:jc w:val="both"/>
        <w:rPr>
          <w:rFonts w:ascii="Book Antiqua" w:hAnsi="Book Antiqua" w:cs="Arial"/>
        </w:rPr>
      </w:pPr>
      <w:r>
        <w:rPr>
          <w:rFonts w:ascii="Book Antiqua" w:hAnsi="Book Antiqua" w:cs="Arial"/>
        </w:rPr>
        <w:t xml:space="preserve">The appellant sought permission to appeal asserting the Judge erred in law in that she applied the wrong set of immigration rules as can be seen from [12] of her decision. It is argued the application was made on 12 December 2011 under the </w:t>
      </w:r>
      <w:r>
        <w:rPr>
          <w:rFonts w:ascii="Book Antiqua" w:hAnsi="Book Antiqua" w:cs="Arial"/>
        </w:rPr>
        <w:lastRenderedPageBreak/>
        <w:t>phased</w:t>
      </w:r>
      <w:r w:rsidR="00787325">
        <w:rPr>
          <w:rFonts w:ascii="Book Antiqua" w:hAnsi="Book Antiqua" w:cs="Arial"/>
        </w:rPr>
        <w:t>-</w:t>
      </w:r>
      <w:r>
        <w:rPr>
          <w:rFonts w:ascii="Book Antiqua" w:hAnsi="Book Antiqua" w:cs="Arial"/>
        </w:rPr>
        <w:t xml:space="preserve">out paragraph 276B(i)(b) of the Immigration Rules which was in force on 8 July 2012. The grounds submit the error is material as the appellant met the requirements of paragraph 276B(i)(b) </w:t>
      </w:r>
      <w:r w:rsidR="00787325">
        <w:rPr>
          <w:rFonts w:ascii="Book Antiqua" w:hAnsi="Book Antiqua" w:cs="Arial"/>
        </w:rPr>
        <w:t xml:space="preserve">at </w:t>
      </w:r>
      <w:r>
        <w:rPr>
          <w:rFonts w:ascii="Book Antiqua" w:hAnsi="Book Antiqua" w:cs="Arial"/>
        </w:rPr>
        <w:t xml:space="preserve">the date of the hearing of his appeal before the Judge on 23 August 2017 </w:t>
      </w:r>
      <w:r w:rsidR="00787325">
        <w:rPr>
          <w:rFonts w:ascii="Book Antiqua" w:hAnsi="Book Antiqua" w:cs="Arial"/>
        </w:rPr>
        <w:t xml:space="preserve">as </w:t>
      </w:r>
      <w:r>
        <w:rPr>
          <w:rFonts w:ascii="Book Antiqua" w:hAnsi="Book Antiqua" w:cs="Arial"/>
        </w:rPr>
        <w:t>accepted by the Judge in [27].</w:t>
      </w:r>
    </w:p>
    <w:p w:rsidR="00B81C02" w:rsidRDefault="00B81C02" w:rsidP="0092787C">
      <w:pPr>
        <w:numPr>
          <w:ilvl w:val="0"/>
          <w:numId w:val="3"/>
        </w:numPr>
        <w:jc w:val="both"/>
        <w:rPr>
          <w:rFonts w:ascii="Book Antiqua" w:hAnsi="Book Antiqua" w:cs="Arial"/>
        </w:rPr>
      </w:pPr>
      <w:r>
        <w:rPr>
          <w:rFonts w:ascii="Book Antiqua" w:hAnsi="Book Antiqua" w:cs="Arial"/>
        </w:rPr>
        <w:t xml:space="preserve">The grounds </w:t>
      </w:r>
      <w:r w:rsidR="00787325">
        <w:rPr>
          <w:rFonts w:ascii="Book Antiqua" w:hAnsi="Book Antiqua" w:cs="Arial"/>
        </w:rPr>
        <w:t xml:space="preserve">also </w:t>
      </w:r>
      <w:r>
        <w:rPr>
          <w:rFonts w:ascii="Book Antiqua" w:hAnsi="Book Antiqua" w:cs="Arial"/>
        </w:rPr>
        <w:t xml:space="preserve">assert the Judge’s approach to the appellants article 8 appeal within the Immigration Rules that came into force on 9 July 2012 was erroneous and not in accordance with the law. </w:t>
      </w:r>
      <w:r w:rsidR="00787325">
        <w:rPr>
          <w:rFonts w:ascii="Book Antiqua" w:hAnsi="Book Antiqua" w:cs="Arial"/>
        </w:rPr>
        <w:t xml:space="preserve">The </w:t>
      </w:r>
      <w:r>
        <w:rPr>
          <w:rFonts w:ascii="Book Antiqua" w:hAnsi="Book Antiqua" w:cs="Arial"/>
        </w:rPr>
        <w:t>Judge’s findings regarding remittance receipts not be</w:t>
      </w:r>
      <w:r w:rsidR="00787325">
        <w:rPr>
          <w:rFonts w:ascii="Book Antiqua" w:hAnsi="Book Antiqua" w:cs="Arial"/>
        </w:rPr>
        <w:t xml:space="preserve">ing </w:t>
      </w:r>
      <w:r>
        <w:rPr>
          <w:rFonts w:ascii="Book Antiqua" w:hAnsi="Book Antiqua" w:cs="Arial"/>
        </w:rPr>
        <w:t xml:space="preserve">translated </w:t>
      </w:r>
      <w:r w:rsidR="00787325">
        <w:rPr>
          <w:rFonts w:ascii="Book Antiqua" w:hAnsi="Book Antiqua" w:cs="Arial"/>
        </w:rPr>
        <w:t xml:space="preserve">are </w:t>
      </w:r>
      <w:r>
        <w:rPr>
          <w:rFonts w:ascii="Book Antiqua" w:hAnsi="Book Antiqua" w:cs="Arial"/>
        </w:rPr>
        <w:t xml:space="preserve">said to be baseless as the receipts are in dual language, both English and Chinese, and at [25] </w:t>
      </w:r>
      <w:r w:rsidR="00787325">
        <w:rPr>
          <w:rFonts w:ascii="Book Antiqua" w:hAnsi="Book Antiqua" w:cs="Arial"/>
        </w:rPr>
        <w:t xml:space="preserve">the Judge </w:t>
      </w:r>
      <w:r>
        <w:rPr>
          <w:rFonts w:ascii="Book Antiqua" w:hAnsi="Book Antiqua" w:cs="Arial"/>
        </w:rPr>
        <w:t>appears to have assumed the appellant could have left the UK illegally, entered China illegally, left China illegally</w:t>
      </w:r>
      <w:r w:rsidR="00787325">
        <w:rPr>
          <w:rFonts w:ascii="Book Antiqua" w:hAnsi="Book Antiqua" w:cs="Arial"/>
        </w:rPr>
        <w:t>,</w:t>
      </w:r>
      <w:r>
        <w:rPr>
          <w:rFonts w:ascii="Book Antiqua" w:hAnsi="Book Antiqua" w:cs="Arial"/>
        </w:rPr>
        <w:t xml:space="preserve"> and then re-entered the United Kingdom illegally which is said to be an assumption without </w:t>
      </w:r>
      <w:r w:rsidR="00787325">
        <w:rPr>
          <w:rFonts w:ascii="Book Antiqua" w:hAnsi="Book Antiqua" w:cs="Arial"/>
        </w:rPr>
        <w:t xml:space="preserve">the </w:t>
      </w:r>
      <w:r>
        <w:rPr>
          <w:rFonts w:ascii="Book Antiqua" w:hAnsi="Book Antiqua" w:cs="Arial"/>
        </w:rPr>
        <w:t>support of any evidence in the circumstances of the case and is therefore irrational and not in accordance with the law.</w:t>
      </w:r>
    </w:p>
    <w:p w:rsidR="00B81C02" w:rsidRDefault="00B81C02" w:rsidP="0092787C">
      <w:pPr>
        <w:numPr>
          <w:ilvl w:val="0"/>
          <w:numId w:val="3"/>
        </w:numPr>
        <w:jc w:val="both"/>
        <w:rPr>
          <w:rFonts w:ascii="Book Antiqua" w:hAnsi="Book Antiqua" w:cs="Arial"/>
        </w:rPr>
      </w:pPr>
      <w:r>
        <w:rPr>
          <w:rFonts w:ascii="Book Antiqua" w:hAnsi="Book Antiqua" w:cs="Arial"/>
        </w:rPr>
        <w:t>Permission to appeal was granted by another judge of the First-tier Tribunal on the basis it was said the Judge erred in applying the wrong set of immigration Rules as per the pleaded grounds.</w:t>
      </w:r>
    </w:p>
    <w:p w:rsidR="00FD1BDB" w:rsidRDefault="00FD1BDB" w:rsidP="0092787C">
      <w:pPr>
        <w:pStyle w:val="Heading5"/>
        <w:jc w:val="both"/>
        <w:rPr>
          <w:rFonts w:ascii="Book Antiqua" w:hAnsi="Book Antiqua" w:cs="Arial"/>
          <w:sz w:val="24"/>
        </w:rPr>
      </w:pPr>
    </w:p>
    <w:p w:rsidR="00D32B8A" w:rsidRPr="00D32B8A" w:rsidRDefault="00B81C02" w:rsidP="0092787C">
      <w:pPr>
        <w:pStyle w:val="Heading5"/>
        <w:jc w:val="both"/>
        <w:rPr>
          <w:rFonts w:ascii="Book Antiqua" w:hAnsi="Book Antiqua" w:cs="Arial"/>
          <w:sz w:val="24"/>
        </w:rPr>
      </w:pPr>
      <w:r>
        <w:rPr>
          <w:rFonts w:ascii="Book Antiqua" w:hAnsi="Book Antiqua" w:cs="Arial"/>
          <w:sz w:val="24"/>
        </w:rPr>
        <w:t xml:space="preserve">Error of </w:t>
      </w:r>
      <w:r w:rsidR="00FD1BDB">
        <w:rPr>
          <w:rFonts w:ascii="Book Antiqua" w:hAnsi="Book Antiqua" w:cs="Arial"/>
          <w:sz w:val="24"/>
        </w:rPr>
        <w:t>law</w:t>
      </w:r>
    </w:p>
    <w:p w:rsidR="00D32B8A" w:rsidRPr="00D32B8A" w:rsidRDefault="00D32B8A" w:rsidP="0092787C">
      <w:pPr>
        <w:jc w:val="both"/>
        <w:rPr>
          <w:rFonts w:ascii="Book Antiqua" w:hAnsi="Book Antiqua" w:cs="Arial"/>
          <w:b/>
          <w:bCs/>
          <w:u w:val="single"/>
        </w:rPr>
      </w:pPr>
    </w:p>
    <w:p w:rsidR="00B81C02" w:rsidRDefault="00B81C02" w:rsidP="0092787C">
      <w:pPr>
        <w:numPr>
          <w:ilvl w:val="0"/>
          <w:numId w:val="3"/>
        </w:numPr>
        <w:jc w:val="both"/>
        <w:rPr>
          <w:rFonts w:ascii="Book Antiqua" w:hAnsi="Book Antiqua" w:cs="Arial"/>
        </w:rPr>
      </w:pPr>
      <w:r>
        <w:rPr>
          <w:rFonts w:ascii="Book Antiqua" w:hAnsi="Book Antiqua" w:cs="Arial"/>
        </w:rPr>
        <w:t>The appellant sets out in his grounds a copy of paragraph 276B of the Rules which was in force on 8 July 2012 in the following terms:</w:t>
      </w:r>
    </w:p>
    <w:p w:rsidR="00D32B8A" w:rsidRDefault="00D32B8A" w:rsidP="0092787C">
      <w:pPr>
        <w:jc w:val="both"/>
        <w:rPr>
          <w:rFonts w:ascii="Book Antiqua" w:hAnsi="Book Antiqua" w:cs="Arial"/>
        </w:rPr>
      </w:pPr>
    </w:p>
    <w:p w:rsidR="00B81C02" w:rsidRDefault="00787325" w:rsidP="0092787C">
      <w:pPr>
        <w:ind w:left="1701"/>
        <w:jc w:val="both"/>
        <w:rPr>
          <w:rFonts w:ascii="Book Antiqua" w:hAnsi="Book Antiqua" w:cs="Arial"/>
          <w:sz w:val="20"/>
          <w:szCs w:val="20"/>
        </w:rPr>
      </w:pPr>
      <w:r>
        <w:rPr>
          <w:rFonts w:ascii="Book Antiqua" w:hAnsi="Book Antiqua" w:cs="Arial"/>
          <w:sz w:val="20"/>
          <w:szCs w:val="20"/>
        </w:rPr>
        <w:t>T</w:t>
      </w:r>
      <w:r w:rsidR="003F4105">
        <w:rPr>
          <w:rFonts w:ascii="Book Antiqua" w:hAnsi="Book Antiqua" w:cs="Arial"/>
          <w:sz w:val="20"/>
          <w:szCs w:val="20"/>
        </w:rPr>
        <w:t>he requirements to be met by an applicant for indefinite leave to remain on the ground of long residence in the United Kingdom are that:</w:t>
      </w:r>
    </w:p>
    <w:p w:rsidR="003F4105" w:rsidRDefault="003F4105" w:rsidP="0092787C">
      <w:pPr>
        <w:ind w:left="1701"/>
        <w:jc w:val="both"/>
        <w:rPr>
          <w:rFonts w:ascii="Book Antiqua" w:hAnsi="Book Antiqua" w:cs="Arial"/>
          <w:sz w:val="20"/>
          <w:szCs w:val="20"/>
        </w:rPr>
      </w:pPr>
    </w:p>
    <w:p w:rsidR="003F4105" w:rsidRDefault="003F4105" w:rsidP="0092787C">
      <w:pPr>
        <w:ind w:left="1701"/>
        <w:jc w:val="both"/>
        <w:rPr>
          <w:rFonts w:ascii="Book Antiqua" w:hAnsi="Book Antiqua" w:cs="Arial"/>
          <w:sz w:val="20"/>
          <w:szCs w:val="20"/>
        </w:rPr>
      </w:pPr>
      <w:r>
        <w:rPr>
          <w:rFonts w:ascii="Book Antiqua" w:hAnsi="Book Antiqua" w:cs="Arial"/>
          <w:sz w:val="20"/>
          <w:szCs w:val="20"/>
        </w:rPr>
        <w:t>(i)</w:t>
      </w:r>
    </w:p>
    <w:p w:rsidR="003F4105" w:rsidRDefault="003F4105" w:rsidP="0092787C">
      <w:pPr>
        <w:ind w:left="1701"/>
        <w:jc w:val="both"/>
        <w:rPr>
          <w:rFonts w:ascii="Book Antiqua" w:hAnsi="Book Antiqua" w:cs="Arial"/>
          <w:sz w:val="20"/>
          <w:szCs w:val="20"/>
        </w:rPr>
      </w:pPr>
      <w:r>
        <w:rPr>
          <w:rFonts w:ascii="Book Antiqua" w:hAnsi="Book Antiqua" w:cs="Arial"/>
          <w:sz w:val="20"/>
          <w:szCs w:val="20"/>
        </w:rPr>
        <w:t>(a) he has had at least 10 years continuous lawful residence in the United Kingdom; or</w:t>
      </w:r>
    </w:p>
    <w:p w:rsidR="003F4105" w:rsidRDefault="003F4105" w:rsidP="0092787C">
      <w:pPr>
        <w:ind w:left="1701"/>
        <w:jc w:val="both"/>
        <w:rPr>
          <w:rFonts w:ascii="Book Antiqua" w:hAnsi="Book Antiqua" w:cs="Arial"/>
          <w:sz w:val="20"/>
          <w:szCs w:val="20"/>
        </w:rPr>
      </w:pPr>
      <w:r>
        <w:rPr>
          <w:rFonts w:ascii="Book Antiqua" w:hAnsi="Book Antiqua" w:cs="Arial"/>
          <w:sz w:val="20"/>
          <w:szCs w:val="20"/>
        </w:rPr>
        <w:t>(b) he has had at least 14 years continuous residence in the United Kingdom, excluding any period spent in the United Kingdom following service of notice of liability to removal or notice of the decision to remove by way of directions under paragraphs 8 to 10A, or 12 to 14, of Schedule 2 to the Immigration Act 1971 was section 10 of the Immigration and Asylum Act 1999, or of a notice of intention to deport him from the United Kingdom; and</w:t>
      </w:r>
    </w:p>
    <w:p w:rsidR="003F4105" w:rsidRDefault="003F4105" w:rsidP="0092787C">
      <w:pPr>
        <w:ind w:left="1701"/>
        <w:jc w:val="both"/>
        <w:rPr>
          <w:rFonts w:ascii="Book Antiqua" w:hAnsi="Book Antiqua" w:cs="Arial"/>
          <w:sz w:val="20"/>
          <w:szCs w:val="20"/>
        </w:rPr>
      </w:pPr>
    </w:p>
    <w:p w:rsidR="003F4105" w:rsidRDefault="003F4105" w:rsidP="0092787C">
      <w:pPr>
        <w:ind w:left="1701"/>
        <w:jc w:val="both"/>
        <w:rPr>
          <w:rFonts w:ascii="Book Antiqua" w:hAnsi="Book Antiqua" w:cs="Arial"/>
          <w:sz w:val="20"/>
          <w:szCs w:val="20"/>
        </w:rPr>
      </w:pPr>
      <w:r>
        <w:rPr>
          <w:rFonts w:ascii="Book Antiqua" w:hAnsi="Book Antiqua" w:cs="Arial"/>
          <w:sz w:val="20"/>
          <w:szCs w:val="20"/>
        </w:rPr>
        <w:t>(ii) having regard to the public interest there are no reasons why would be undesirable for him to be given indefinite leave to remain on the ground of long residence, taking into account his:</w:t>
      </w:r>
    </w:p>
    <w:p w:rsidR="003F4105" w:rsidRDefault="003F4105" w:rsidP="0092787C">
      <w:pPr>
        <w:ind w:left="1701"/>
        <w:jc w:val="both"/>
        <w:rPr>
          <w:rFonts w:ascii="Book Antiqua" w:hAnsi="Book Antiqua" w:cs="Arial"/>
          <w:sz w:val="20"/>
          <w:szCs w:val="20"/>
        </w:rPr>
      </w:pPr>
    </w:p>
    <w:p w:rsidR="003F4105" w:rsidRDefault="003F4105" w:rsidP="0092787C">
      <w:pPr>
        <w:numPr>
          <w:ilvl w:val="0"/>
          <w:numId w:val="4"/>
        </w:numPr>
        <w:jc w:val="both"/>
        <w:rPr>
          <w:rFonts w:ascii="Book Antiqua" w:hAnsi="Book Antiqua" w:cs="Arial"/>
          <w:sz w:val="20"/>
          <w:szCs w:val="20"/>
        </w:rPr>
      </w:pPr>
      <w:r>
        <w:rPr>
          <w:rFonts w:ascii="Book Antiqua" w:hAnsi="Book Antiqua" w:cs="Arial"/>
          <w:sz w:val="20"/>
          <w:szCs w:val="20"/>
        </w:rPr>
        <w:t>age; and</w:t>
      </w:r>
    </w:p>
    <w:p w:rsidR="003F4105" w:rsidRDefault="003F4105" w:rsidP="0092787C">
      <w:pPr>
        <w:numPr>
          <w:ilvl w:val="0"/>
          <w:numId w:val="4"/>
        </w:numPr>
        <w:jc w:val="both"/>
        <w:rPr>
          <w:rFonts w:ascii="Book Antiqua" w:hAnsi="Book Antiqua" w:cs="Arial"/>
          <w:sz w:val="20"/>
          <w:szCs w:val="20"/>
        </w:rPr>
      </w:pPr>
      <w:r>
        <w:rPr>
          <w:rFonts w:ascii="Book Antiqua" w:hAnsi="Book Antiqua" w:cs="Arial"/>
          <w:sz w:val="20"/>
          <w:szCs w:val="20"/>
        </w:rPr>
        <w:t>strength of connections in the United Kingdom; and</w:t>
      </w:r>
    </w:p>
    <w:p w:rsidR="003F4105" w:rsidRDefault="003F4105" w:rsidP="0092787C">
      <w:pPr>
        <w:numPr>
          <w:ilvl w:val="0"/>
          <w:numId w:val="4"/>
        </w:numPr>
        <w:jc w:val="both"/>
        <w:rPr>
          <w:rFonts w:ascii="Book Antiqua" w:hAnsi="Book Antiqua" w:cs="Arial"/>
          <w:sz w:val="20"/>
          <w:szCs w:val="20"/>
        </w:rPr>
      </w:pPr>
      <w:r>
        <w:rPr>
          <w:rFonts w:ascii="Book Antiqua" w:hAnsi="Book Antiqua" w:cs="Arial"/>
          <w:sz w:val="20"/>
          <w:szCs w:val="20"/>
        </w:rPr>
        <w:t>personal history, including character, conduct associations and employment record; and</w:t>
      </w:r>
    </w:p>
    <w:p w:rsidR="003F4105" w:rsidRDefault="003F4105" w:rsidP="0092787C">
      <w:pPr>
        <w:numPr>
          <w:ilvl w:val="0"/>
          <w:numId w:val="4"/>
        </w:numPr>
        <w:jc w:val="both"/>
        <w:rPr>
          <w:rFonts w:ascii="Book Antiqua" w:hAnsi="Book Antiqua" w:cs="Arial"/>
          <w:sz w:val="20"/>
          <w:szCs w:val="20"/>
        </w:rPr>
      </w:pPr>
      <w:r>
        <w:rPr>
          <w:rFonts w:ascii="Book Antiqua" w:hAnsi="Book Antiqua" w:cs="Arial"/>
          <w:sz w:val="20"/>
          <w:szCs w:val="20"/>
        </w:rPr>
        <w:t>domestic circumstances; and</w:t>
      </w:r>
    </w:p>
    <w:p w:rsidR="003F4105" w:rsidRDefault="003F4105" w:rsidP="0092787C">
      <w:pPr>
        <w:numPr>
          <w:ilvl w:val="0"/>
          <w:numId w:val="4"/>
        </w:numPr>
        <w:jc w:val="both"/>
        <w:rPr>
          <w:rFonts w:ascii="Book Antiqua" w:hAnsi="Book Antiqua" w:cs="Arial"/>
          <w:sz w:val="20"/>
          <w:szCs w:val="20"/>
        </w:rPr>
      </w:pPr>
      <w:r>
        <w:rPr>
          <w:rFonts w:ascii="Book Antiqua" w:hAnsi="Book Antiqua" w:cs="Arial"/>
          <w:sz w:val="20"/>
          <w:szCs w:val="20"/>
        </w:rPr>
        <w:t>previous criminal record and the nature of any offence of which the person has been convicted; and</w:t>
      </w:r>
    </w:p>
    <w:p w:rsidR="003F4105" w:rsidRDefault="003F4105" w:rsidP="0092787C">
      <w:pPr>
        <w:numPr>
          <w:ilvl w:val="0"/>
          <w:numId w:val="4"/>
        </w:numPr>
        <w:jc w:val="both"/>
        <w:rPr>
          <w:rFonts w:ascii="Book Antiqua" w:hAnsi="Book Antiqua" w:cs="Arial"/>
          <w:sz w:val="20"/>
          <w:szCs w:val="20"/>
        </w:rPr>
      </w:pPr>
      <w:r>
        <w:rPr>
          <w:rFonts w:ascii="Book Antiqua" w:hAnsi="Book Antiqua" w:cs="Arial"/>
          <w:sz w:val="20"/>
          <w:szCs w:val="20"/>
        </w:rPr>
        <w:t>compassionate circumstances; and</w:t>
      </w:r>
    </w:p>
    <w:p w:rsidR="003F4105" w:rsidRPr="00B81C02" w:rsidRDefault="003F4105" w:rsidP="0092787C">
      <w:pPr>
        <w:numPr>
          <w:ilvl w:val="0"/>
          <w:numId w:val="4"/>
        </w:numPr>
        <w:jc w:val="both"/>
        <w:rPr>
          <w:rFonts w:ascii="Book Antiqua" w:hAnsi="Book Antiqua" w:cs="Arial"/>
          <w:sz w:val="20"/>
          <w:szCs w:val="20"/>
        </w:rPr>
      </w:pPr>
      <w:r>
        <w:rPr>
          <w:rFonts w:ascii="Book Antiqua" w:hAnsi="Book Antiqua" w:cs="Arial"/>
          <w:sz w:val="20"/>
          <w:szCs w:val="20"/>
        </w:rPr>
        <w:t>any representations received on the person’s behalf.</w:t>
      </w:r>
    </w:p>
    <w:p w:rsidR="00B81C02" w:rsidRDefault="00B81C02" w:rsidP="0092787C">
      <w:pPr>
        <w:jc w:val="both"/>
        <w:rPr>
          <w:rFonts w:ascii="Book Antiqua" w:hAnsi="Book Antiqua" w:cs="Arial"/>
        </w:rPr>
      </w:pPr>
    </w:p>
    <w:p w:rsidR="00B81C02" w:rsidRDefault="003F4105" w:rsidP="0092787C">
      <w:pPr>
        <w:numPr>
          <w:ilvl w:val="0"/>
          <w:numId w:val="3"/>
        </w:numPr>
        <w:jc w:val="both"/>
        <w:rPr>
          <w:rFonts w:ascii="Book Antiqua" w:hAnsi="Book Antiqua" w:cs="Arial"/>
        </w:rPr>
      </w:pPr>
      <w:r>
        <w:rPr>
          <w:rFonts w:ascii="Book Antiqua" w:hAnsi="Book Antiqua" w:cs="Arial"/>
        </w:rPr>
        <w:t>The respondent, in her Rule 24 response, of 11 April 2018 asserts that even if the Judge did consider the application under the incorrect Rules the grounds are incorrect in stating that the appellant met the requirements of paragraph 276B of the Rules in place at the time of the applicant’s application</w:t>
      </w:r>
      <w:r w:rsidR="00787325">
        <w:rPr>
          <w:rFonts w:ascii="Book Antiqua" w:hAnsi="Book Antiqua" w:cs="Arial"/>
        </w:rPr>
        <w:t>,</w:t>
      </w:r>
      <w:r>
        <w:rPr>
          <w:rFonts w:ascii="Book Antiqua" w:hAnsi="Book Antiqua" w:cs="Arial"/>
        </w:rPr>
        <w:t xml:space="preserve"> as the app</w:t>
      </w:r>
      <w:r w:rsidR="00787325">
        <w:rPr>
          <w:rFonts w:ascii="Book Antiqua" w:hAnsi="Book Antiqua" w:cs="Arial"/>
        </w:rPr>
        <w:t xml:space="preserve">ellant </w:t>
      </w:r>
      <w:r>
        <w:rPr>
          <w:rFonts w:ascii="Book Antiqua" w:hAnsi="Book Antiqua" w:cs="Arial"/>
        </w:rPr>
        <w:t xml:space="preserve">had </w:t>
      </w:r>
      <w:r>
        <w:rPr>
          <w:rFonts w:ascii="Book Antiqua" w:hAnsi="Book Antiqua" w:cs="Arial"/>
        </w:rPr>
        <w:lastRenderedPageBreak/>
        <w:t>been served with a section 10 notice on 3 December 2012 which meant the applicant could not meet the requirements as the grounds allege as he would only be able to demonstrate 10 years residence in the United Kingdom.</w:t>
      </w:r>
    </w:p>
    <w:p w:rsidR="00787325" w:rsidRDefault="00FC4BC8" w:rsidP="0092787C">
      <w:pPr>
        <w:numPr>
          <w:ilvl w:val="0"/>
          <w:numId w:val="3"/>
        </w:numPr>
        <w:jc w:val="both"/>
        <w:rPr>
          <w:rFonts w:ascii="Book Antiqua" w:hAnsi="Book Antiqua" w:cs="Arial"/>
        </w:rPr>
      </w:pPr>
      <w:r w:rsidRPr="00FC4BC8">
        <w:rPr>
          <w:rFonts w:ascii="Book Antiqua" w:hAnsi="Book Antiqua" w:cs="Arial"/>
        </w:rPr>
        <w:t xml:space="preserve">In </w:t>
      </w:r>
      <w:r w:rsidRPr="008A1779">
        <w:rPr>
          <w:rFonts w:ascii="Book Antiqua" w:hAnsi="Book Antiqua" w:cs="Arial"/>
          <w:i/>
        </w:rPr>
        <w:t>Majid v SSHD (2008) EWHC 2750 (Admin)</w:t>
      </w:r>
      <w:r w:rsidRPr="00FC4BC8">
        <w:rPr>
          <w:rFonts w:ascii="Book Antiqua" w:hAnsi="Book Antiqua" w:cs="Arial"/>
        </w:rPr>
        <w:t xml:space="preserve"> the S</w:t>
      </w:r>
      <w:r w:rsidR="008A1779">
        <w:rPr>
          <w:rFonts w:ascii="Book Antiqua" w:hAnsi="Book Antiqua" w:cs="Arial"/>
        </w:rPr>
        <w:t xml:space="preserve">ecretary of </w:t>
      </w:r>
      <w:r w:rsidRPr="00FC4BC8">
        <w:rPr>
          <w:rFonts w:ascii="Book Antiqua" w:hAnsi="Book Antiqua" w:cs="Arial"/>
        </w:rPr>
        <w:t>S</w:t>
      </w:r>
      <w:r w:rsidR="008A1779">
        <w:rPr>
          <w:rFonts w:ascii="Book Antiqua" w:hAnsi="Book Antiqua" w:cs="Arial"/>
        </w:rPr>
        <w:t xml:space="preserve">tate for the </w:t>
      </w:r>
      <w:r w:rsidRPr="00FC4BC8">
        <w:rPr>
          <w:rFonts w:ascii="Book Antiqua" w:hAnsi="Book Antiqua" w:cs="Arial"/>
        </w:rPr>
        <w:t>H</w:t>
      </w:r>
      <w:r w:rsidR="008A1779">
        <w:rPr>
          <w:rFonts w:ascii="Book Antiqua" w:hAnsi="Book Antiqua" w:cs="Arial"/>
        </w:rPr>
        <w:t xml:space="preserve">ome </w:t>
      </w:r>
      <w:r w:rsidRPr="00FC4BC8">
        <w:rPr>
          <w:rFonts w:ascii="Book Antiqua" w:hAnsi="Book Antiqua" w:cs="Arial"/>
        </w:rPr>
        <w:t>D</w:t>
      </w:r>
      <w:r w:rsidR="008A1779">
        <w:rPr>
          <w:rFonts w:ascii="Book Antiqua" w:hAnsi="Book Antiqua" w:cs="Arial"/>
        </w:rPr>
        <w:t>epartment</w:t>
      </w:r>
      <w:r w:rsidRPr="00FC4BC8">
        <w:rPr>
          <w:rFonts w:ascii="Book Antiqua" w:hAnsi="Book Antiqua" w:cs="Arial"/>
        </w:rPr>
        <w:t xml:space="preserve"> argued, in effect, that the clock had stopped running for the purposes of the old </w:t>
      </w:r>
      <w:proofErr w:type="gramStart"/>
      <w:r w:rsidRPr="00FC4BC8">
        <w:rPr>
          <w:rFonts w:ascii="Book Antiqua" w:hAnsi="Book Antiqua" w:cs="Arial"/>
        </w:rPr>
        <w:t>14 year</w:t>
      </w:r>
      <w:proofErr w:type="gramEnd"/>
      <w:r w:rsidRPr="00FC4BC8">
        <w:rPr>
          <w:rFonts w:ascii="Book Antiqua" w:hAnsi="Book Antiqua" w:cs="Arial"/>
        </w:rPr>
        <w:t xml:space="preserve"> long residence rule after service of an IS151A. The appellant argued that the IS151A was invalid. Ouseley J held that the SSHD’s position was set out in a decision letter. It was not necessary for the SSHD to append this to the Notice.  The crucial point was the claimant be told he must go and at the same time understand what the right of appeal was. Those crucial requirements for the purposes of paragraph 276B were met.  </w:t>
      </w:r>
      <w:r w:rsidRPr="00FC4BC8">
        <w:rPr>
          <w:rFonts w:ascii="Book Antiqua" w:hAnsi="Book Antiqua" w:cs="Arial"/>
        </w:rPr>
        <w:tab/>
      </w:r>
    </w:p>
    <w:p w:rsidR="00FC4BC8" w:rsidRDefault="00FC4BC8" w:rsidP="0092787C">
      <w:pPr>
        <w:numPr>
          <w:ilvl w:val="0"/>
          <w:numId w:val="3"/>
        </w:numPr>
        <w:jc w:val="both"/>
        <w:rPr>
          <w:rFonts w:ascii="Book Antiqua" w:hAnsi="Book Antiqua" w:cs="Arial"/>
        </w:rPr>
      </w:pPr>
      <w:r>
        <w:rPr>
          <w:rFonts w:ascii="Book Antiqua" w:hAnsi="Book Antiqua" w:cs="Arial"/>
        </w:rPr>
        <w:t>Also in</w:t>
      </w:r>
      <w:r w:rsidR="008A1779">
        <w:rPr>
          <w:rFonts w:ascii="Book Antiqua" w:hAnsi="Book Antiqua" w:cs="Arial"/>
        </w:rPr>
        <w:t xml:space="preserve"> </w:t>
      </w:r>
      <w:r w:rsidRPr="008A1779">
        <w:rPr>
          <w:rFonts w:ascii="Book Antiqua" w:hAnsi="Book Antiqua" w:cs="Arial"/>
          <w:i/>
        </w:rPr>
        <w:t xml:space="preserve">AA (DP3/96 – Commencement of Enforcement action) Pakistan [2007] UKAIT 00016 </w:t>
      </w:r>
      <w:r w:rsidRPr="00FC4BC8">
        <w:rPr>
          <w:rFonts w:ascii="Book Antiqua" w:hAnsi="Book Antiqua" w:cs="Arial"/>
        </w:rPr>
        <w:t>the Tribunal held that, for the purposes of DP3/96, service of a notice of intention to deport or service of illegal entry papers amount to decisions that ‘stop the clock’. Time spent in the United Kingdom following such service will not be counted</w:t>
      </w:r>
      <w:r>
        <w:rPr>
          <w:rFonts w:ascii="Book Antiqua" w:hAnsi="Book Antiqua" w:cs="Arial"/>
        </w:rPr>
        <w:t>.</w:t>
      </w:r>
    </w:p>
    <w:p w:rsidR="008A1779" w:rsidRDefault="008A1779" w:rsidP="0092787C">
      <w:pPr>
        <w:numPr>
          <w:ilvl w:val="0"/>
          <w:numId w:val="3"/>
        </w:numPr>
        <w:jc w:val="both"/>
        <w:rPr>
          <w:rFonts w:ascii="Book Antiqua" w:hAnsi="Book Antiqua" w:cs="Arial"/>
        </w:rPr>
      </w:pPr>
      <w:r>
        <w:rPr>
          <w:rFonts w:ascii="Book Antiqua" w:hAnsi="Book Antiqua" w:cs="Arial"/>
        </w:rPr>
        <w:t>As the appellant was served with a section 10 notice on 3 December 2012 the clock stopped at that date prohibiting him from accumulating any further applicable time, hence limiting him to 10 years and not the required 14 years continuous residence from 2002.</w:t>
      </w:r>
    </w:p>
    <w:p w:rsidR="008666AF" w:rsidRDefault="008666AF" w:rsidP="0092787C">
      <w:pPr>
        <w:numPr>
          <w:ilvl w:val="0"/>
          <w:numId w:val="3"/>
        </w:numPr>
        <w:jc w:val="both"/>
        <w:rPr>
          <w:rFonts w:ascii="Book Antiqua" w:hAnsi="Book Antiqua" w:cs="Arial"/>
        </w:rPr>
      </w:pPr>
      <w:r w:rsidRPr="008666AF">
        <w:rPr>
          <w:rFonts w:ascii="Book Antiqua" w:hAnsi="Book Antiqua" w:cs="Arial"/>
        </w:rPr>
        <w:t xml:space="preserve">In </w:t>
      </w:r>
      <w:r w:rsidRPr="008A1779">
        <w:rPr>
          <w:rFonts w:ascii="Book Antiqua" w:hAnsi="Book Antiqua" w:cs="Arial"/>
          <w:i/>
        </w:rPr>
        <w:t>Edgehill and another v Secretary of State for the Home Department [2014] EWCA Civ 402,</w:t>
      </w:r>
      <w:r w:rsidRPr="008666AF">
        <w:rPr>
          <w:rFonts w:ascii="Book Antiqua" w:hAnsi="Book Antiqua" w:cs="Arial"/>
        </w:rPr>
        <w:t xml:space="preserve"> in determining appeals against refusals to grant the appellants ILR it was held that, subject to one caveat, it was not lawful to reject an application, made before 9 July 2012 under Article 8 of the Convention, in reliance upon the applicant's failure to achieve 20 years' residence as specified in paragraph 276ADE(iii) of the new Immigration Rules as introduced by the Statement of Changes in Immigration Rules which came into effect on 9 July 2012. The caveat was that " mere passing reference to the 20 years requirement in the new rules will not have the effect of invalidating the Secretary of State's decision. The decision only becomes unlawful if the decision maker relies upon rule 276ADE (iii) as a consideration materially affecting the decision". </w:t>
      </w:r>
    </w:p>
    <w:p w:rsidR="008A1779" w:rsidRDefault="008A1779" w:rsidP="0092787C">
      <w:pPr>
        <w:numPr>
          <w:ilvl w:val="0"/>
          <w:numId w:val="3"/>
        </w:numPr>
        <w:jc w:val="both"/>
        <w:rPr>
          <w:rFonts w:ascii="Book Antiqua" w:hAnsi="Book Antiqua" w:cs="Arial"/>
        </w:rPr>
      </w:pPr>
      <w:r>
        <w:rPr>
          <w:rFonts w:ascii="Book Antiqua" w:hAnsi="Book Antiqua" w:cs="Arial"/>
        </w:rPr>
        <w:t xml:space="preserve">The decision in </w:t>
      </w:r>
      <w:r w:rsidR="0092787C" w:rsidRPr="008A1779">
        <w:rPr>
          <w:rFonts w:ascii="Book Antiqua" w:hAnsi="Book Antiqua" w:cs="Arial"/>
          <w:i/>
        </w:rPr>
        <w:t>Edgehill</w:t>
      </w:r>
      <w:r w:rsidR="0092787C" w:rsidRPr="0092787C">
        <w:rPr>
          <w:rFonts w:ascii="Book Antiqua" w:hAnsi="Book Antiqua" w:cs="Arial"/>
        </w:rPr>
        <w:t xml:space="preserve"> </w:t>
      </w:r>
      <w:r>
        <w:rPr>
          <w:rFonts w:ascii="Book Antiqua" w:hAnsi="Book Antiqua" w:cs="Arial"/>
        </w:rPr>
        <w:t xml:space="preserve">is, however, </w:t>
      </w:r>
      <w:r w:rsidR="0092787C" w:rsidRPr="0092787C">
        <w:rPr>
          <w:rFonts w:ascii="Book Antiqua" w:hAnsi="Book Antiqua" w:cs="Arial"/>
        </w:rPr>
        <w:t xml:space="preserve">limited to applications made before 9 July and decided before 6 September 2012. </w:t>
      </w:r>
      <w:r w:rsidR="0092787C" w:rsidRPr="0092787C">
        <w:rPr>
          <w:rFonts w:ascii="Book Antiqua" w:hAnsi="Book Antiqua" w:cs="Arial"/>
        </w:rPr>
        <w:tab/>
        <w:t xml:space="preserve">In </w:t>
      </w:r>
      <w:r w:rsidR="0092787C" w:rsidRPr="008A1779">
        <w:rPr>
          <w:rFonts w:ascii="Book Antiqua" w:hAnsi="Book Antiqua" w:cs="Arial"/>
          <w:i/>
        </w:rPr>
        <w:t>Singh v SSHD: Khalid v SSHD [2015] EWCA Civ 74</w:t>
      </w:r>
      <w:r w:rsidR="0092787C" w:rsidRPr="0092787C">
        <w:rPr>
          <w:rFonts w:ascii="Book Antiqua" w:hAnsi="Book Antiqua" w:cs="Arial"/>
        </w:rPr>
        <w:t xml:space="preserve">, it was held that the ratio in Edgehill only applied to applications made before 9 July 2012 and decided before 6 September 2012 (i) When HC 194 first came into force on 9 July 2012, the SSHD was not entitled to take into account the provisions of the new Rules (either directly or by treating them as a statement of her current policy) when making decisions on private or family life applications made prior to that date but not yet decided. That is because, as decided in Edgehill, "the implementation provision" set out at para. 7 above displaces the usual Odelola principle; (ii) But that position was altered by HC 565 – specifically by the introduction of the new paragraph A277C – with effect from 6 September 2012. As from that date the SSHD was entitled to take into account the provisions of Appendix FM and paragraphs 276ADE–276DH in deciding private or family life applications even if they were made prior to 9 July 2012. The result is that the law as it was held to be in Edgehill only obtained as regards decisions taken on </w:t>
      </w:r>
      <w:proofErr w:type="gramStart"/>
      <w:r w:rsidR="0092787C" w:rsidRPr="0092787C">
        <w:rPr>
          <w:rFonts w:ascii="Book Antiqua" w:hAnsi="Book Antiqua" w:cs="Arial"/>
        </w:rPr>
        <w:t>pre 9 July 2012</w:t>
      </w:r>
      <w:proofErr w:type="gramEnd"/>
      <w:r w:rsidR="0092787C" w:rsidRPr="0092787C">
        <w:rPr>
          <w:rFonts w:ascii="Book Antiqua" w:hAnsi="Book Antiqua" w:cs="Arial"/>
        </w:rPr>
        <w:t xml:space="preserve"> applications in the two-month window </w:t>
      </w:r>
      <w:r w:rsidR="0092787C" w:rsidRPr="0092787C">
        <w:rPr>
          <w:rFonts w:ascii="Book Antiqua" w:hAnsi="Book Antiqua" w:cs="Arial"/>
        </w:rPr>
        <w:lastRenderedPageBreak/>
        <w:t xml:space="preserve">between 9 July and 6 September 2012; (iii) Neither of the decisions with which we are concerned in this case fell within that window. </w:t>
      </w:r>
      <w:r w:rsidR="00CA682D" w:rsidRPr="0092787C">
        <w:rPr>
          <w:rFonts w:ascii="Book Antiqua" w:hAnsi="Book Antiqua" w:cs="Arial"/>
        </w:rPr>
        <w:t>Accordingly,</w:t>
      </w:r>
      <w:r w:rsidR="0092787C" w:rsidRPr="0092787C">
        <w:rPr>
          <w:rFonts w:ascii="Book Antiqua" w:hAnsi="Book Antiqua" w:cs="Arial"/>
        </w:rPr>
        <w:t xml:space="preserve"> the Secretary of State was entitled to apply the new Rules in reaching those decisions</w:t>
      </w:r>
      <w:r>
        <w:rPr>
          <w:rFonts w:ascii="Book Antiqua" w:hAnsi="Book Antiqua" w:cs="Arial"/>
        </w:rPr>
        <w:t>. Applications</w:t>
      </w:r>
      <w:r w:rsidR="0092787C" w:rsidRPr="0092787C">
        <w:rPr>
          <w:rFonts w:ascii="Book Antiqua" w:hAnsi="Book Antiqua" w:cs="Arial"/>
        </w:rPr>
        <w:t xml:space="preserve"> determined on or after 6 September 2012 were governed by the Rules as amended by HC 194 and HC 565.</w:t>
      </w:r>
    </w:p>
    <w:p w:rsidR="0092787C" w:rsidRDefault="0092787C" w:rsidP="0092787C">
      <w:pPr>
        <w:numPr>
          <w:ilvl w:val="0"/>
          <w:numId w:val="3"/>
        </w:numPr>
        <w:jc w:val="both"/>
        <w:rPr>
          <w:rFonts w:ascii="Book Antiqua" w:hAnsi="Book Antiqua" w:cs="Arial"/>
        </w:rPr>
      </w:pPr>
      <w:r w:rsidRPr="008A1779">
        <w:rPr>
          <w:rFonts w:ascii="Book Antiqua" w:hAnsi="Book Antiqua" w:cs="Arial"/>
          <w:i/>
        </w:rPr>
        <w:t>Singh</w:t>
      </w:r>
      <w:r w:rsidRPr="0092787C">
        <w:rPr>
          <w:rFonts w:ascii="Book Antiqua" w:hAnsi="Book Antiqua" w:cs="Arial"/>
        </w:rPr>
        <w:t xml:space="preserve"> settle</w:t>
      </w:r>
      <w:r w:rsidR="008A1779">
        <w:rPr>
          <w:rFonts w:ascii="Book Antiqua" w:hAnsi="Book Antiqua" w:cs="Arial"/>
        </w:rPr>
        <w:t>d</w:t>
      </w:r>
      <w:r w:rsidRPr="0092787C">
        <w:rPr>
          <w:rFonts w:ascii="Book Antiqua" w:hAnsi="Book Antiqua" w:cs="Arial"/>
        </w:rPr>
        <w:t xml:space="preserve"> the difficulties that had arisen in trying to reconcile</w:t>
      </w:r>
      <w:r w:rsidRPr="008A1779">
        <w:rPr>
          <w:rFonts w:ascii="Book Antiqua" w:hAnsi="Book Antiqua" w:cs="Arial"/>
          <w:i/>
        </w:rPr>
        <w:t xml:space="preserve"> Edgehill </w:t>
      </w:r>
      <w:r w:rsidR="00CA682D" w:rsidRPr="0092787C">
        <w:rPr>
          <w:rFonts w:ascii="Book Antiqua" w:hAnsi="Book Antiqua" w:cs="Arial"/>
        </w:rPr>
        <w:t>and Haleemudeen</w:t>
      </w:r>
      <w:r w:rsidRPr="008A1779">
        <w:rPr>
          <w:rFonts w:ascii="Book Antiqua" w:hAnsi="Book Antiqua" w:cs="Arial"/>
          <w:i/>
        </w:rPr>
        <w:t xml:space="preserve"> v SSHD [2014] EWCA Civ 558</w:t>
      </w:r>
      <w:r>
        <w:rPr>
          <w:rFonts w:ascii="Book Antiqua" w:hAnsi="Book Antiqua" w:cs="Arial"/>
        </w:rPr>
        <w:t>.</w:t>
      </w:r>
    </w:p>
    <w:p w:rsidR="0092787C" w:rsidRPr="0092787C" w:rsidRDefault="0092787C" w:rsidP="0092787C">
      <w:pPr>
        <w:numPr>
          <w:ilvl w:val="0"/>
          <w:numId w:val="3"/>
        </w:numPr>
        <w:jc w:val="both"/>
        <w:rPr>
          <w:rFonts w:ascii="Book Antiqua" w:hAnsi="Book Antiqua" w:cs="Arial"/>
        </w:rPr>
      </w:pPr>
      <w:r w:rsidRPr="0092787C">
        <w:rPr>
          <w:rFonts w:ascii="Book Antiqua" w:hAnsi="Book Antiqua" w:cs="Arial"/>
        </w:rPr>
        <w:t xml:space="preserve">In </w:t>
      </w:r>
      <w:r w:rsidRPr="008A1779">
        <w:rPr>
          <w:rFonts w:ascii="Book Antiqua" w:hAnsi="Book Antiqua" w:cs="Arial"/>
          <w:i/>
        </w:rPr>
        <w:t xml:space="preserve">KI (Nigeria) v SSHD [2015] EWCA Civ 255, </w:t>
      </w:r>
      <w:r w:rsidRPr="008A1779">
        <w:rPr>
          <w:rFonts w:ascii="Book Antiqua" w:hAnsi="Book Antiqua" w:cs="Arial"/>
        </w:rPr>
        <w:t>following</w:t>
      </w:r>
      <w:r w:rsidRPr="008A1779">
        <w:rPr>
          <w:rFonts w:ascii="Book Antiqua" w:hAnsi="Book Antiqua" w:cs="Arial"/>
          <w:i/>
        </w:rPr>
        <w:t xml:space="preserve"> Singh v SSHD [2015] EWCA Civ</w:t>
      </w:r>
      <w:r w:rsidR="008A1779" w:rsidRPr="008A1779">
        <w:rPr>
          <w:rFonts w:ascii="Book Antiqua" w:hAnsi="Book Antiqua" w:cs="Arial"/>
          <w:i/>
        </w:rPr>
        <w:t xml:space="preserve"> </w:t>
      </w:r>
      <w:r w:rsidRPr="008A1779">
        <w:rPr>
          <w:rFonts w:ascii="Book Antiqua" w:hAnsi="Book Antiqua" w:cs="Arial"/>
          <w:i/>
        </w:rPr>
        <w:t>74,</w:t>
      </w:r>
      <w:r w:rsidRPr="0092787C">
        <w:rPr>
          <w:rFonts w:ascii="Book Antiqua" w:hAnsi="Book Antiqua" w:cs="Arial"/>
        </w:rPr>
        <w:t xml:space="preserve"> when considering an application for indefinite leave to remain in the UK in March 2013 which had been originally made in May 2004, the Secretary of State had been right to consider the application by reference to the Immigration Rules as amended with effect from 6 September 2012 rather than in accordance with the Rules as they stood before 9 July 2012. The position was also confirmed in </w:t>
      </w:r>
      <w:r w:rsidR="00CA682D" w:rsidRPr="00FD12B5">
        <w:rPr>
          <w:rFonts w:ascii="Book Antiqua" w:hAnsi="Book Antiqua" w:cs="Arial"/>
          <w:i/>
        </w:rPr>
        <w:t>R (</w:t>
      </w:r>
      <w:r w:rsidRPr="00FD12B5">
        <w:rPr>
          <w:rFonts w:ascii="Book Antiqua" w:hAnsi="Book Antiqua" w:cs="Arial"/>
          <w:i/>
        </w:rPr>
        <w:t>on the application of Rajibul Islam) [2015] EWCA Civ 312</w:t>
      </w:r>
      <w:r w:rsidRPr="0092787C">
        <w:rPr>
          <w:rFonts w:ascii="Book Antiqua" w:hAnsi="Book Antiqua" w:cs="Arial"/>
        </w:rPr>
        <w:t xml:space="preserve">.   In </w:t>
      </w:r>
      <w:r w:rsidRPr="00FD12B5">
        <w:rPr>
          <w:rFonts w:ascii="Book Antiqua" w:hAnsi="Book Antiqua" w:cs="Arial"/>
          <w:i/>
        </w:rPr>
        <w:t xml:space="preserve">R (on the application of Taylor and Owusu-Akyeaw) [2015] EWHC 3526 (Admin) </w:t>
      </w:r>
      <w:r w:rsidRPr="0092787C">
        <w:rPr>
          <w:rFonts w:ascii="Book Antiqua" w:hAnsi="Book Antiqua" w:cs="Arial"/>
        </w:rPr>
        <w:t xml:space="preserve">it was held that the Court was bound by the reasoning in </w:t>
      </w:r>
      <w:r w:rsidRPr="00FD12B5">
        <w:rPr>
          <w:rFonts w:ascii="Book Antiqua" w:hAnsi="Book Antiqua" w:cs="Arial"/>
          <w:i/>
        </w:rPr>
        <w:t>Singh [2015] EWCA Civ 74</w:t>
      </w:r>
      <w:r w:rsidRPr="0092787C">
        <w:rPr>
          <w:rFonts w:ascii="Book Antiqua" w:hAnsi="Book Antiqua" w:cs="Arial"/>
        </w:rPr>
        <w:t xml:space="preserve"> to conclude that the Secretary of State had been entitled to take into account the provisions of Appendix FM of the Immigration Rules in deciding two applications for leave to remain under Article 8 of the ECHR which had been made prior to the implementation of Appendix FM on 9 July 2012.</w:t>
      </w:r>
    </w:p>
    <w:p w:rsidR="0092787C" w:rsidRPr="0092787C" w:rsidRDefault="0092787C" w:rsidP="0092787C">
      <w:pPr>
        <w:numPr>
          <w:ilvl w:val="0"/>
          <w:numId w:val="3"/>
        </w:numPr>
        <w:jc w:val="both"/>
        <w:rPr>
          <w:rFonts w:ascii="Book Antiqua" w:hAnsi="Book Antiqua" w:cs="Arial"/>
        </w:rPr>
      </w:pPr>
      <w:r>
        <w:rPr>
          <w:rFonts w:ascii="Book Antiqua" w:hAnsi="Book Antiqua" w:cs="Arial"/>
        </w:rPr>
        <w:t>In this appeal the decision under challenge is dated 29 November 2012 meaning the Judges reference to the application of the new rules at [12] by reference to 276ADE and Appendix FM is not an arguably erroneous self-direction.</w:t>
      </w:r>
    </w:p>
    <w:p w:rsidR="00FC4BC8" w:rsidRPr="00FC4BC8" w:rsidRDefault="00FC4BC8" w:rsidP="0092787C">
      <w:pPr>
        <w:numPr>
          <w:ilvl w:val="0"/>
          <w:numId w:val="3"/>
        </w:numPr>
        <w:jc w:val="both"/>
        <w:rPr>
          <w:rFonts w:ascii="Book Antiqua" w:hAnsi="Book Antiqua" w:cs="Arial"/>
        </w:rPr>
      </w:pPr>
      <w:r>
        <w:rPr>
          <w:rFonts w:ascii="Book Antiqua" w:hAnsi="Book Antiqua" w:cs="Arial"/>
        </w:rPr>
        <w:t>Mr Mills also referred to an earlier decision of First-tier Tribunal Judge Simpson promulgated on 5 March 2013 in which the Judge was also considering an appeal against refusal of leave on article 8 EC</w:t>
      </w:r>
      <w:r w:rsidR="00FD12B5">
        <w:rPr>
          <w:rFonts w:ascii="Book Antiqua" w:hAnsi="Book Antiqua" w:cs="Arial"/>
        </w:rPr>
        <w:t>HR</w:t>
      </w:r>
      <w:r>
        <w:rPr>
          <w:rFonts w:ascii="Book Antiqua" w:hAnsi="Book Antiqua" w:cs="Arial"/>
        </w:rPr>
        <w:t xml:space="preserve"> grounds. Judge Simpson at [18] found </w:t>
      </w:r>
      <w:r>
        <w:rPr>
          <w:rFonts w:ascii="Book Antiqua" w:hAnsi="Book Antiqua" w:cs="Arial"/>
          <w:i/>
        </w:rPr>
        <w:t>“</w:t>
      </w:r>
      <w:r w:rsidR="00FD12B5">
        <w:rPr>
          <w:rFonts w:ascii="Book Antiqua" w:hAnsi="Book Antiqua" w:cs="Arial"/>
          <w:i/>
        </w:rPr>
        <w:t>H</w:t>
      </w:r>
      <w:r>
        <w:rPr>
          <w:rFonts w:ascii="Book Antiqua" w:hAnsi="Book Antiqua" w:cs="Arial"/>
          <w:i/>
        </w:rPr>
        <w:t>aving considered very carefully all the papers and all the evidence before me, I am unable to reach a different conclusion from that reached by the Respondent. When looking at the evidence in the round the Appellant has failed to discharge the burden on him approving to the balance of probabilities that he was resident in the UK during the period 2000 to 2003”.</w:t>
      </w:r>
    </w:p>
    <w:p w:rsidR="00FC4BC8" w:rsidRDefault="00FC4BC8" w:rsidP="0092787C">
      <w:pPr>
        <w:numPr>
          <w:ilvl w:val="0"/>
          <w:numId w:val="3"/>
        </w:numPr>
        <w:jc w:val="both"/>
        <w:rPr>
          <w:rFonts w:ascii="Book Antiqua" w:hAnsi="Book Antiqua" w:cs="Arial"/>
        </w:rPr>
      </w:pPr>
      <w:r>
        <w:rPr>
          <w:rFonts w:ascii="Book Antiqua" w:hAnsi="Book Antiqua" w:cs="Arial"/>
        </w:rPr>
        <w:t>This finding was not the subject of a contrary or adverse finding by Deputy Upper Tribunal Judge Parkes in his decision dated 19 September 2016 and therefore, a preserved finding from the earlier appeal.</w:t>
      </w:r>
    </w:p>
    <w:p w:rsidR="00FC4BC8" w:rsidRDefault="00FC4BC8" w:rsidP="0092787C">
      <w:pPr>
        <w:numPr>
          <w:ilvl w:val="0"/>
          <w:numId w:val="3"/>
        </w:numPr>
        <w:jc w:val="both"/>
        <w:rPr>
          <w:rFonts w:ascii="Book Antiqua" w:hAnsi="Book Antiqua" w:cs="Arial"/>
        </w:rPr>
      </w:pPr>
      <w:r>
        <w:rPr>
          <w:rFonts w:ascii="Book Antiqua" w:hAnsi="Book Antiqua" w:cs="Arial"/>
        </w:rPr>
        <w:t>The Judge at [7] noted Judge Simpson’s decision and the above finding and the reason for such a finding which was that whilst the appellant was able to provide documentary evidence for the period before and after the period referred to by Judge Simpson he was not able to provide any reliable evidence for that period. Some evidence provided had been rejected by Judge Simpson</w:t>
      </w:r>
      <w:r w:rsidR="00FD12B5">
        <w:rPr>
          <w:rFonts w:ascii="Book Antiqua" w:hAnsi="Book Antiqua" w:cs="Arial"/>
        </w:rPr>
        <w:t xml:space="preserve"> who</w:t>
      </w:r>
      <w:r>
        <w:rPr>
          <w:rFonts w:ascii="Book Antiqua" w:hAnsi="Book Antiqua" w:cs="Arial"/>
        </w:rPr>
        <w:t xml:space="preserve"> found one witness, a Mr Tidman, to have been “economical with the truth” and that the “assertion that the Appellant worked for his former wife and lived under the same roof during the 2002 – 2003 period is untrue”.</w:t>
      </w:r>
    </w:p>
    <w:p w:rsidR="00FC4BC8" w:rsidRDefault="00FC4BC8" w:rsidP="0092787C">
      <w:pPr>
        <w:numPr>
          <w:ilvl w:val="0"/>
          <w:numId w:val="3"/>
        </w:numPr>
        <w:jc w:val="both"/>
        <w:rPr>
          <w:rFonts w:ascii="Book Antiqua" w:hAnsi="Book Antiqua" w:cs="Arial"/>
        </w:rPr>
      </w:pPr>
      <w:r>
        <w:rPr>
          <w:rFonts w:ascii="Book Antiqua" w:hAnsi="Book Antiqua" w:cs="Arial"/>
        </w:rPr>
        <w:t xml:space="preserve">The Judge records an issue that arose before her first </w:t>
      </w:r>
      <w:r w:rsidR="00FD12B5">
        <w:rPr>
          <w:rFonts w:ascii="Book Antiqua" w:hAnsi="Book Antiqua" w:cs="Arial"/>
        </w:rPr>
        <w:t xml:space="preserve">as to </w:t>
      </w:r>
      <w:r>
        <w:rPr>
          <w:rFonts w:ascii="Book Antiqua" w:hAnsi="Book Antiqua" w:cs="Arial"/>
        </w:rPr>
        <w:t>the exact scope of the previous decisions and whether pr</w:t>
      </w:r>
      <w:r w:rsidR="00FD12B5">
        <w:rPr>
          <w:rFonts w:ascii="Book Antiqua" w:hAnsi="Book Antiqua" w:cs="Arial"/>
        </w:rPr>
        <w:t xml:space="preserve">evious </w:t>
      </w:r>
      <w:r>
        <w:rPr>
          <w:rFonts w:ascii="Book Antiqua" w:hAnsi="Book Antiqua" w:cs="Arial"/>
        </w:rPr>
        <w:t>findings have been preserved and at [9 (II)</w:t>
      </w:r>
      <w:r w:rsidR="00FD12B5">
        <w:rPr>
          <w:rFonts w:ascii="Book Antiqua" w:hAnsi="Book Antiqua" w:cs="Arial"/>
        </w:rPr>
        <w:t>]</w:t>
      </w:r>
      <w:r>
        <w:rPr>
          <w:rFonts w:ascii="Book Antiqua" w:hAnsi="Book Antiqua" w:cs="Arial"/>
        </w:rPr>
        <w:t xml:space="preserve"> that “it is clear from the grant that what was in issue was that there was no criticism of Judge Simpson’s findings of fact before DUTJ Juss, but he nevertheless ignored them and made his own “markedly different findings” without any explanation as to why the findings of Judge Simpson were flawed</w:t>
      </w:r>
      <w:r w:rsidR="00FD12B5">
        <w:rPr>
          <w:rFonts w:ascii="Book Antiqua" w:hAnsi="Book Antiqua" w:cs="Arial"/>
        </w:rPr>
        <w:t>”</w:t>
      </w:r>
      <w:r>
        <w:rPr>
          <w:rFonts w:ascii="Book Antiqua" w:hAnsi="Book Antiqua" w:cs="Arial"/>
        </w:rPr>
        <w:t xml:space="preserve">. The Judge </w:t>
      </w:r>
      <w:r>
        <w:rPr>
          <w:rFonts w:ascii="Book Antiqua" w:hAnsi="Book Antiqua" w:cs="Arial"/>
        </w:rPr>
        <w:lastRenderedPageBreak/>
        <w:t>notes at [11]</w:t>
      </w:r>
      <w:r w:rsidR="005D377D">
        <w:rPr>
          <w:rFonts w:ascii="Book Antiqua" w:hAnsi="Book Antiqua" w:cs="Arial"/>
        </w:rPr>
        <w:t xml:space="preserve"> sh</w:t>
      </w:r>
      <w:r w:rsidR="00FD12B5">
        <w:rPr>
          <w:rFonts w:ascii="Book Antiqua" w:hAnsi="Book Antiqua" w:cs="Arial"/>
        </w:rPr>
        <w:t xml:space="preserve">e </w:t>
      </w:r>
      <w:r w:rsidR="005D377D">
        <w:rPr>
          <w:rFonts w:ascii="Book Antiqua" w:hAnsi="Book Antiqua" w:cs="Arial"/>
        </w:rPr>
        <w:t>advise</w:t>
      </w:r>
      <w:r w:rsidR="00FD12B5">
        <w:rPr>
          <w:rFonts w:ascii="Book Antiqua" w:hAnsi="Book Antiqua" w:cs="Arial"/>
        </w:rPr>
        <w:t>d</w:t>
      </w:r>
      <w:r w:rsidR="005D377D">
        <w:rPr>
          <w:rFonts w:ascii="Book Antiqua" w:hAnsi="Book Antiqua" w:cs="Arial"/>
        </w:rPr>
        <w:t xml:space="preserve"> the parties that the decision of Judge Simpson will be the starting point for the findings of fact in relation to Article 8</w:t>
      </w:r>
      <w:r w:rsidR="00FD12B5">
        <w:rPr>
          <w:rFonts w:ascii="Book Antiqua" w:hAnsi="Book Antiqua" w:cs="Arial"/>
        </w:rPr>
        <w:t xml:space="preserve">.  There is no recorded objection and the </w:t>
      </w:r>
      <w:r w:rsidR="005D377D">
        <w:rPr>
          <w:rFonts w:ascii="Book Antiqua" w:hAnsi="Book Antiqua" w:cs="Arial"/>
        </w:rPr>
        <w:t xml:space="preserve">hearing proceeded on that basis. </w:t>
      </w:r>
    </w:p>
    <w:p w:rsidR="005D377D" w:rsidRDefault="005D377D" w:rsidP="0092787C">
      <w:pPr>
        <w:numPr>
          <w:ilvl w:val="0"/>
          <w:numId w:val="3"/>
        </w:numPr>
        <w:jc w:val="both"/>
        <w:rPr>
          <w:rFonts w:ascii="Book Antiqua" w:hAnsi="Book Antiqua" w:cs="Arial"/>
        </w:rPr>
      </w:pPr>
      <w:r>
        <w:rPr>
          <w:rFonts w:ascii="Book Antiqua" w:hAnsi="Book Antiqua" w:cs="Arial"/>
        </w:rPr>
        <w:t xml:space="preserve">There was clear evidence before the Judge therefore </w:t>
      </w:r>
      <w:r w:rsidR="00FD12B5">
        <w:rPr>
          <w:rFonts w:ascii="Book Antiqua" w:hAnsi="Book Antiqua" w:cs="Arial"/>
        </w:rPr>
        <w:t xml:space="preserve">of the </w:t>
      </w:r>
      <w:r>
        <w:rPr>
          <w:rFonts w:ascii="Book Antiqua" w:hAnsi="Book Antiqua" w:cs="Arial"/>
        </w:rPr>
        <w:t>existence of a gap in the appellants period of continuous residence in the United Kingdom.</w:t>
      </w:r>
    </w:p>
    <w:p w:rsidR="005D377D" w:rsidRPr="00FD12B5" w:rsidRDefault="005D377D" w:rsidP="00232A68">
      <w:pPr>
        <w:numPr>
          <w:ilvl w:val="0"/>
          <w:numId w:val="3"/>
        </w:numPr>
        <w:jc w:val="both"/>
        <w:rPr>
          <w:rFonts w:ascii="Book Antiqua" w:hAnsi="Book Antiqua" w:cs="Arial"/>
        </w:rPr>
      </w:pPr>
      <w:r w:rsidRPr="00FD12B5">
        <w:rPr>
          <w:rFonts w:ascii="Book Antiqua" w:hAnsi="Book Antiqua" w:cs="Arial"/>
        </w:rPr>
        <w:t>The Judge considered the evidence p</w:t>
      </w:r>
      <w:r w:rsidR="00FD12B5" w:rsidRPr="00FD12B5">
        <w:rPr>
          <w:rFonts w:ascii="Book Antiqua" w:hAnsi="Book Antiqua" w:cs="Arial"/>
        </w:rPr>
        <w:t xml:space="preserve">rovided </w:t>
      </w:r>
      <w:r w:rsidR="00FD12B5">
        <w:rPr>
          <w:rFonts w:ascii="Book Antiqua" w:hAnsi="Book Antiqua" w:cs="Arial"/>
        </w:rPr>
        <w:t>i</w:t>
      </w:r>
      <w:r w:rsidRPr="00FD12B5">
        <w:rPr>
          <w:rFonts w:ascii="Book Antiqua" w:hAnsi="Book Antiqua" w:cs="Arial"/>
        </w:rPr>
        <w:t xml:space="preserve">n support of the claim the appellant had been present in the United Kingdom throughout the </w:t>
      </w:r>
      <w:r w:rsidR="00FD12B5">
        <w:rPr>
          <w:rFonts w:ascii="Book Antiqua" w:hAnsi="Book Antiqua" w:cs="Arial"/>
        </w:rPr>
        <w:t xml:space="preserve">relevant </w:t>
      </w:r>
      <w:r w:rsidRPr="00FD12B5">
        <w:rPr>
          <w:rFonts w:ascii="Book Antiqua" w:hAnsi="Book Antiqua" w:cs="Arial"/>
        </w:rPr>
        <w:t>period including the remittance receipts. The Judge finds at [24]:</w:t>
      </w:r>
    </w:p>
    <w:p w:rsidR="005D377D" w:rsidRDefault="005D377D" w:rsidP="0092787C">
      <w:pPr>
        <w:ind w:left="1080"/>
        <w:jc w:val="both"/>
        <w:rPr>
          <w:rFonts w:ascii="Book Antiqua" w:hAnsi="Book Antiqua" w:cs="Arial"/>
        </w:rPr>
      </w:pPr>
    </w:p>
    <w:p w:rsidR="005D377D" w:rsidRDefault="005D377D" w:rsidP="00FD12B5">
      <w:pPr>
        <w:ind w:left="2265" w:hanging="564"/>
        <w:jc w:val="both"/>
        <w:rPr>
          <w:rFonts w:ascii="Book Antiqua" w:hAnsi="Book Antiqua" w:cs="Arial"/>
          <w:sz w:val="20"/>
          <w:szCs w:val="20"/>
        </w:rPr>
      </w:pPr>
      <w:r>
        <w:rPr>
          <w:rFonts w:ascii="Book Antiqua" w:hAnsi="Book Antiqua" w:cs="Arial"/>
          <w:sz w:val="20"/>
          <w:szCs w:val="20"/>
        </w:rPr>
        <w:t xml:space="preserve">24. </w:t>
      </w:r>
      <w:r w:rsidR="00FD12B5">
        <w:rPr>
          <w:rFonts w:ascii="Book Antiqua" w:hAnsi="Book Antiqua" w:cs="Arial"/>
          <w:sz w:val="20"/>
          <w:szCs w:val="20"/>
        </w:rPr>
        <w:tab/>
      </w:r>
      <w:r>
        <w:rPr>
          <w:rFonts w:ascii="Book Antiqua" w:hAnsi="Book Antiqua" w:cs="Arial"/>
          <w:sz w:val="20"/>
          <w:szCs w:val="20"/>
        </w:rPr>
        <w:t xml:space="preserve">As to the remittance receipts, these are not translated. Whilst the dates can just about be seen, the receipts are described as an ‘Inward Remittance’, which suggests that the receipts </w:t>
      </w:r>
      <w:proofErr w:type="gramStart"/>
      <w:r>
        <w:rPr>
          <w:rFonts w:ascii="Book Antiqua" w:hAnsi="Book Antiqua" w:cs="Arial"/>
          <w:sz w:val="20"/>
          <w:szCs w:val="20"/>
        </w:rPr>
        <w:t>was</w:t>
      </w:r>
      <w:proofErr w:type="gramEnd"/>
      <w:r>
        <w:rPr>
          <w:rFonts w:ascii="Book Antiqua" w:hAnsi="Book Antiqua" w:cs="Arial"/>
          <w:sz w:val="20"/>
          <w:szCs w:val="20"/>
        </w:rPr>
        <w:t xml:space="preserve"> created when the funds were received by the Appellant’s parents, not when they were sent by him. Receipts do not show the country from which they were sent.</w:t>
      </w:r>
    </w:p>
    <w:p w:rsidR="005D377D" w:rsidRPr="005D377D" w:rsidRDefault="005D377D" w:rsidP="0092787C">
      <w:pPr>
        <w:ind w:left="1701"/>
        <w:jc w:val="both"/>
        <w:rPr>
          <w:rFonts w:ascii="Book Antiqua" w:hAnsi="Book Antiqua" w:cs="Arial"/>
          <w:sz w:val="20"/>
          <w:szCs w:val="20"/>
        </w:rPr>
      </w:pPr>
    </w:p>
    <w:p w:rsidR="005D377D" w:rsidRDefault="005D377D" w:rsidP="0092787C">
      <w:pPr>
        <w:numPr>
          <w:ilvl w:val="0"/>
          <w:numId w:val="3"/>
        </w:numPr>
        <w:jc w:val="both"/>
        <w:rPr>
          <w:rFonts w:ascii="Book Antiqua" w:hAnsi="Book Antiqua" w:cs="Arial"/>
        </w:rPr>
      </w:pPr>
      <w:r>
        <w:rPr>
          <w:rFonts w:ascii="Book Antiqua" w:hAnsi="Book Antiqua" w:cs="Arial"/>
        </w:rPr>
        <w:t>It is correct to note that the receipts appear to have both English and Chinese characters on but this does not answer the Judge’s findings in relation to the content of those documents.</w:t>
      </w:r>
    </w:p>
    <w:p w:rsidR="005D377D" w:rsidRDefault="005D377D" w:rsidP="0092787C">
      <w:pPr>
        <w:numPr>
          <w:ilvl w:val="0"/>
          <w:numId w:val="3"/>
        </w:numPr>
        <w:jc w:val="both"/>
        <w:rPr>
          <w:rFonts w:ascii="Book Antiqua" w:hAnsi="Book Antiqua" w:cs="Arial"/>
        </w:rPr>
      </w:pPr>
      <w:r>
        <w:rPr>
          <w:rFonts w:ascii="Book Antiqua" w:hAnsi="Book Antiqua" w:cs="Arial"/>
        </w:rPr>
        <w:t>The Judge notes the challeng</w:t>
      </w:r>
      <w:r w:rsidR="00FD12B5">
        <w:rPr>
          <w:rFonts w:ascii="Book Antiqua" w:hAnsi="Book Antiqua" w:cs="Arial"/>
        </w:rPr>
        <w:t xml:space="preserve">e </w:t>
      </w:r>
      <w:r>
        <w:rPr>
          <w:rFonts w:ascii="Book Antiqua" w:hAnsi="Book Antiqua" w:cs="Arial"/>
        </w:rPr>
        <w:t>in</w:t>
      </w:r>
      <w:r w:rsidR="00FD12B5">
        <w:rPr>
          <w:rFonts w:ascii="Book Antiqua" w:hAnsi="Book Antiqua" w:cs="Arial"/>
        </w:rPr>
        <w:t xml:space="preserve"> </w:t>
      </w:r>
      <w:r>
        <w:rPr>
          <w:rFonts w:ascii="Book Antiqua" w:hAnsi="Book Antiqua" w:cs="Arial"/>
        </w:rPr>
        <w:t>the grounds at [25]</w:t>
      </w:r>
      <w:r w:rsidR="00FD12B5">
        <w:rPr>
          <w:rFonts w:ascii="Book Antiqua" w:hAnsi="Book Antiqua" w:cs="Arial"/>
        </w:rPr>
        <w:t>,</w:t>
      </w:r>
      <w:r>
        <w:rPr>
          <w:rFonts w:ascii="Book Antiqua" w:hAnsi="Book Antiqua" w:cs="Arial"/>
        </w:rPr>
        <w:t xml:space="preserve"> raised during the course of the proceedings</w:t>
      </w:r>
      <w:r w:rsidR="00FD12B5">
        <w:rPr>
          <w:rFonts w:ascii="Book Antiqua" w:hAnsi="Book Antiqua" w:cs="Arial"/>
        </w:rPr>
        <w:t>,</w:t>
      </w:r>
      <w:r>
        <w:rPr>
          <w:rFonts w:ascii="Book Antiqua" w:hAnsi="Book Antiqua" w:cs="Arial"/>
        </w:rPr>
        <w:t xml:space="preserve"> </w:t>
      </w:r>
      <w:r w:rsidR="00FD12B5">
        <w:rPr>
          <w:rFonts w:ascii="Book Antiqua" w:hAnsi="Book Antiqua" w:cs="Arial"/>
        </w:rPr>
        <w:t xml:space="preserve">but the </w:t>
      </w:r>
      <w:r>
        <w:rPr>
          <w:rFonts w:ascii="Book Antiqua" w:hAnsi="Book Antiqua" w:cs="Arial"/>
        </w:rPr>
        <w:t xml:space="preserve">Judge gives ample reason for why submissions were not found to be determinative. The Judge also notes, as did Judge Simpson the appellant’s ability to provide documentary evidence for large periods of time but not for all the period that he claimed to have been in the United Kingdom. On this occasion it appears to be from May 2000 to October 2002. </w:t>
      </w:r>
      <w:r w:rsidR="00FD12B5">
        <w:rPr>
          <w:rFonts w:ascii="Book Antiqua" w:hAnsi="Book Antiqua" w:cs="Arial"/>
        </w:rPr>
        <w:t xml:space="preserve">This has </w:t>
      </w:r>
      <w:r>
        <w:rPr>
          <w:rFonts w:ascii="Book Antiqua" w:hAnsi="Book Antiqua" w:cs="Arial"/>
        </w:rPr>
        <w:t>not been shown to be a finding outside the range of those reasonably open to the Judge on the evidence.</w:t>
      </w:r>
    </w:p>
    <w:p w:rsidR="005D377D" w:rsidRDefault="005D377D" w:rsidP="0092787C">
      <w:pPr>
        <w:numPr>
          <w:ilvl w:val="0"/>
          <w:numId w:val="3"/>
        </w:numPr>
        <w:jc w:val="both"/>
        <w:rPr>
          <w:rFonts w:ascii="Book Antiqua" w:hAnsi="Book Antiqua" w:cs="Arial"/>
        </w:rPr>
      </w:pPr>
      <w:r>
        <w:rPr>
          <w:rFonts w:ascii="Book Antiqua" w:hAnsi="Book Antiqua" w:cs="Arial"/>
        </w:rPr>
        <w:t xml:space="preserve">It is also the case that whilst some of the receipts </w:t>
      </w:r>
      <w:r w:rsidR="00FD12B5">
        <w:rPr>
          <w:rFonts w:ascii="Book Antiqua" w:hAnsi="Book Antiqua" w:cs="Arial"/>
        </w:rPr>
        <w:t xml:space="preserve">are </w:t>
      </w:r>
      <w:r>
        <w:rPr>
          <w:rFonts w:ascii="Book Antiqua" w:hAnsi="Book Antiqua" w:cs="Arial"/>
        </w:rPr>
        <w:t>sta</w:t>
      </w:r>
      <w:r w:rsidR="00FD12B5">
        <w:rPr>
          <w:rFonts w:ascii="Book Antiqua" w:hAnsi="Book Antiqua" w:cs="Arial"/>
        </w:rPr>
        <w:t xml:space="preserve">mped indicating the place of origin of the funds, those for </w:t>
      </w:r>
      <w:r>
        <w:rPr>
          <w:rFonts w:ascii="Book Antiqua" w:hAnsi="Book Antiqua" w:cs="Arial"/>
        </w:rPr>
        <w:t>the disputed period are not stamped which also casts doubt upon their authenticity.</w:t>
      </w:r>
    </w:p>
    <w:p w:rsidR="005D377D" w:rsidRDefault="005D377D" w:rsidP="0092787C">
      <w:pPr>
        <w:numPr>
          <w:ilvl w:val="0"/>
          <w:numId w:val="3"/>
        </w:numPr>
        <w:jc w:val="both"/>
        <w:rPr>
          <w:rFonts w:ascii="Book Antiqua" w:hAnsi="Book Antiqua" w:cs="Arial"/>
        </w:rPr>
      </w:pPr>
      <w:r>
        <w:rPr>
          <w:rFonts w:ascii="Book Antiqua" w:hAnsi="Book Antiqua" w:cs="Arial"/>
        </w:rPr>
        <w:t xml:space="preserve">The Judge clearly considered the evidence with the required degree of anxious scrutiny to ensure all outstanding matters had been resolved. The appellant was unable to succeed under the Immigration Rules which is why the matter was to be determined </w:t>
      </w:r>
      <w:r w:rsidR="00FD12B5">
        <w:rPr>
          <w:rFonts w:ascii="Book Antiqua" w:hAnsi="Book Antiqua" w:cs="Arial"/>
        </w:rPr>
        <w:t>under a</w:t>
      </w:r>
      <w:r>
        <w:rPr>
          <w:rFonts w:ascii="Book Antiqua" w:hAnsi="Book Antiqua" w:cs="Arial"/>
        </w:rPr>
        <w:t>rticle 8</w:t>
      </w:r>
      <w:r w:rsidR="00FD12B5">
        <w:rPr>
          <w:rFonts w:ascii="Book Antiqua" w:hAnsi="Book Antiqua" w:cs="Arial"/>
        </w:rPr>
        <w:t xml:space="preserve"> ECHR outside the R</w:t>
      </w:r>
      <w:r>
        <w:rPr>
          <w:rFonts w:ascii="Book Antiqua" w:hAnsi="Book Antiqua" w:cs="Arial"/>
        </w:rPr>
        <w:t xml:space="preserve">ules only. The Judge considered the nature of the protected rights </w:t>
      </w:r>
      <w:r w:rsidR="00FD12B5">
        <w:rPr>
          <w:rFonts w:ascii="Book Antiqua" w:hAnsi="Book Antiqua" w:cs="Arial"/>
        </w:rPr>
        <w:t xml:space="preserve">in a </w:t>
      </w:r>
      <w:r>
        <w:rPr>
          <w:rFonts w:ascii="Book Antiqua" w:hAnsi="Book Antiqua" w:cs="Arial"/>
        </w:rPr>
        <w:t>properly structured manner. The Judge gives adequate reasons for findings made and so the weight to be given to the evidence was a matter for the Judge.</w:t>
      </w:r>
    </w:p>
    <w:p w:rsidR="005D377D" w:rsidRDefault="0092787C" w:rsidP="0092787C">
      <w:pPr>
        <w:numPr>
          <w:ilvl w:val="0"/>
          <w:numId w:val="3"/>
        </w:numPr>
        <w:jc w:val="both"/>
        <w:rPr>
          <w:rFonts w:ascii="Book Antiqua" w:hAnsi="Book Antiqua" w:cs="Arial"/>
        </w:rPr>
      </w:pPr>
      <w:r>
        <w:rPr>
          <w:rFonts w:ascii="Book Antiqua" w:hAnsi="Book Antiqua" w:cs="Arial"/>
        </w:rPr>
        <w:t>The issues on which permission to appeal was sought and granted have not been shown to disclose any arguable error in the decision of the Judge. The Judge was not satisfied the appellant was able to succeed on any immigration rule and Mr Walsh</w:t>
      </w:r>
      <w:r w:rsidR="00FD12B5">
        <w:rPr>
          <w:rFonts w:ascii="Book Antiqua" w:hAnsi="Book Antiqua" w:cs="Arial"/>
        </w:rPr>
        <w:t>,</w:t>
      </w:r>
      <w:r>
        <w:rPr>
          <w:rFonts w:ascii="Book Antiqua" w:hAnsi="Book Antiqua" w:cs="Arial"/>
        </w:rPr>
        <w:t xml:space="preserve"> in his reply to Mr Mills</w:t>
      </w:r>
      <w:r w:rsidR="00FD12B5">
        <w:rPr>
          <w:rFonts w:ascii="Book Antiqua" w:hAnsi="Book Antiqua" w:cs="Arial"/>
        </w:rPr>
        <w:t>,</w:t>
      </w:r>
      <w:r>
        <w:rPr>
          <w:rFonts w:ascii="Book Antiqua" w:hAnsi="Book Antiqua" w:cs="Arial"/>
        </w:rPr>
        <w:t xml:space="preserve"> accepted that the decision of the Court of Appeal in </w:t>
      </w:r>
      <w:r w:rsidRPr="00FD12B5">
        <w:rPr>
          <w:rFonts w:ascii="Book Antiqua" w:hAnsi="Book Antiqua" w:cs="Arial"/>
          <w:i/>
        </w:rPr>
        <w:t>Singh &amp; Khalid</w:t>
      </w:r>
      <w:r>
        <w:rPr>
          <w:rFonts w:ascii="Book Antiqua" w:hAnsi="Book Antiqua" w:cs="Arial"/>
        </w:rPr>
        <w:t xml:space="preserve"> had not been overturned </w:t>
      </w:r>
      <w:r w:rsidR="00FD12B5">
        <w:rPr>
          <w:rFonts w:ascii="Book Antiqua" w:hAnsi="Book Antiqua" w:cs="Arial"/>
        </w:rPr>
        <w:t xml:space="preserve">and </w:t>
      </w:r>
      <w:r>
        <w:rPr>
          <w:rFonts w:ascii="Book Antiqua" w:hAnsi="Book Antiqua" w:cs="Arial"/>
        </w:rPr>
        <w:t xml:space="preserve">accepted the order of the Court of Appeal in this case </w:t>
      </w:r>
      <w:r w:rsidR="00FD12B5">
        <w:rPr>
          <w:rFonts w:ascii="Book Antiqua" w:hAnsi="Book Antiqua" w:cs="Arial"/>
        </w:rPr>
        <w:t xml:space="preserve">but </w:t>
      </w:r>
      <w:r>
        <w:rPr>
          <w:rFonts w:ascii="Book Antiqua" w:hAnsi="Book Antiqua" w:cs="Arial"/>
        </w:rPr>
        <w:t>argues that although Judge Robertson had the power to consider the period of residence when she did so</w:t>
      </w:r>
      <w:r w:rsidR="00FD12B5">
        <w:rPr>
          <w:rFonts w:ascii="Book Antiqua" w:hAnsi="Book Antiqua" w:cs="Arial"/>
        </w:rPr>
        <w:t xml:space="preserve"> it</w:t>
      </w:r>
      <w:r>
        <w:rPr>
          <w:rFonts w:ascii="Book Antiqua" w:hAnsi="Book Antiqua" w:cs="Arial"/>
        </w:rPr>
        <w:t xml:space="preserve"> was necessary to do so properly </w:t>
      </w:r>
      <w:r w:rsidR="00FD12B5">
        <w:rPr>
          <w:rFonts w:ascii="Book Antiqua" w:hAnsi="Book Antiqua" w:cs="Arial"/>
        </w:rPr>
        <w:t xml:space="preserve">and </w:t>
      </w:r>
      <w:r>
        <w:rPr>
          <w:rFonts w:ascii="Book Antiqua" w:hAnsi="Book Antiqua" w:cs="Arial"/>
        </w:rPr>
        <w:t>lawfully</w:t>
      </w:r>
      <w:r w:rsidR="00FD12B5">
        <w:rPr>
          <w:rFonts w:ascii="Book Antiqua" w:hAnsi="Book Antiqua" w:cs="Arial"/>
        </w:rPr>
        <w:t>,</w:t>
      </w:r>
      <w:r>
        <w:rPr>
          <w:rFonts w:ascii="Book Antiqua" w:hAnsi="Book Antiqua" w:cs="Arial"/>
        </w:rPr>
        <w:t xml:space="preserve"> and </w:t>
      </w:r>
      <w:r w:rsidR="00FD12B5">
        <w:rPr>
          <w:rFonts w:ascii="Book Antiqua" w:hAnsi="Book Antiqua" w:cs="Arial"/>
        </w:rPr>
        <w:t xml:space="preserve">the </w:t>
      </w:r>
      <w:r>
        <w:rPr>
          <w:rFonts w:ascii="Book Antiqua" w:hAnsi="Book Antiqua" w:cs="Arial"/>
        </w:rPr>
        <w:t>findings regarding residen</w:t>
      </w:r>
      <w:r w:rsidR="00FD12B5">
        <w:rPr>
          <w:rFonts w:ascii="Book Antiqua" w:hAnsi="Book Antiqua" w:cs="Arial"/>
        </w:rPr>
        <w:t xml:space="preserve">ce are </w:t>
      </w:r>
      <w:r>
        <w:rPr>
          <w:rFonts w:ascii="Book Antiqua" w:hAnsi="Book Antiqua" w:cs="Arial"/>
        </w:rPr>
        <w:t xml:space="preserve">irrational and not properly undertaken. </w:t>
      </w:r>
      <w:r w:rsidR="00FD12B5">
        <w:rPr>
          <w:rFonts w:ascii="Book Antiqua" w:hAnsi="Book Antiqua" w:cs="Arial"/>
        </w:rPr>
        <w:t xml:space="preserve">It was </w:t>
      </w:r>
      <w:r>
        <w:rPr>
          <w:rFonts w:ascii="Book Antiqua" w:hAnsi="Book Antiqua" w:cs="Arial"/>
        </w:rPr>
        <w:t>argued there is</w:t>
      </w:r>
      <w:r w:rsidR="00FD12B5">
        <w:rPr>
          <w:rFonts w:ascii="Book Antiqua" w:hAnsi="Book Antiqua" w:cs="Arial"/>
        </w:rPr>
        <w:t xml:space="preserve"> the</w:t>
      </w:r>
      <w:r>
        <w:rPr>
          <w:rFonts w:ascii="Book Antiqua" w:hAnsi="Book Antiqua" w:cs="Arial"/>
        </w:rPr>
        <w:t xml:space="preserve"> need to look at the context of the decision</w:t>
      </w:r>
      <w:r w:rsidR="00FD12B5">
        <w:rPr>
          <w:rFonts w:ascii="Book Antiqua" w:hAnsi="Book Antiqua" w:cs="Arial"/>
        </w:rPr>
        <w:t>.</w:t>
      </w:r>
    </w:p>
    <w:p w:rsidR="0092787C" w:rsidRDefault="0092787C" w:rsidP="0092787C">
      <w:pPr>
        <w:numPr>
          <w:ilvl w:val="0"/>
          <w:numId w:val="3"/>
        </w:numPr>
        <w:jc w:val="both"/>
        <w:rPr>
          <w:rFonts w:ascii="Book Antiqua" w:hAnsi="Book Antiqua" w:cs="Arial"/>
        </w:rPr>
      </w:pPr>
      <w:r>
        <w:rPr>
          <w:rFonts w:ascii="Book Antiqua" w:hAnsi="Book Antiqua" w:cs="Arial"/>
        </w:rPr>
        <w:t>Mr Walsh accepted that if article 8</w:t>
      </w:r>
      <w:r w:rsidR="00FD12B5">
        <w:rPr>
          <w:rFonts w:ascii="Book Antiqua" w:hAnsi="Book Antiqua" w:cs="Arial"/>
        </w:rPr>
        <w:t xml:space="preserve"> ECHR w</w:t>
      </w:r>
      <w:r>
        <w:rPr>
          <w:rFonts w:ascii="Book Antiqua" w:hAnsi="Book Antiqua" w:cs="Arial"/>
        </w:rPr>
        <w:t>as the only issue [12] decision was correct.</w:t>
      </w:r>
    </w:p>
    <w:p w:rsidR="0092787C" w:rsidRDefault="0092787C" w:rsidP="0092787C">
      <w:pPr>
        <w:numPr>
          <w:ilvl w:val="0"/>
          <w:numId w:val="3"/>
        </w:numPr>
        <w:jc w:val="both"/>
        <w:rPr>
          <w:rFonts w:ascii="Book Antiqua" w:hAnsi="Book Antiqua" w:cs="Arial"/>
        </w:rPr>
      </w:pPr>
      <w:r>
        <w:rPr>
          <w:rFonts w:ascii="Book Antiqua" w:hAnsi="Book Antiqua" w:cs="Arial"/>
        </w:rPr>
        <w:lastRenderedPageBreak/>
        <w:t>Despite his best efforts</w:t>
      </w:r>
      <w:r w:rsidR="00FD12B5">
        <w:rPr>
          <w:rFonts w:ascii="Book Antiqua" w:hAnsi="Book Antiqua" w:cs="Arial"/>
        </w:rPr>
        <w:t>, I</w:t>
      </w:r>
      <w:r>
        <w:rPr>
          <w:rFonts w:ascii="Book Antiqua" w:hAnsi="Book Antiqua" w:cs="Arial"/>
        </w:rPr>
        <w:t xml:space="preserve"> do not find the appellant’s representative </w:t>
      </w:r>
      <w:r w:rsidR="00FD12B5">
        <w:rPr>
          <w:rFonts w:ascii="Book Antiqua" w:hAnsi="Book Antiqua" w:cs="Arial"/>
        </w:rPr>
        <w:t xml:space="preserve">has </w:t>
      </w:r>
      <w:r>
        <w:rPr>
          <w:rFonts w:ascii="Book Antiqua" w:hAnsi="Book Antiqua" w:cs="Arial"/>
        </w:rPr>
        <w:t xml:space="preserve">established any arguable legal error material to the decision of the Judge. </w:t>
      </w:r>
      <w:r w:rsidR="00FD12B5">
        <w:rPr>
          <w:rFonts w:ascii="Book Antiqua" w:hAnsi="Book Antiqua" w:cs="Arial"/>
        </w:rPr>
        <w:t xml:space="preserve">In a </w:t>
      </w:r>
      <w:r>
        <w:rPr>
          <w:rFonts w:ascii="Book Antiqua" w:hAnsi="Book Antiqua" w:cs="Arial"/>
        </w:rPr>
        <w:t>very carefully written determination the Judge was at pains to ensure she understood everything that had gone before, previous findings and reasons for the same be</w:t>
      </w:r>
      <w:r w:rsidR="00FD12B5">
        <w:rPr>
          <w:rFonts w:ascii="Book Antiqua" w:hAnsi="Book Antiqua" w:cs="Arial"/>
        </w:rPr>
        <w:t xml:space="preserve">ing </w:t>
      </w:r>
      <w:r>
        <w:rPr>
          <w:rFonts w:ascii="Book Antiqua" w:hAnsi="Book Antiqua" w:cs="Arial"/>
        </w:rPr>
        <w:t>overturned, and the strict terms of the remittal to the First-tier Tribunal.</w:t>
      </w:r>
      <w:r w:rsidR="00FD12B5">
        <w:rPr>
          <w:rFonts w:ascii="Book Antiqua" w:hAnsi="Book Antiqua" w:cs="Arial"/>
        </w:rPr>
        <w:t xml:space="preserve"> </w:t>
      </w:r>
    </w:p>
    <w:p w:rsidR="0092787C" w:rsidRDefault="0092787C" w:rsidP="0092787C">
      <w:pPr>
        <w:numPr>
          <w:ilvl w:val="0"/>
          <w:numId w:val="3"/>
        </w:numPr>
        <w:jc w:val="both"/>
        <w:rPr>
          <w:rFonts w:ascii="Book Antiqua" w:hAnsi="Book Antiqua" w:cs="Arial"/>
        </w:rPr>
      </w:pPr>
      <w:r>
        <w:rPr>
          <w:rFonts w:ascii="Book Antiqua" w:hAnsi="Book Antiqua" w:cs="Arial"/>
        </w:rPr>
        <w:t>The appellant fails to establish his case to the appropriate burden. The Judge clearly considered all matters adequately and disagreement with the outcome or desire for a more favourable conclusion does not establish arguable legal error material to the decision</w:t>
      </w:r>
      <w:r w:rsidR="00FD12B5">
        <w:rPr>
          <w:rFonts w:ascii="Book Antiqua" w:hAnsi="Book Antiqua" w:cs="Arial"/>
        </w:rPr>
        <w:t>,</w:t>
      </w:r>
      <w:r>
        <w:rPr>
          <w:rFonts w:ascii="Book Antiqua" w:hAnsi="Book Antiqua" w:cs="Arial"/>
        </w:rPr>
        <w:t xml:space="preserve"> </w:t>
      </w:r>
      <w:r w:rsidR="00FD12B5">
        <w:rPr>
          <w:rFonts w:ascii="Book Antiqua" w:hAnsi="Book Antiqua" w:cs="Arial"/>
        </w:rPr>
        <w:t xml:space="preserve">or </w:t>
      </w:r>
      <w:r>
        <w:rPr>
          <w:rFonts w:ascii="Book Antiqua" w:hAnsi="Book Antiqua" w:cs="Arial"/>
        </w:rPr>
        <w:t xml:space="preserve">any arguable irrationality in the approach taken </w:t>
      </w:r>
      <w:r w:rsidR="00FD12B5">
        <w:rPr>
          <w:rFonts w:ascii="Book Antiqua" w:hAnsi="Book Antiqua" w:cs="Arial"/>
        </w:rPr>
        <w:t xml:space="preserve">or </w:t>
      </w:r>
      <w:r>
        <w:rPr>
          <w:rFonts w:ascii="Book Antiqua" w:hAnsi="Book Antiqua" w:cs="Arial"/>
        </w:rPr>
        <w:t>conclusions by the Judge</w:t>
      </w:r>
      <w:r w:rsidR="00FD12B5">
        <w:rPr>
          <w:rFonts w:ascii="Book Antiqua" w:hAnsi="Book Antiqua" w:cs="Arial"/>
        </w:rPr>
        <w:t>,</w:t>
      </w:r>
      <w:r>
        <w:rPr>
          <w:rFonts w:ascii="Book Antiqua" w:hAnsi="Book Antiqua" w:cs="Arial"/>
        </w:rPr>
        <w:t xml:space="preserve"> sufficient to enable the Upper Tribunal to interfere in this judgment.</w:t>
      </w:r>
    </w:p>
    <w:p w:rsidR="0092787C" w:rsidRDefault="0092787C" w:rsidP="0092787C">
      <w:pPr>
        <w:numPr>
          <w:ilvl w:val="0"/>
          <w:numId w:val="3"/>
        </w:numPr>
        <w:jc w:val="both"/>
        <w:rPr>
          <w:rFonts w:ascii="Book Antiqua" w:hAnsi="Book Antiqua" w:cs="Arial"/>
        </w:rPr>
      </w:pPr>
      <w:r>
        <w:rPr>
          <w:rFonts w:ascii="Book Antiqua" w:hAnsi="Book Antiqua" w:cs="Arial"/>
        </w:rPr>
        <w:t>No arguable legal error material to the decision of the Judge has been made out. The decision shall stand.</w:t>
      </w:r>
    </w:p>
    <w:p w:rsidR="00D32B8A" w:rsidRPr="0092787C" w:rsidRDefault="00D32B8A" w:rsidP="0092787C">
      <w:pPr>
        <w:ind w:left="1080"/>
        <w:jc w:val="both"/>
        <w:rPr>
          <w:rFonts w:ascii="Book Antiqua" w:hAnsi="Book Antiqua" w:cs="Arial"/>
        </w:rPr>
      </w:pPr>
    </w:p>
    <w:p w:rsidR="00D32B8A" w:rsidRPr="00D32B8A" w:rsidRDefault="00D32B8A" w:rsidP="0092787C">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D32B8A" w:rsidRPr="00D32B8A" w:rsidRDefault="00D32B8A" w:rsidP="0092787C">
      <w:pPr>
        <w:pStyle w:val="BodyTextIndent"/>
        <w:ind w:left="0"/>
        <w:jc w:val="both"/>
        <w:rPr>
          <w:rFonts w:ascii="Book Antiqua" w:hAnsi="Book Antiqua" w:cs="Arial"/>
          <w:b/>
          <w:bCs/>
          <w:sz w:val="24"/>
          <w:u w:val="single"/>
        </w:rPr>
      </w:pPr>
    </w:p>
    <w:p w:rsidR="00813355" w:rsidRDefault="00D32B8A" w:rsidP="0092787C">
      <w:pPr>
        <w:pStyle w:val="BodyTextIndent"/>
        <w:numPr>
          <w:ilvl w:val="0"/>
          <w:numId w:val="3"/>
        </w:numPr>
        <w:jc w:val="both"/>
        <w:rPr>
          <w:rFonts w:ascii="Book Antiqua" w:hAnsi="Book Antiqua" w:cs="Arial"/>
          <w:b/>
          <w:sz w:val="24"/>
        </w:rPr>
      </w:pPr>
      <w:r w:rsidRPr="00D32B8A">
        <w:rPr>
          <w:rFonts w:ascii="Book Antiqua" w:hAnsi="Book Antiqua" w:cs="Arial"/>
          <w:b/>
          <w:sz w:val="24"/>
        </w:rPr>
        <w:t>There is no material error of law in the Immigration Judge’s decision. The determination shall stand</w:t>
      </w:r>
    </w:p>
    <w:p w:rsidR="00813355" w:rsidRDefault="00813355" w:rsidP="0092787C">
      <w:pPr>
        <w:pStyle w:val="BodyTextIndent"/>
        <w:jc w:val="both"/>
        <w:rPr>
          <w:rFonts w:ascii="Book Antiqua" w:hAnsi="Book Antiqua" w:cs="Arial"/>
          <w:b/>
          <w:sz w:val="24"/>
        </w:rPr>
      </w:pPr>
    </w:p>
    <w:p w:rsidR="00813355" w:rsidRPr="00DB5024" w:rsidRDefault="00813355" w:rsidP="0092787C">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92787C">
      <w:pPr>
        <w:pStyle w:val="BodyTextIndent"/>
        <w:ind w:left="360"/>
        <w:jc w:val="both"/>
        <w:rPr>
          <w:rFonts w:ascii="Book Antiqua" w:hAnsi="Book Antiqua" w:cs="Arial"/>
          <w:sz w:val="24"/>
        </w:rPr>
      </w:pPr>
    </w:p>
    <w:p w:rsidR="00813355" w:rsidRPr="00DB5024" w:rsidRDefault="00813355" w:rsidP="0092787C">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45(4)(i) of the Asylum and Immigration Tribunal (Procedure) Rules 2005.</w:t>
      </w:r>
    </w:p>
    <w:p w:rsidR="00813355" w:rsidRPr="00DB5024" w:rsidRDefault="00813355" w:rsidP="0092787C">
      <w:pPr>
        <w:pStyle w:val="BodyTextIndent"/>
        <w:ind w:left="360"/>
        <w:jc w:val="both"/>
        <w:rPr>
          <w:rFonts w:ascii="Book Antiqua" w:hAnsi="Book Antiqua" w:cs="Arial"/>
          <w:sz w:val="24"/>
        </w:rPr>
      </w:pPr>
    </w:p>
    <w:p w:rsidR="00813355" w:rsidRPr="008E55FE" w:rsidRDefault="00813355" w:rsidP="0092787C">
      <w:pPr>
        <w:pStyle w:val="BodyTextIndent"/>
        <w:jc w:val="both"/>
        <w:rPr>
          <w:rFonts w:ascii="Book Antiqua" w:hAnsi="Book Antiqua" w:cs="Arial"/>
          <w:sz w:val="24"/>
          <w:u w:val="single"/>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sidRPr="00DB5024">
        <w:rPr>
          <w:rFonts w:ascii="Book Antiqua" w:hAnsi="Book Antiqua" w:cs="Arial"/>
          <w:sz w:val="24"/>
        </w:rPr>
        <w:tab/>
      </w:r>
      <w:r>
        <w:rPr>
          <w:rFonts w:ascii="Book Antiqua" w:eastAsia="Book Antiqua,Arial" w:hAnsi="Book Antiqua" w:cs="Book Antiqua,Arial"/>
          <w:sz w:val="24"/>
        </w:rPr>
        <w:t>(Upper Tribunal) Rules 2008</w:t>
      </w:r>
      <w:r w:rsidR="0092787C">
        <w:rPr>
          <w:rFonts w:ascii="Book Antiqua" w:eastAsia="Book Antiqua,Arial" w:hAnsi="Book Antiqua" w:cs="Book Antiqua,Arial"/>
          <w:sz w:val="24"/>
        </w:rPr>
        <w:t>.</w:t>
      </w:r>
    </w:p>
    <w:p w:rsidR="008E55FE" w:rsidRDefault="008E55FE" w:rsidP="008E55FE">
      <w:pPr>
        <w:pStyle w:val="BodyTextIndent"/>
        <w:ind w:left="360"/>
        <w:rPr>
          <w:rFonts w:ascii="Book Antiqua" w:hAnsi="Book Antiqua" w:cs="Arial"/>
          <w:sz w:val="24"/>
          <w:u w:val="single"/>
        </w:rPr>
      </w:pPr>
    </w:p>
    <w:p w:rsidR="0092787C" w:rsidRPr="00D32B8A" w:rsidRDefault="0092787C" w:rsidP="008E55FE">
      <w:pPr>
        <w:pStyle w:val="BodyTextIndent"/>
        <w:ind w:left="360"/>
        <w:rPr>
          <w:rFonts w:ascii="Book Antiqua" w:hAnsi="Book Antiqua" w:cs="Arial"/>
          <w:sz w:val="24"/>
          <w:u w:val="single"/>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92787C">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Dated the </w:t>
      </w:r>
      <w:r w:rsidR="00FD12B5">
        <w:rPr>
          <w:rFonts w:ascii="Book Antiqua" w:hAnsi="Book Antiqua" w:cs="Arial"/>
          <w:sz w:val="24"/>
        </w:rPr>
        <w:t xml:space="preserve">4 </w:t>
      </w:r>
      <w:r w:rsidRPr="00D32B8A">
        <w:rPr>
          <w:rFonts w:ascii="Book Antiqua" w:hAnsi="Book Antiqua" w:cs="Arial"/>
          <w:sz w:val="24"/>
        </w:rPr>
        <w:fldChar w:fldCharType="begin">
          <w:ffData>
            <w:name w:val="Text23"/>
            <w:enabled/>
            <w:calcOnExit w:val="0"/>
            <w:textInput/>
          </w:ffData>
        </w:fldChar>
      </w:r>
      <w:bookmarkStart w:id="1" w:name="Text23"/>
      <w:r w:rsidRPr="00D32B8A">
        <w:rPr>
          <w:rFonts w:ascii="Book Antiqua" w:hAnsi="Book Antiqua" w:cs="Arial"/>
          <w:sz w:val="24"/>
        </w:rPr>
        <w:instrText xml:space="preserve"> FORMTEXT </w:instrText>
      </w:r>
      <w:r w:rsidRPr="00D32B8A">
        <w:rPr>
          <w:rFonts w:ascii="Book Antiqua" w:hAnsi="Book Antiqua" w:cs="Arial"/>
          <w:sz w:val="24"/>
        </w:rPr>
      </w:r>
      <w:r w:rsidRPr="00D32B8A">
        <w:rPr>
          <w:rFonts w:ascii="Book Antiqua" w:hAnsi="Book Antiqua" w:cs="Arial"/>
          <w:sz w:val="24"/>
        </w:rPr>
        <w:fldChar w:fldCharType="separate"/>
      </w:r>
      <w:r w:rsidR="0092787C">
        <w:rPr>
          <w:rFonts w:ascii="Book Antiqua" w:eastAsia="Arial Unicode MS" w:hAnsi="Arial Unicode MS" w:cs="Arial Unicode MS"/>
          <w:noProof/>
          <w:sz w:val="24"/>
        </w:rPr>
        <w:t>June 2018</w:t>
      </w:r>
      <w:r w:rsidRPr="00D32B8A">
        <w:rPr>
          <w:rFonts w:ascii="Book Antiqua" w:hAnsi="Book Antiqua" w:cs="Arial"/>
          <w:sz w:val="24"/>
        </w:rPr>
        <w:fldChar w:fldCharType="end"/>
      </w:r>
      <w:bookmarkEnd w:id="1"/>
    </w:p>
    <w:sectPr w:rsidR="00D32B8A" w:rsidRPr="00D32B8A" w:rsidSect="00BF0D24">
      <w:headerReference w:type="default" r:id="rId9"/>
      <w:footerReference w:type="defaul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A68" w:rsidRDefault="00232A68">
      <w:r>
        <w:separator/>
      </w:r>
    </w:p>
  </w:endnote>
  <w:endnote w:type="continuationSeparator" w:id="0">
    <w:p w:rsidR="00232A68" w:rsidRDefault="00232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82A6D" w:rsidRDefault="00FD1BDB" w:rsidP="00593795">
    <w:pPr>
      <w:pStyle w:val="Footer"/>
      <w:jc w:val="center"/>
      <w:rPr>
        <w:rFonts w:ascii="Book Antiqua" w:hAnsi="Book Antiqua" w:cs="Arial"/>
      </w:rPr>
    </w:pPr>
    <w:r w:rsidRPr="00382A6D">
      <w:rPr>
        <w:rStyle w:val="PageNumber"/>
        <w:rFonts w:ascii="Book Antiqua" w:hAnsi="Book Antiqua" w:cs="Arial"/>
      </w:rPr>
      <w:fldChar w:fldCharType="begin"/>
    </w:r>
    <w:r w:rsidRPr="00382A6D">
      <w:rPr>
        <w:rStyle w:val="PageNumber"/>
        <w:rFonts w:ascii="Book Antiqua" w:hAnsi="Book Antiqua" w:cs="Arial"/>
      </w:rPr>
      <w:instrText xml:space="preserve"> PAGE </w:instrText>
    </w:r>
    <w:r w:rsidRPr="00382A6D">
      <w:rPr>
        <w:rStyle w:val="PageNumber"/>
        <w:rFonts w:ascii="Book Antiqua" w:hAnsi="Book Antiqua" w:cs="Arial"/>
      </w:rPr>
      <w:fldChar w:fldCharType="separate"/>
    </w:r>
    <w:r w:rsidR="0031330F">
      <w:rPr>
        <w:rStyle w:val="PageNumber"/>
        <w:rFonts w:ascii="Book Antiqua" w:hAnsi="Book Antiqua" w:cs="Arial"/>
        <w:noProof/>
      </w:rPr>
      <w:t>7</w:t>
    </w:r>
    <w:r w:rsidRPr="00382A6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82A6D" w:rsidRDefault="00FD1BDB" w:rsidP="00090CF9">
    <w:pPr>
      <w:jc w:val="center"/>
      <w:rPr>
        <w:rFonts w:ascii="Book Antiqua" w:hAnsi="Book Antiqua" w:cs="Arial"/>
        <w:b/>
      </w:rPr>
    </w:pPr>
    <w:r w:rsidRPr="00382A6D">
      <w:rPr>
        <w:rFonts w:ascii="Book Antiqua" w:hAnsi="Book Antiqua" w:cs="Arial"/>
        <w:b/>
        <w:spacing w:val="-6"/>
      </w:rPr>
      <w:t>©</w:t>
    </w:r>
    <w:r w:rsidR="00FB3BB0" w:rsidRPr="00382A6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A68" w:rsidRDefault="00232A68">
      <w:r>
        <w:separator/>
      </w:r>
    </w:p>
  </w:footnote>
  <w:footnote w:type="continuationSeparator" w:id="0">
    <w:p w:rsidR="00232A68" w:rsidRDefault="00232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Default="00FD1BDB" w:rsidP="00593795">
    <w:pPr>
      <w:pStyle w:val="Header"/>
      <w:jc w:val="right"/>
      <w:rPr>
        <w:rFonts w:ascii="Book Antiqua" w:hAnsi="Book Antiqua" w:cs="Arial"/>
        <w:sz w:val="16"/>
        <w:szCs w:val="16"/>
      </w:rPr>
    </w:pPr>
    <w:r w:rsidRPr="00382A6D">
      <w:rPr>
        <w:rFonts w:ascii="Book Antiqua" w:hAnsi="Book Antiqua" w:cs="Arial"/>
        <w:sz w:val="16"/>
        <w:szCs w:val="16"/>
      </w:rPr>
      <w:t xml:space="preserve">Appeal Number: </w:t>
    </w:r>
    <w:r w:rsidR="00A5153C" w:rsidRPr="00382A6D">
      <w:rPr>
        <w:rFonts w:ascii="Book Antiqua" w:hAnsi="Book Antiqua" w:cs="Arial"/>
        <w:sz w:val="16"/>
        <w:szCs w:val="16"/>
      </w:rPr>
      <w:t>IA/29051/2012</w:t>
    </w:r>
  </w:p>
  <w:p w:rsidR="00382A6D" w:rsidRPr="00382A6D" w:rsidRDefault="00382A6D"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42A4C"/>
    <w:multiLevelType w:val="hybridMultilevel"/>
    <w:tmpl w:val="D278F50C"/>
    <w:lvl w:ilvl="0" w:tplc="4CD4F738">
      <w:start w:val="1"/>
      <w:numFmt w:val="lowerLetter"/>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FE74088-A85E-45D3-9EDC-795C06FAB3B4}"/>
    <w:docVar w:name="dgnword-eventsink" w:val="432480256"/>
  </w:docVars>
  <w:rsids>
    <w:rsidRoot w:val="00C26032"/>
    <w:rsid w:val="00000621"/>
    <w:rsid w:val="0000285C"/>
    <w:rsid w:val="000036C2"/>
    <w:rsid w:val="00033D3D"/>
    <w:rsid w:val="00057601"/>
    <w:rsid w:val="00062F02"/>
    <w:rsid w:val="000640B6"/>
    <w:rsid w:val="00071A7E"/>
    <w:rsid w:val="000746C0"/>
    <w:rsid w:val="00074D1D"/>
    <w:rsid w:val="00080F58"/>
    <w:rsid w:val="00090CF9"/>
    <w:rsid w:val="00092580"/>
    <w:rsid w:val="00093D4D"/>
    <w:rsid w:val="000C36F5"/>
    <w:rsid w:val="000D5D94"/>
    <w:rsid w:val="000F1A0E"/>
    <w:rsid w:val="001165A7"/>
    <w:rsid w:val="00136433"/>
    <w:rsid w:val="00167D3A"/>
    <w:rsid w:val="001A3082"/>
    <w:rsid w:val="001B186A"/>
    <w:rsid w:val="001B2F75"/>
    <w:rsid w:val="001F2716"/>
    <w:rsid w:val="00207617"/>
    <w:rsid w:val="0023134B"/>
    <w:rsid w:val="00232A68"/>
    <w:rsid w:val="00237CDE"/>
    <w:rsid w:val="00243EB4"/>
    <w:rsid w:val="0026015E"/>
    <w:rsid w:val="002667BE"/>
    <w:rsid w:val="00270E13"/>
    <w:rsid w:val="00283659"/>
    <w:rsid w:val="002B5149"/>
    <w:rsid w:val="002C6BD4"/>
    <w:rsid w:val="002D68BF"/>
    <w:rsid w:val="002F6B98"/>
    <w:rsid w:val="0031330F"/>
    <w:rsid w:val="00324B30"/>
    <w:rsid w:val="00336CBF"/>
    <w:rsid w:val="00343FE3"/>
    <w:rsid w:val="003446EF"/>
    <w:rsid w:val="003546C8"/>
    <w:rsid w:val="00354ABD"/>
    <w:rsid w:val="00382A6D"/>
    <w:rsid w:val="003A7CF2"/>
    <w:rsid w:val="003C5723"/>
    <w:rsid w:val="003C5CE5"/>
    <w:rsid w:val="003E267B"/>
    <w:rsid w:val="003E5773"/>
    <w:rsid w:val="003E7CD1"/>
    <w:rsid w:val="003F4105"/>
    <w:rsid w:val="00402B9E"/>
    <w:rsid w:val="00412714"/>
    <w:rsid w:val="00420643"/>
    <w:rsid w:val="00422BF2"/>
    <w:rsid w:val="004249CB"/>
    <w:rsid w:val="0044127D"/>
    <w:rsid w:val="004448DB"/>
    <w:rsid w:val="00446C9A"/>
    <w:rsid w:val="00452F2B"/>
    <w:rsid w:val="00477193"/>
    <w:rsid w:val="004A1848"/>
    <w:rsid w:val="004A6F4A"/>
    <w:rsid w:val="004E4717"/>
    <w:rsid w:val="005035E7"/>
    <w:rsid w:val="00507FEC"/>
    <w:rsid w:val="00510F0E"/>
    <w:rsid w:val="00520CF2"/>
    <w:rsid w:val="00524303"/>
    <w:rsid w:val="00542C29"/>
    <w:rsid w:val="005479E1"/>
    <w:rsid w:val="00553E0A"/>
    <w:rsid w:val="005570FD"/>
    <w:rsid w:val="005575EA"/>
    <w:rsid w:val="0057790C"/>
    <w:rsid w:val="00593795"/>
    <w:rsid w:val="00593821"/>
    <w:rsid w:val="005A549B"/>
    <w:rsid w:val="005A75FF"/>
    <w:rsid w:val="005D10AB"/>
    <w:rsid w:val="005D377D"/>
    <w:rsid w:val="005F1F19"/>
    <w:rsid w:val="00601D8F"/>
    <w:rsid w:val="00611011"/>
    <w:rsid w:val="00611B31"/>
    <w:rsid w:val="00653E97"/>
    <w:rsid w:val="00676204"/>
    <w:rsid w:val="00684A74"/>
    <w:rsid w:val="00690B8A"/>
    <w:rsid w:val="006F2CF1"/>
    <w:rsid w:val="007038ED"/>
    <w:rsid w:val="00703BC3"/>
    <w:rsid w:val="00704B61"/>
    <w:rsid w:val="007119CC"/>
    <w:rsid w:val="007334B3"/>
    <w:rsid w:val="007552A9"/>
    <w:rsid w:val="00761858"/>
    <w:rsid w:val="00767D59"/>
    <w:rsid w:val="00776E97"/>
    <w:rsid w:val="00780F86"/>
    <w:rsid w:val="00787325"/>
    <w:rsid w:val="007912AD"/>
    <w:rsid w:val="007A37E8"/>
    <w:rsid w:val="007B0824"/>
    <w:rsid w:val="007B5D3C"/>
    <w:rsid w:val="0080410F"/>
    <w:rsid w:val="00813355"/>
    <w:rsid w:val="00821B72"/>
    <w:rsid w:val="00823EF2"/>
    <w:rsid w:val="00825708"/>
    <w:rsid w:val="00827E1E"/>
    <w:rsid w:val="008303B8"/>
    <w:rsid w:val="00833DCE"/>
    <w:rsid w:val="008666AF"/>
    <w:rsid w:val="00870C49"/>
    <w:rsid w:val="00871D34"/>
    <w:rsid w:val="008A1779"/>
    <w:rsid w:val="008B270C"/>
    <w:rsid w:val="008B382D"/>
    <w:rsid w:val="008B5078"/>
    <w:rsid w:val="008C3D3D"/>
    <w:rsid w:val="008D32F9"/>
    <w:rsid w:val="008D4131"/>
    <w:rsid w:val="008E55FE"/>
    <w:rsid w:val="008F1932"/>
    <w:rsid w:val="008F2F5B"/>
    <w:rsid w:val="00907F6B"/>
    <w:rsid w:val="00921062"/>
    <w:rsid w:val="00925AB2"/>
    <w:rsid w:val="0092787C"/>
    <w:rsid w:val="009722BC"/>
    <w:rsid w:val="009727A3"/>
    <w:rsid w:val="00987774"/>
    <w:rsid w:val="009A11E8"/>
    <w:rsid w:val="009D595D"/>
    <w:rsid w:val="009F5220"/>
    <w:rsid w:val="00A15234"/>
    <w:rsid w:val="00A201AB"/>
    <w:rsid w:val="00A240AA"/>
    <w:rsid w:val="00A253BF"/>
    <w:rsid w:val="00A31C8B"/>
    <w:rsid w:val="00A509FA"/>
    <w:rsid w:val="00A5153C"/>
    <w:rsid w:val="00A67E95"/>
    <w:rsid w:val="00A845DC"/>
    <w:rsid w:val="00AE582E"/>
    <w:rsid w:val="00B26AA2"/>
    <w:rsid w:val="00B3524D"/>
    <w:rsid w:val="00B40F69"/>
    <w:rsid w:val="00B414F3"/>
    <w:rsid w:val="00B46616"/>
    <w:rsid w:val="00B467EA"/>
    <w:rsid w:val="00B7040A"/>
    <w:rsid w:val="00B81C02"/>
    <w:rsid w:val="00B83391"/>
    <w:rsid w:val="00B95326"/>
    <w:rsid w:val="00BC65E1"/>
    <w:rsid w:val="00BD4196"/>
    <w:rsid w:val="00BE485D"/>
    <w:rsid w:val="00BF0D24"/>
    <w:rsid w:val="00BF22CA"/>
    <w:rsid w:val="00BF23BB"/>
    <w:rsid w:val="00C12F97"/>
    <w:rsid w:val="00C26032"/>
    <w:rsid w:val="00C345E1"/>
    <w:rsid w:val="00C43BFD"/>
    <w:rsid w:val="00C51218"/>
    <w:rsid w:val="00CA682D"/>
    <w:rsid w:val="00CB6E35"/>
    <w:rsid w:val="00CE1A46"/>
    <w:rsid w:val="00D20757"/>
    <w:rsid w:val="00D22636"/>
    <w:rsid w:val="00D32B8A"/>
    <w:rsid w:val="00D40FD9"/>
    <w:rsid w:val="00D53769"/>
    <w:rsid w:val="00D63887"/>
    <w:rsid w:val="00D85C13"/>
    <w:rsid w:val="00D9111A"/>
    <w:rsid w:val="00D91BE3"/>
    <w:rsid w:val="00D94AFC"/>
    <w:rsid w:val="00DB70AE"/>
    <w:rsid w:val="00DD5071"/>
    <w:rsid w:val="00DD5C39"/>
    <w:rsid w:val="00DE7DB7"/>
    <w:rsid w:val="00E00A0A"/>
    <w:rsid w:val="00E066DE"/>
    <w:rsid w:val="00E07F57"/>
    <w:rsid w:val="00E303E0"/>
    <w:rsid w:val="00E30683"/>
    <w:rsid w:val="00E453D8"/>
    <w:rsid w:val="00E50BCE"/>
    <w:rsid w:val="00E533BA"/>
    <w:rsid w:val="00E54934"/>
    <w:rsid w:val="00E574BF"/>
    <w:rsid w:val="00E61292"/>
    <w:rsid w:val="00E77C4D"/>
    <w:rsid w:val="00E80AD9"/>
    <w:rsid w:val="00E81D01"/>
    <w:rsid w:val="00EE43F3"/>
    <w:rsid w:val="00EE45D8"/>
    <w:rsid w:val="00F22EDA"/>
    <w:rsid w:val="00F97703"/>
    <w:rsid w:val="00FA5E4D"/>
    <w:rsid w:val="00FB3BB0"/>
    <w:rsid w:val="00FC4BC8"/>
    <w:rsid w:val="00FD12B5"/>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3EC8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1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D307D-F412-45C9-9466-3A04B9146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3333</Words>
  <Characters>15873</Characters>
  <Application>Microsoft Office Word</Application>
  <DocSecurity>0</DocSecurity>
  <Lines>132</Lines>
  <Paragraphs>38</Paragraphs>
  <ScaleCrop>false</ScaleCrop>
  <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2018-06-27T14:45:00Z</dcterms:created>
  <dcterms:modified xsi:type="dcterms:W3CDTF">2018-06-27T14:45:00Z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