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2B5DD1" w14:textId="77777777" w:rsidR="00E500B2" w:rsidRPr="00B57D66" w:rsidRDefault="002C0B50" w:rsidP="00E500B2">
      <w:pPr>
        <w:jc w:val="center"/>
        <w:rPr>
          <w:rFonts w:ascii="Book Antiqua" w:hAnsi="Book Antiqua" w:cs="Arial"/>
          <w:caps/>
          <w:color w:val="000000"/>
          <w:sz w:val="16"/>
          <w:szCs w:val="16"/>
        </w:rPr>
      </w:pPr>
      <w:r>
        <w:rPr>
          <w:noProof/>
        </w:rPr>
        <w:drawing>
          <wp:inline distT="0" distB="0" distL="0" distR="0" wp14:anchorId="4E22D39E" wp14:editId="53CA52EE">
            <wp:extent cx="1195200" cy="1033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3200"/>
                    </a:xfrm>
                    <a:prstGeom prst="rect">
                      <a:avLst/>
                    </a:prstGeom>
                    <a:noFill/>
                    <a:ln>
                      <a:noFill/>
                    </a:ln>
                  </pic:spPr>
                </pic:pic>
              </a:graphicData>
            </a:graphic>
          </wp:inline>
        </w:drawing>
      </w:r>
    </w:p>
    <w:p w14:paraId="13584E42" w14:textId="77777777" w:rsidR="00E500B2" w:rsidRPr="00B57D66" w:rsidRDefault="00E500B2" w:rsidP="00780F86">
      <w:pPr>
        <w:tabs>
          <w:tab w:val="right" w:pos="9720"/>
        </w:tabs>
        <w:ind w:right="-82"/>
        <w:rPr>
          <w:rFonts w:ascii="Book Antiqua" w:hAnsi="Book Antiqua" w:cs="Arial"/>
          <w:b/>
          <w:color w:val="000000"/>
        </w:rPr>
      </w:pPr>
      <w:r w:rsidRPr="00B57D66">
        <w:rPr>
          <w:rFonts w:ascii="Book Antiqua" w:hAnsi="Book Antiqua" w:cs="Arial"/>
          <w:b/>
          <w:color w:val="000000"/>
        </w:rPr>
        <w:t>Upper Tribunal</w:t>
      </w:r>
    </w:p>
    <w:p w14:paraId="3DBEE908" w14:textId="477A7E36" w:rsidR="007B0824" w:rsidRPr="00AC2D73" w:rsidRDefault="00E500B2" w:rsidP="00780F86">
      <w:pPr>
        <w:tabs>
          <w:tab w:val="right" w:pos="9720"/>
        </w:tabs>
        <w:ind w:right="-82"/>
        <w:rPr>
          <w:rFonts w:ascii="Book Antiqua" w:hAnsi="Book Antiqua" w:cs="Arial"/>
          <w:b/>
          <w:color w:val="000000"/>
        </w:rPr>
      </w:pPr>
      <w:r w:rsidRPr="00B57D66">
        <w:rPr>
          <w:rFonts w:ascii="Book Antiqua" w:hAnsi="Book Antiqua" w:cs="Arial"/>
          <w:b/>
          <w:color w:val="000000"/>
        </w:rPr>
        <w:t xml:space="preserve">(Immigration and Asylum </w:t>
      </w:r>
      <w:proofErr w:type="gramStart"/>
      <w:r w:rsidRPr="00B57D66">
        <w:rPr>
          <w:rFonts w:ascii="Book Antiqua" w:hAnsi="Book Antiqua" w:cs="Arial"/>
          <w:b/>
          <w:color w:val="000000"/>
        </w:rPr>
        <w:t>Chamber)</w:t>
      </w:r>
      <w:r w:rsidR="00AC2D73">
        <w:rPr>
          <w:rFonts w:ascii="Book Antiqua" w:hAnsi="Book Antiqua" w:cs="Arial"/>
          <w:b/>
          <w:color w:val="000000"/>
        </w:rPr>
        <w:t xml:space="preserve">   </w:t>
      </w:r>
      <w:proofErr w:type="gramEnd"/>
      <w:r w:rsidR="00AC2D73">
        <w:rPr>
          <w:rFonts w:ascii="Book Antiqua" w:hAnsi="Book Antiqua" w:cs="Arial"/>
          <w:b/>
          <w:color w:val="000000"/>
        </w:rPr>
        <w:t xml:space="preserve">                 </w:t>
      </w:r>
      <w:r w:rsidR="00B3524D" w:rsidRPr="00AC2D73">
        <w:rPr>
          <w:rFonts w:ascii="Book Antiqua" w:hAnsi="Book Antiqua" w:cs="Arial"/>
          <w:b/>
          <w:color w:val="000000"/>
        </w:rPr>
        <w:t>Appeal Number</w:t>
      </w:r>
      <w:r w:rsidR="00D53769" w:rsidRPr="00AC2D73">
        <w:rPr>
          <w:rFonts w:ascii="Book Antiqua" w:hAnsi="Book Antiqua" w:cs="Arial"/>
          <w:b/>
          <w:color w:val="000000"/>
        </w:rPr>
        <w:t>:</w:t>
      </w:r>
      <w:r w:rsidR="00B3524D" w:rsidRPr="00AC2D73">
        <w:rPr>
          <w:rFonts w:ascii="Book Antiqua" w:hAnsi="Book Antiqua" w:cs="Arial"/>
          <w:b/>
          <w:color w:val="000000"/>
        </w:rPr>
        <w:t xml:space="preserve"> </w:t>
      </w:r>
      <w:r w:rsidR="003F77D0" w:rsidRPr="00AC2D73">
        <w:rPr>
          <w:rFonts w:ascii="Book Antiqua" w:hAnsi="Book Antiqua" w:cs="Arial"/>
          <w:b/>
          <w:caps/>
          <w:color w:val="000000"/>
        </w:rPr>
        <w:t>IA/30857/2015</w:t>
      </w:r>
    </w:p>
    <w:p w14:paraId="5FFEB471" w14:textId="77777777" w:rsidR="00C345E1" w:rsidRPr="00B57D66" w:rsidRDefault="00C345E1" w:rsidP="00C345E1">
      <w:pPr>
        <w:jc w:val="center"/>
        <w:rPr>
          <w:rFonts w:ascii="Book Antiqua" w:hAnsi="Book Antiqua" w:cs="Arial"/>
          <w:color w:val="000000"/>
        </w:rPr>
      </w:pPr>
    </w:p>
    <w:p w14:paraId="187002E8" w14:textId="77777777" w:rsidR="00C345E1" w:rsidRPr="00B57D66" w:rsidRDefault="00C345E1" w:rsidP="00C345E1">
      <w:pPr>
        <w:jc w:val="center"/>
        <w:rPr>
          <w:rFonts w:ascii="Book Antiqua" w:hAnsi="Book Antiqua" w:cs="Arial"/>
          <w:b/>
          <w:color w:val="000000"/>
          <w:u w:val="single"/>
        </w:rPr>
      </w:pPr>
      <w:r w:rsidRPr="00B57D66">
        <w:rPr>
          <w:rFonts w:ascii="Book Antiqua" w:hAnsi="Book Antiqua" w:cs="Arial"/>
          <w:b/>
          <w:color w:val="000000"/>
          <w:u w:val="single"/>
        </w:rPr>
        <w:t>THE IMMIGRATION ACTS</w:t>
      </w:r>
    </w:p>
    <w:p w14:paraId="66C58DEA" w14:textId="77777777" w:rsidR="00C345E1" w:rsidRPr="00B57D66"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103"/>
        <w:gridCol w:w="4905"/>
      </w:tblGrid>
      <w:tr w:rsidR="00D22636" w:rsidRPr="00B57D66" w14:paraId="5763044E" w14:textId="77777777" w:rsidTr="00AC2D73">
        <w:tc>
          <w:tcPr>
            <w:tcW w:w="5103" w:type="dxa"/>
          </w:tcPr>
          <w:p w14:paraId="43E22F76" w14:textId="77777777" w:rsidR="00D22636" w:rsidRPr="00B57D66" w:rsidRDefault="00D22636" w:rsidP="004A1848">
            <w:pPr>
              <w:jc w:val="both"/>
              <w:rPr>
                <w:rFonts w:ascii="Book Antiqua" w:hAnsi="Book Antiqua" w:cs="Arial"/>
                <w:b/>
              </w:rPr>
            </w:pPr>
            <w:r w:rsidRPr="00B57D66">
              <w:rPr>
                <w:rFonts w:ascii="Book Antiqua" w:hAnsi="Book Antiqua" w:cs="Arial"/>
                <w:b/>
              </w:rPr>
              <w:t xml:space="preserve">Heard at </w:t>
            </w:r>
            <w:r w:rsidR="003F77D0">
              <w:rPr>
                <w:rFonts w:ascii="Book Antiqua" w:hAnsi="Book Antiqua" w:cs="Arial"/>
                <w:b/>
              </w:rPr>
              <w:t>Field House</w:t>
            </w:r>
          </w:p>
        </w:tc>
        <w:tc>
          <w:tcPr>
            <w:tcW w:w="4905" w:type="dxa"/>
          </w:tcPr>
          <w:p w14:paraId="57439975" w14:textId="77777777" w:rsidR="00D22636" w:rsidRPr="00B57D66" w:rsidRDefault="00173CC6" w:rsidP="00093D4D">
            <w:pPr>
              <w:jc w:val="both"/>
              <w:rPr>
                <w:rFonts w:ascii="Book Antiqua" w:hAnsi="Book Antiqua" w:cs="Arial"/>
                <w:b/>
                <w:color w:val="000000"/>
              </w:rPr>
            </w:pPr>
            <w:r>
              <w:rPr>
                <w:rFonts w:ascii="Book Antiqua" w:hAnsi="Book Antiqua" w:cs="Arial"/>
                <w:b/>
                <w:color w:val="000000"/>
              </w:rPr>
              <w:t>Decision &amp; Reasons</w:t>
            </w:r>
            <w:r w:rsidR="00283659" w:rsidRPr="00B57D66">
              <w:rPr>
                <w:rFonts w:ascii="Book Antiqua" w:hAnsi="Book Antiqua" w:cs="Arial"/>
                <w:b/>
                <w:color w:val="000000"/>
              </w:rPr>
              <w:t xml:space="preserve"> Promulgated</w:t>
            </w:r>
          </w:p>
        </w:tc>
      </w:tr>
      <w:tr w:rsidR="00D22636" w:rsidRPr="00B57D66" w14:paraId="14730367" w14:textId="77777777" w:rsidTr="00AC2D73">
        <w:tc>
          <w:tcPr>
            <w:tcW w:w="5103" w:type="dxa"/>
          </w:tcPr>
          <w:p w14:paraId="0CA90645" w14:textId="574C2E35" w:rsidR="00D22636" w:rsidRPr="00B57D66" w:rsidRDefault="00D22636" w:rsidP="004A1848">
            <w:pPr>
              <w:jc w:val="both"/>
              <w:rPr>
                <w:rFonts w:ascii="Book Antiqua" w:hAnsi="Book Antiqua" w:cs="Arial"/>
                <w:b/>
              </w:rPr>
            </w:pPr>
            <w:r w:rsidRPr="00B57D66">
              <w:rPr>
                <w:rFonts w:ascii="Book Antiqua" w:hAnsi="Book Antiqua" w:cs="Arial"/>
                <w:b/>
              </w:rPr>
              <w:t xml:space="preserve">On </w:t>
            </w:r>
            <w:r w:rsidR="00DC58A9">
              <w:rPr>
                <w:rFonts w:ascii="Book Antiqua" w:hAnsi="Book Antiqua" w:cs="Arial"/>
                <w:b/>
              </w:rPr>
              <w:t>9</w:t>
            </w:r>
            <w:r w:rsidR="00DC58A9" w:rsidRPr="00DC58A9">
              <w:rPr>
                <w:rFonts w:ascii="Book Antiqua" w:hAnsi="Book Antiqua" w:cs="Arial"/>
                <w:b/>
                <w:vertAlign w:val="superscript"/>
              </w:rPr>
              <w:t>th</w:t>
            </w:r>
            <w:r w:rsidR="00DC58A9">
              <w:rPr>
                <w:rFonts w:ascii="Book Antiqua" w:hAnsi="Book Antiqua" w:cs="Arial"/>
                <w:b/>
              </w:rPr>
              <w:t xml:space="preserve"> July</w:t>
            </w:r>
            <w:r w:rsidR="003F77D0">
              <w:rPr>
                <w:rFonts w:ascii="Book Antiqua" w:hAnsi="Book Antiqua" w:cs="Arial"/>
                <w:b/>
              </w:rPr>
              <w:t xml:space="preserve"> 2018</w:t>
            </w:r>
          </w:p>
        </w:tc>
        <w:tc>
          <w:tcPr>
            <w:tcW w:w="4905" w:type="dxa"/>
          </w:tcPr>
          <w:p w14:paraId="4B62480D" w14:textId="50BF1ADE" w:rsidR="00D22636" w:rsidRPr="00B57D66" w:rsidRDefault="00DC58A9" w:rsidP="004A1848">
            <w:pPr>
              <w:jc w:val="both"/>
              <w:rPr>
                <w:rFonts w:ascii="Book Antiqua" w:hAnsi="Book Antiqua" w:cs="Arial"/>
                <w:b/>
              </w:rPr>
            </w:pPr>
            <w:r>
              <w:rPr>
                <w:rFonts w:ascii="Book Antiqua" w:hAnsi="Book Antiqua" w:cs="Arial"/>
                <w:b/>
              </w:rPr>
              <w:t>On 21</w:t>
            </w:r>
            <w:r w:rsidRPr="00DC58A9">
              <w:rPr>
                <w:rFonts w:ascii="Book Antiqua" w:hAnsi="Book Antiqua" w:cs="Arial"/>
                <w:b/>
                <w:vertAlign w:val="superscript"/>
              </w:rPr>
              <w:t>st</w:t>
            </w:r>
            <w:r>
              <w:rPr>
                <w:rFonts w:ascii="Book Antiqua" w:hAnsi="Book Antiqua" w:cs="Arial"/>
                <w:b/>
              </w:rPr>
              <w:t xml:space="preserve"> September 2018</w:t>
            </w:r>
          </w:p>
        </w:tc>
      </w:tr>
      <w:tr w:rsidR="00D22636" w:rsidRPr="00B57D66" w14:paraId="6B328A8F" w14:textId="77777777" w:rsidTr="00AC2D73">
        <w:tc>
          <w:tcPr>
            <w:tcW w:w="5103" w:type="dxa"/>
          </w:tcPr>
          <w:p w14:paraId="1B563061" w14:textId="77777777" w:rsidR="00D22636" w:rsidRPr="00B57D66" w:rsidRDefault="00D22636" w:rsidP="004A1848">
            <w:pPr>
              <w:jc w:val="both"/>
              <w:rPr>
                <w:rFonts w:ascii="Book Antiqua" w:hAnsi="Book Antiqua" w:cs="Arial"/>
                <w:b/>
              </w:rPr>
            </w:pPr>
          </w:p>
        </w:tc>
        <w:tc>
          <w:tcPr>
            <w:tcW w:w="4905" w:type="dxa"/>
          </w:tcPr>
          <w:p w14:paraId="548AC849" w14:textId="787AF673" w:rsidR="00D22636" w:rsidRPr="00B57D66" w:rsidRDefault="00D22636" w:rsidP="004A1848">
            <w:pPr>
              <w:jc w:val="both"/>
              <w:rPr>
                <w:rFonts w:ascii="Book Antiqua" w:hAnsi="Book Antiqua" w:cs="Arial"/>
                <w:b/>
              </w:rPr>
            </w:pPr>
          </w:p>
        </w:tc>
      </w:tr>
    </w:tbl>
    <w:p w14:paraId="0CFA7B53" w14:textId="77777777" w:rsidR="00A15234" w:rsidRPr="00B57D66" w:rsidRDefault="00A15234" w:rsidP="00422175">
      <w:pPr>
        <w:rPr>
          <w:rFonts w:ascii="Book Antiqua" w:hAnsi="Book Antiqua" w:cs="Arial"/>
        </w:rPr>
      </w:pPr>
    </w:p>
    <w:p w14:paraId="0059DDDF" w14:textId="77777777" w:rsidR="00A15234" w:rsidRPr="00B57D66" w:rsidRDefault="00207617" w:rsidP="00A15234">
      <w:pPr>
        <w:jc w:val="center"/>
        <w:rPr>
          <w:rFonts w:ascii="Book Antiqua" w:hAnsi="Book Antiqua" w:cs="Arial"/>
          <w:b/>
        </w:rPr>
      </w:pPr>
      <w:r w:rsidRPr="00B57D66">
        <w:rPr>
          <w:rFonts w:ascii="Book Antiqua" w:hAnsi="Book Antiqua" w:cs="Arial"/>
          <w:b/>
        </w:rPr>
        <w:t>Befo</w:t>
      </w:r>
      <w:r w:rsidR="00A15234" w:rsidRPr="00B57D66">
        <w:rPr>
          <w:rFonts w:ascii="Book Antiqua" w:hAnsi="Book Antiqua" w:cs="Arial"/>
          <w:b/>
        </w:rPr>
        <w:t>re</w:t>
      </w:r>
    </w:p>
    <w:p w14:paraId="12A168C4" w14:textId="77777777" w:rsidR="00A15234" w:rsidRDefault="00A15234" w:rsidP="00A15234">
      <w:pPr>
        <w:jc w:val="center"/>
        <w:rPr>
          <w:rFonts w:ascii="Book Antiqua" w:hAnsi="Book Antiqua" w:cs="Arial"/>
          <w:b/>
        </w:rPr>
      </w:pPr>
    </w:p>
    <w:p w14:paraId="553CD5E2" w14:textId="606681A7" w:rsidR="003F77D0" w:rsidRDefault="003F77D0" w:rsidP="00A15234">
      <w:pPr>
        <w:jc w:val="center"/>
        <w:rPr>
          <w:rFonts w:ascii="Book Antiqua" w:hAnsi="Book Antiqua" w:cs="Arial"/>
          <w:b/>
        </w:rPr>
      </w:pPr>
      <w:r>
        <w:rPr>
          <w:rFonts w:ascii="Book Antiqua" w:hAnsi="Book Antiqua" w:cs="Arial"/>
          <w:b/>
        </w:rPr>
        <w:t xml:space="preserve">MRS JUSTICE MOULDER </w:t>
      </w:r>
    </w:p>
    <w:p w14:paraId="19E62D88" w14:textId="559F3743" w:rsidR="003F77D0" w:rsidRPr="008A737C" w:rsidRDefault="003F77D0" w:rsidP="00A15234">
      <w:pPr>
        <w:jc w:val="center"/>
        <w:rPr>
          <w:rFonts w:ascii="Book Antiqua" w:hAnsi="Book Antiqua" w:cs="Arial"/>
          <w:b/>
          <w:sz w:val="22"/>
        </w:rPr>
      </w:pPr>
      <w:r w:rsidRPr="008A737C">
        <w:rPr>
          <w:rFonts w:ascii="Book Antiqua" w:hAnsi="Book Antiqua" w:cs="Arial"/>
          <w:b/>
          <w:sz w:val="22"/>
        </w:rPr>
        <w:t>SITTING AS AN UPPER TRIBUNAL JUDGE</w:t>
      </w:r>
    </w:p>
    <w:p w14:paraId="2E6D6BB6" w14:textId="77777777" w:rsidR="00D20757" w:rsidRDefault="00D7040C" w:rsidP="00A15234">
      <w:pPr>
        <w:jc w:val="center"/>
        <w:rPr>
          <w:rFonts w:ascii="Book Antiqua" w:hAnsi="Book Antiqua" w:cs="Arial"/>
          <w:b/>
          <w:color w:val="000000"/>
        </w:rPr>
      </w:pPr>
      <w:r>
        <w:rPr>
          <w:rFonts w:ascii="Book Antiqua" w:hAnsi="Book Antiqua" w:cs="Arial"/>
          <w:b/>
          <w:color w:val="000000"/>
        </w:rPr>
        <w:t xml:space="preserve">DR H </w:t>
      </w:r>
      <w:proofErr w:type="spellStart"/>
      <w:r>
        <w:rPr>
          <w:rFonts w:ascii="Book Antiqua" w:hAnsi="Book Antiqua" w:cs="Arial"/>
          <w:b/>
          <w:color w:val="000000"/>
        </w:rPr>
        <w:t>H</w:t>
      </w:r>
      <w:proofErr w:type="spellEnd"/>
      <w:r>
        <w:rPr>
          <w:rFonts w:ascii="Book Antiqua" w:hAnsi="Book Antiqua" w:cs="Arial"/>
          <w:b/>
          <w:color w:val="000000"/>
        </w:rPr>
        <w:t xml:space="preserve"> </w:t>
      </w:r>
      <w:r w:rsidR="008B4F43" w:rsidRPr="00B57D66">
        <w:rPr>
          <w:rFonts w:ascii="Book Antiqua" w:hAnsi="Book Antiqua" w:cs="Arial"/>
          <w:b/>
          <w:color w:val="000000"/>
        </w:rPr>
        <w:t>STOREY</w:t>
      </w:r>
    </w:p>
    <w:p w14:paraId="36C9EC86" w14:textId="77777777" w:rsidR="001B186A" w:rsidRPr="00B57D66" w:rsidRDefault="00D7040C" w:rsidP="003F77D0">
      <w:pPr>
        <w:jc w:val="center"/>
        <w:rPr>
          <w:rFonts w:ascii="Book Antiqua" w:hAnsi="Book Antiqua" w:cs="Arial"/>
          <w:b/>
          <w:color w:val="000000"/>
        </w:rPr>
      </w:pPr>
      <w:r>
        <w:rPr>
          <w:rFonts w:ascii="Book Antiqua" w:hAnsi="Book Antiqua" w:cs="Arial"/>
          <w:b/>
          <w:color w:val="000000"/>
        </w:rPr>
        <w:t>JUDGE OF THE UPPER TRIBUNAL</w:t>
      </w:r>
    </w:p>
    <w:p w14:paraId="7B83AE7D" w14:textId="77777777" w:rsidR="00D20757" w:rsidRPr="00B57D66" w:rsidRDefault="00D20757" w:rsidP="00A15234">
      <w:pPr>
        <w:jc w:val="center"/>
        <w:rPr>
          <w:rFonts w:ascii="Book Antiqua" w:hAnsi="Book Antiqua" w:cs="Arial"/>
          <w:b/>
        </w:rPr>
      </w:pPr>
    </w:p>
    <w:p w14:paraId="05C9DB23" w14:textId="77777777" w:rsidR="00A845DC" w:rsidRPr="00B57D66" w:rsidRDefault="00A845DC" w:rsidP="00A15234">
      <w:pPr>
        <w:jc w:val="center"/>
        <w:rPr>
          <w:rFonts w:ascii="Book Antiqua" w:hAnsi="Book Antiqua" w:cs="Arial"/>
          <w:b/>
        </w:rPr>
      </w:pPr>
      <w:r w:rsidRPr="00B57D66">
        <w:rPr>
          <w:rFonts w:ascii="Book Antiqua" w:hAnsi="Book Antiqua" w:cs="Arial"/>
          <w:b/>
        </w:rPr>
        <w:t>Between</w:t>
      </w:r>
    </w:p>
    <w:p w14:paraId="2BE88C95" w14:textId="77777777" w:rsidR="00A845DC" w:rsidRPr="00B57D66" w:rsidRDefault="00A845DC" w:rsidP="00A15234">
      <w:pPr>
        <w:jc w:val="center"/>
        <w:rPr>
          <w:rFonts w:ascii="Book Antiqua" w:hAnsi="Book Antiqua" w:cs="Arial"/>
          <w:b/>
        </w:rPr>
      </w:pPr>
    </w:p>
    <w:p w14:paraId="1365F2D1" w14:textId="77777777" w:rsidR="00A845DC" w:rsidRDefault="003F77D0" w:rsidP="00A15234">
      <w:pPr>
        <w:jc w:val="center"/>
        <w:rPr>
          <w:rFonts w:ascii="Book Antiqua" w:hAnsi="Book Antiqua" w:cs="Arial"/>
          <w:b/>
          <w:caps/>
        </w:rPr>
      </w:pPr>
      <w:r w:rsidRPr="003F77D0">
        <w:rPr>
          <w:rFonts w:ascii="Book Antiqua" w:hAnsi="Book Antiqua" w:cs="Arial"/>
          <w:b/>
          <w:caps/>
        </w:rPr>
        <w:t>Gulala Mohammad</w:t>
      </w:r>
      <w:r>
        <w:rPr>
          <w:rFonts w:ascii="Book Antiqua" w:hAnsi="Book Antiqua" w:cs="Arial"/>
          <w:b/>
          <w:caps/>
        </w:rPr>
        <w:t xml:space="preserve"> </w:t>
      </w:r>
      <w:r w:rsidRPr="003F77D0">
        <w:rPr>
          <w:rFonts w:ascii="Book Antiqua" w:hAnsi="Book Antiqua" w:cs="Arial"/>
          <w:b/>
          <w:caps/>
        </w:rPr>
        <w:t>Karim</w:t>
      </w:r>
    </w:p>
    <w:p w14:paraId="492108BA" w14:textId="71AAFCBF" w:rsidR="00173CC6" w:rsidRPr="00AC2D73" w:rsidRDefault="00173CC6" w:rsidP="00173CC6">
      <w:pPr>
        <w:jc w:val="center"/>
        <w:rPr>
          <w:rFonts w:ascii="Book Antiqua" w:hAnsi="Book Antiqua" w:cs="Arial"/>
          <w:caps/>
        </w:rPr>
      </w:pPr>
      <w:r w:rsidRPr="00AC2D73">
        <w:rPr>
          <w:rFonts w:ascii="Book Antiqua" w:hAnsi="Book Antiqua" w:cs="Arial"/>
          <w:caps/>
        </w:rPr>
        <w:t xml:space="preserve">(ANONYMITY DIRECTION </w:t>
      </w:r>
      <w:r w:rsidR="00180FD8" w:rsidRPr="00AC2D73">
        <w:rPr>
          <w:rFonts w:ascii="Book Antiqua" w:hAnsi="Book Antiqua" w:cs="Arial"/>
          <w:caps/>
        </w:rPr>
        <w:t>NOT MADE</w:t>
      </w:r>
      <w:r w:rsidRPr="00AC2D73">
        <w:rPr>
          <w:rFonts w:ascii="Book Antiqua" w:hAnsi="Book Antiqua" w:cs="Arial"/>
          <w:caps/>
        </w:rPr>
        <w:t>)</w:t>
      </w:r>
    </w:p>
    <w:p w14:paraId="4B405ECA" w14:textId="77777777" w:rsidR="00704B61" w:rsidRPr="00B57D66" w:rsidRDefault="00704B61" w:rsidP="00704B61">
      <w:pPr>
        <w:jc w:val="right"/>
        <w:rPr>
          <w:rFonts w:ascii="Book Antiqua" w:hAnsi="Book Antiqua" w:cs="Arial"/>
          <w:u w:val="single"/>
        </w:rPr>
      </w:pPr>
      <w:r w:rsidRPr="00B57D66">
        <w:rPr>
          <w:rFonts w:ascii="Book Antiqua" w:hAnsi="Book Antiqua" w:cs="Arial"/>
          <w:u w:val="single"/>
        </w:rPr>
        <w:t>Appellant</w:t>
      </w:r>
    </w:p>
    <w:p w14:paraId="194E2DFA" w14:textId="77777777" w:rsidR="00AC2D73" w:rsidRDefault="00AC2D73" w:rsidP="00704B61">
      <w:pPr>
        <w:jc w:val="center"/>
        <w:rPr>
          <w:rFonts w:ascii="Book Antiqua" w:hAnsi="Book Antiqua" w:cs="Arial"/>
          <w:b/>
        </w:rPr>
      </w:pPr>
    </w:p>
    <w:p w14:paraId="7F814525" w14:textId="7AB5536B" w:rsidR="00704B61" w:rsidRPr="00B57D66" w:rsidRDefault="00DD5071" w:rsidP="00704B61">
      <w:pPr>
        <w:jc w:val="center"/>
        <w:rPr>
          <w:rFonts w:ascii="Book Antiqua" w:hAnsi="Book Antiqua" w:cs="Arial"/>
          <w:b/>
        </w:rPr>
      </w:pPr>
      <w:r w:rsidRPr="00B57D66">
        <w:rPr>
          <w:rFonts w:ascii="Book Antiqua" w:hAnsi="Book Antiqua" w:cs="Arial"/>
          <w:b/>
        </w:rPr>
        <w:t>and</w:t>
      </w:r>
    </w:p>
    <w:p w14:paraId="1D468D83" w14:textId="01EE0D3C" w:rsidR="00DD5071" w:rsidRDefault="00DD5071" w:rsidP="00704B61">
      <w:pPr>
        <w:jc w:val="center"/>
        <w:rPr>
          <w:rFonts w:ascii="Book Antiqua" w:hAnsi="Book Antiqua" w:cs="Arial"/>
          <w:b/>
        </w:rPr>
      </w:pPr>
    </w:p>
    <w:p w14:paraId="247E585E" w14:textId="2772412B" w:rsidR="00AC2D73" w:rsidRPr="00B57D66" w:rsidRDefault="00AC2D73" w:rsidP="00704B61">
      <w:pPr>
        <w:jc w:val="center"/>
        <w:rPr>
          <w:rFonts w:ascii="Book Antiqua" w:hAnsi="Book Antiqua" w:cs="Arial"/>
          <w:b/>
        </w:rPr>
      </w:pPr>
      <w:r>
        <w:rPr>
          <w:rFonts w:ascii="Book Antiqua" w:hAnsi="Book Antiqua" w:cs="Arial"/>
          <w:b/>
        </w:rPr>
        <w:t>THE SECRETARY OF STATE FOR THE HOME DEPARTMENT</w:t>
      </w:r>
    </w:p>
    <w:p w14:paraId="0879AD63" w14:textId="77777777" w:rsidR="00DD5071" w:rsidRPr="00B57D66" w:rsidRDefault="00DD5071" w:rsidP="00DD5071">
      <w:pPr>
        <w:jc w:val="right"/>
        <w:rPr>
          <w:rFonts w:ascii="Book Antiqua" w:hAnsi="Book Antiqua" w:cs="Arial"/>
          <w:u w:val="single"/>
        </w:rPr>
      </w:pPr>
      <w:r w:rsidRPr="00B57D66">
        <w:rPr>
          <w:rFonts w:ascii="Book Antiqua" w:hAnsi="Book Antiqua" w:cs="Arial"/>
          <w:u w:val="single"/>
        </w:rPr>
        <w:t>Respondent</w:t>
      </w:r>
    </w:p>
    <w:p w14:paraId="3EFD53C1" w14:textId="77777777" w:rsidR="00DD5071" w:rsidRPr="00B57D66" w:rsidRDefault="00DD5071" w:rsidP="00DD5071">
      <w:pPr>
        <w:rPr>
          <w:rFonts w:ascii="Book Antiqua" w:hAnsi="Book Antiqua" w:cs="Arial"/>
          <w:u w:val="single"/>
        </w:rPr>
      </w:pPr>
    </w:p>
    <w:p w14:paraId="1782F413" w14:textId="77777777" w:rsidR="00DD5071" w:rsidRPr="00B57D66" w:rsidRDefault="00DE7DB7" w:rsidP="00DD5071">
      <w:pPr>
        <w:rPr>
          <w:rFonts w:ascii="Book Antiqua" w:hAnsi="Book Antiqua" w:cs="Arial"/>
        </w:rPr>
      </w:pPr>
      <w:r w:rsidRPr="00B57D66">
        <w:rPr>
          <w:rFonts w:ascii="Book Antiqua" w:hAnsi="Book Antiqua" w:cs="Arial"/>
          <w:b/>
          <w:u w:val="single"/>
        </w:rPr>
        <w:t>Representation</w:t>
      </w:r>
      <w:r w:rsidRPr="00B57D66">
        <w:rPr>
          <w:rFonts w:ascii="Book Antiqua" w:hAnsi="Book Antiqua" w:cs="Arial"/>
          <w:b/>
        </w:rPr>
        <w:t>:</w:t>
      </w:r>
    </w:p>
    <w:p w14:paraId="15DA3208" w14:textId="77777777" w:rsidR="00DE7DB7" w:rsidRPr="00B57D66" w:rsidRDefault="00DE7DB7" w:rsidP="00DD5071">
      <w:pPr>
        <w:rPr>
          <w:rFonts w:ascii="Book Antiqua" w:hAnsi="Book Antiqua" w:cs="Arial"/>
        </w:rPr>
      </w:pPr>
    </w:p>
    <w:p w14:paraId="6EBE0810" w14:textId="2E1AB0C8" w:rsidR="00DE7DB7" w:rsidRPr="00B57D66" w:rsidRDefault="00AC2D73" w:rsidP="003F77D0">
      <w:pPr>
        <w:tabs>
          <w:tab w:val="left" w:pos="2520"/>
        </w:tabs>
        <w:ind w:left="2552" w:hanging="2552"/>
        <w:rPr>
          <w:rFonts w:ascii="Book Antiqua" w:hAnsi="Book Antiqua" w:cs="Arial"/>
        </w:rPr>
      </w:pPr>
      <w:r>
        <w:rPr>
          <w:rFonts w:ascii="Book Antiqua" w:hAnsi="Book Antiqua" w:cs="Arial"/>
        </w:rPr>
        <w:t xml:space="preserve">For the Appellant:       </w:t>
      </w:r>
      <w:r w:rsidR="003F77D0">
        <w:rPr>
          <w:rFonts w:ascii="Book Antiqua" w:hAnsi="Book Antiqua" w:cs="Arial"/>
        </w:rPr>
        <w:t>Ms K McCarthy Counsel, instructed by Quality Solicitors (AZ Law)</w:t>
      </w:r>
    </w:p>
    <w:p w14:paraId="0B483FA2" w14:textId="011221B7" w:rsidR="00DE7DB7" w:rsidRPr="00B57D66" w:rsidRDefault="00DE7DB7" w:rsidP="00DE7DB7">
      <w:pPr>
        <w:tabs>
          <w:tab w:val="left" w:pos="2520"/>
        </w:tabs>
        <w:rPr>
          <w:rFonts w:ascii="Book Antiqua" w:hAnsi="Book Antiqua" w:cs="Arial"/>
        </w:rPr>
      </w:pPr>
      <w:r w:rsidRPr="00B57D66">
        <w:rPr>
          <w:rFonts w:ascii="Book Antiqua" w:hAnsi="Book Antiqua" w:cs="Arial"/>
        </w:rPr>
        <w:t xml:space="preserve">For the </w:t>
      </w:r>
      <w:r w:rsidR="00AC2D73">
        <w:rPr>
          <w:rFonts w:ascii="Book Antiqua" w:hAnsi="Book Antiqua" w:cs="Arial"/>
        </w:rPr>
        <w:t xml:space="preserve">Respondent:    </w:t>
      </w:r>
      <w:r w:rsidR="003F77D0">
        <w:rPr>
          <w:rFonts w:ascii="Book Antiqua" w:hAnsi="Book Antiqua" w:cs="Arial"/>
        </w:rPr>
        <w:t xml:space="preserve">Mr S </w:t>
      </w:r>
      <w:proofErr w:type="spellStart"/>
      <w:r w:rsidR="003F77D0">
        <w:rPr>
          <w:rFonts w:ascii="Book Antiqua" w:hAnsi="Book Antiqua" w:cs="Arial"/>
        </w:rPr>
        <w:t>Kotas</w:t>
      </w:r>
      <w:proofErr w:type="spellEnd"/>
      <w:r w:rsidR="003F77D0">
        <w:rPr>
          <w:rFonts w:ascii="Book Antiqua" w:hAnsi="Book Antiqua" w:cs="Arial"/>
        </w:rPr>
        <w:t>, Home Office Presenting Officer</w:t>
      </w:r>
    </w:p>
    <w:p w14:paraId="6DBDDA07" w14:textId="77777777" w:rsidR="00DE7DB7" w:rsidRPr="00B57D66" w:rsidRDefault="00DE7DB7" w:rsidP="00402B9E">
      <w:pPr>
        <w:tabs>
          <w:tab w:val="left" w:pos="2520"/>
        </w:tabs>
        <w:jc w:val="center"/>
        <w:rPr>
          <w:rFonts w:ascii="Book Antiqua" w:hAnsi="Book Antiqua" w:cs="Arial"/>
        </w:rPr>
      </w:pPr>
    </w:p>
    <w:p w14:paraId="276236E1" w14:textId="77777777" w:rsidR="00DE7DB7" w:rsidRPr="00B57D66" w:rsidRDefault="00DE7DB7" w:rsidP="00402B9E">
      <w:pPr>
        <w:tabs>
          <w:tab w:val="left" w:pos="2520"/>
        </w:tabs>
        <w:jc w:val="center"/>
        <w:rPr>
          <w:rFonts w:ascii="Book Antiqua" w:hAnsi="Book Antiqua" w:cs="Arial"/>
        </w:rPr>
      </w:pPr>
    </w:p>
    <w:p w14:paraId="7DE024C9" w14:textId="77777777" w:rsidR="00DE7DB7" w:rsidRPr="00B57D66" w:rsidRDefault="00173CC6"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B57D66">
        <w:rPr>
          <w:rFonts w:ascii="Book Antiqua" w:hAnsi="Book Antiqua" w:cs="Arial"/>
          <w:b/>
          <w:u w:val="single"/>
        </w:rPr>
        <w:t>AND REASONS</w:t>
      </w:r>
    </w:p>
    <w:p w14:paraId="1AF02510" w14:textId="77777777" w:rsidR="00402B9E" w:rsidRPr="00B57D66" w:rsidRDefault="00402B9E" w:rsidP="00402B9E">
      <w:pPr>
        <w:tabs>
          <w:tab w:val="left" w:pos="2520"/>
        </w:tabs>
        <w:jc w:val="both"/>
        <w:rPr>
          <w:rFonts w:ascii="Book Antiqua" w:hAnsi="Book Antiqua" w:cs="Arial"/>
        </w:rPr>
      </w:pPr>
    </w:p>
    <w:p w14:paraId="09CA9BFA" w14:textId="77777777" w:rsidR="004B5AEF" w:rsidRDefault="004B5AEF" w:rsidP="00BF23BB">
      <w:pPr>
        <w:tabs>
          <w:tab w:val="left" w:pos="567"/>
        </w:tabs>
        <w:ind w:left="567" w:hanging="567"/>
        <w:jc w:val="both"/>
        <w:rPr>
          <w:rFonts w:ascii="Book Antiqua" w:hAnsi="Book Antiqua" w:cs="Arial"/>
        </w:rPr>
      </w:pPr>
    </w:p>
    <w:p w14:paraId="3CCE6C09" w14:textId="5960E260" w:rsidR="00BF23BB" w:rsidRDefault="00402B9E" w:rsidP="00BF23BB">
      <w:pPr>
        <w:tabs>
          <w:tab w:val="left" w:pos="567"/>
        </w:tabs>
        <w:ind w:left="567" w:hanging="567"/>
        <w:jc w:val="both"/>
        <w:rPr>
          <w:rFonts w:ascii="Book Antiqua" w:hAnsi="Book Antiqua" w:cs="Arial"/>
        </w:rPr>
      </w:pPr>
      <w:r w:rsidRPr="00B57D66">
        <w:rPr>
          <w:rFonts w:ascii="Book Antiqua" w:hAnsi="Book Antiqua" w:cs="Arial"/>
        </w:rPr>
        <w:t>1.</w:t>
      </w:r>
      <w:r w:rsidRPr="00B57D66">
        <w:rPr>
          <w:rFonts w:ascii="Book Antiqua" w:hAnsi="Book Antiqua" w:cs="Arial"/>
        </w:rPr>
        <w:tab/>
      </w:r>
      <w:r w:rsidR="003F77D0">
        <w:rPr>
          <w:rFonts w:ascii="Book Antiqua" w:hAnsi="Book Antiqua" w:cs="Arial"/>
        </w:rPr>
        <w:t xml:space="preserve">The appellant is a national of Iraq of Kurdish origin.  </w:t>
      </w:r>
      <w:r w:rsidR="0026086F">
        <w:rPr>
          <w:rFonts w:ascii="Book Antiqua" w:hAnsi="Book Antiqua" w:cs="Arial"/>
        </w:rPr>
        <w:t xml:space="preserve">She came to the UK in January 2002 with entry clearance as a spouse. </w:t>
      </w:r>
      <w:r w:rsidR="002C0B50">
        <w:rPr>
          <w:rFonts w:ascii="Book Antiqua" w:hAnsi="Book Antiqua" w:cs="Arial"/>
        </w:rPr>
        <w:t>She was accompanied by two children CK and AK, who she claimed were her own.  She was granted indefinite leave tor remain (ILR).</w:t>
      </w:r>
      <w:r w:rsidR="003F77D0">
        <w:rPr>
          <w:rFonts w:ascii="Book Antiqua" w:hAnsi="Book Antiqua" w:cs="Arial"/>
        </w:rPr>
        <w:t xml:space="preserve">  </w:t>
      </w:r>
      <w:r w:rsidR="002C0B50">
        <w:rPr>
          <w:rFonts w:ascii="Book Antiqua" w:hAnsi="Book Antiqua" w:cs="Arial"/>
        </w:rPr>
        <w:t>However</w:t>
      </w:r>
      <w:r w:rsidR="00180FD8">
        <w:rPr>
          <w:rFonts w:ascii="Book Antiqua" w:hAnsi="Book Antiqua" w:cs="Arial"/>
        </w:rPr>
        <w:t>,</w:t>
      </w:r>
      <w:r w:rsidR="002C0B50">
        <w:rPr>
          <w:rFonts w:ascii="Book Antiqua" w:hAnsi="Book Antiqua" w:cs="Arial"/>
        </w:rPr>
        <w:t xml:space="preserve"> following allegations made in 2007 by these children of domestic abuse</w:t>
      </w:r>
      <w:r w:rsidR="00180FD8">
        <w:rPr>
          <w:rFonts w:ascii="Book Antiqua" w:hAnsi="Book Antiqua" w:cs="Arial"/>
        </w:rPr>
        <w:t>,</w:t>
      </w:r>
      <w:r w:rsidR="002C0B50">
        <w:rPr>
          <w:rFonts w:ascii="Book Antiqua" w:hAnsi="Book Antiqua" w:cs="Arial"/>
        </w:rPr>
        <w:t xml:space="preserve"> she admitted that the man she came to join was not her husban</w:t>
      </w:r>
      <w:r w:rsidR="00CE795B">
        <w:rPr>
          <w:rFonts w:ascii="Book Antiqua" w:hAnsi="Book Antiqua" w:cs="Arial"/>
        </w:rPr>
        <w:t>d but her brother and that they</w:t>
      </w:r>
      <w:r w:rsidR="002C0B50">
        <w:rPr>
          <w:rFonts w:ascii="Book Antiqua" w:hAnsi="Book Antiqua" w:cs="Arial"/>
        </w:rPr>
        <w:t xml:space="preserve"> were not</w:t>
      </w:r>
      <w:r w:rsidR="00567817">
        <w:rPr>
          <w:rFonts w:ascii="Book Antiqua" w:hAnsi="Book Antiqua" w:cs="Arial"/>
        </w:rPr>
        <w:t xml:space="preserve"> parents but aunt and uncle of </w:t>
      </w:r>
      <w:r w:rsidR="002C0B50">
        <w:rPr>
          <w:rFonts w:ascii="Book Antiqua" w:hAnsi="Book Antiqua" w:cs="Arial"/>
        </w:rPr>
        <w:t xml:space="preserve">the two children.  In light of this admission the respondent revoked </w:t>
      </w:r>
      <w:r w:rsidR="00180FD8">
        <w:rPr>
          <w:rFonts w:ascii="Book Antiqua" w:hAnsi="Book Antiqua" w:cs="Arial"/>
        </w:rPr>
        <w:t>her</w:t>
      </w:r>
      <w:r w:rsidR="002C0B50">
        <w:rPr>
          <w:rFonts w:ascii="Book Antiqua" w:hAnsi="Book Antiqua" w:cs="Arial"/>
        </w:rPr>
        <w:t xml:space="preserve"> ILR and in July 2008 served her with form IS151A.  </w:t>
      </w:r>
      <w:r w:rsidR="002C0B50">
        <w:rPr>
          <w:rFonts w:ascii="Book Antiqua" w:hAnsi="Book Antiqua" w:cs="Arial"/>
        </w:rPr>
        <w:lastRenderedPageBreak/>
        <w:t>Subsequently she was refused an EEA residence card in December 2013.  On 19 March 2015 she applied for leave to remain on the basis of her relationship with her husband, RY who is also from Iraq.  She had married RY in December 2003 in an Islamic marriage and had been living together as husband and wife for over eleven years.  On 2 September 2015 the respondent refused her application.  The respondent stated in her refusal letter that she could not succeed under the Immigration Rules</w:t>
      </w:r>
      <w:r w:rsidR="00180FD8">
        <w:rPr>
          <w:rFonts w:ascii="Book Antiqua" w:hAnsi="Book Antiqua" w:cs="Arial"/>
        </w:rPr>
        <w:t xml:space="preserve">. In </w:t>
      </w:r>
      <w:r w:rsidR="00A84862">
        <w:rPr>
          <w:rFonts w:ascii="Book Antiqua" w:hAnsi="Book Antiqua" w:cs="Arial"/>
        </w:rPr>
        <w:t>more detail</w:t>
      </w:r>
      <w:r w:rsidR="00180FD8">
        <w:rPr>
          <w:rFonts w:ascii="Book Antiqua" w:hAnsi="Book Antiqua" w:cs="Arial"/>
        </w:rPr>
        <w:t>,</w:t>
      </w:r>
      <w:r w:rsidR="00A84862">
        <w:rPr>
          <w:rFonts w:ascii="Book Antiqua" w:hAnsi="Book Antiqua" w:cs="Arial"/>
        </w:rPr>
        <w:t xml:space="preserve"> it was stated</w:t>
      </w:r>
      <w:r w:rsidR="0085473A">
        <w:rPr>
          <w:rFonts w:ascii="Book Antiqua" w:hAnsi="Book Antiqua" w:cs="Arial"/>
        </w:rPr>
        <w:t>:</w:t>
      </w:r>
      <w:r w:rsidR="00A84862">
        <w:rPr>
          <w:rFonts w:ascii="Book Antiqua" w:hAnsi="Book Antiqua" w:cs="Arial"/>
        </w:rPr>
        <w:t xml:space="preserve"> </w:t>
      </w:r>
    </w:p>
    <w:p w14:paraId="5613612C" w14:textId="77777777" w:rsidR="00A84862" w:rsidRDefault="00A84862" w:rsidP="00BF23BB">
      <w:pPr>
        <w:tabs>
          <w:tab w:val="left" w:pos="567"/>
        </w:tabs>
        <w:ind w:left="567" w:hanging="567"/>
        <w:jc w:val="both"/>
        <w:rPr>
          <w:rFonts w:ascii="Book Antiqua" w:hAnsi="Book Antiqua" w:cs="Arial"/>
        </w:rPr>
      </w:pPr>
    </w:p>
    <w:p w14:paraId="4083AEE6" w14:textId="06E84298" w:rsidR="00A84862" w:rsidRDefault="003B0B66" w:rsidP="00A84862">
      <w:pPr>
        <w:pStyle w:val="ListParagraph"/>
        <w:numPr>
          <w:ilvl w:val="0"/>
          <w:numId w:val="1"/>
        </w:numPr>
        <w:tabs>
          <w:tab w:val="left" w:pos="567"/>
        </w:tabs>
        <w:ind w:left="1134" w:hanging="567"/>
        <w:jc w:val="both"/>
        <w:rPr>
          <w:rFonts w:ascii="Book Antiqua" w:hAnsi="Book Antiqua" w:cs="Arial"/>
        </w:rPr>
      </w:pPr>
      <w:r>
        <w:rPr>
          <w:rFonts w:ascii="Book Antiqua" w:hAnsi="Book Antiqua" w:cs="Arial"/>
        </w:rPr>
        <w:t>t</w:t>
      </w:r>
      <w:r w:rsidR="00A84862">
        <w:rPr>
          <w:rFonts w:ascii="Book Antiqua" w:hAnsi="Book Antiqua" w:cs="Arial"/>
        </w:rPr>
        <w:t>hat she could not qualify under the partner route because</w:t>
      </w:r>
      <w:r w:rsidR="002F5B65">
        <w:rPr>
          <w:rFonts w:ascii="Book Antiqua" w:hAnsi="Book Antiqua" w:cs="Arial"/>
        </w:rPr>
        <w:t xml:space="preserve"> she fell </w:t>
      </w:r>
      <w:proofErr w:type="spellStart"/>
      <w:r w:rsidR="00A84862">
        <w:rPr>
          <w:rFonts w:ascii="Book Antiqua" w:hAnsi="Book Antiqua" w:cs="Arial"/>
        </w:rPr>
        <w:t>foul</w:t>
      </w:r>
      <w:proofErr w:type="spellEnd"/>
      <w:r w:rsidR="00A84862">
        <w:rPr>
          <w:rFonts w:ascii="Book Antiqua" w:hAnsi="Book Antiqua" w:cs="Arial"/>
        </w:rPr>
        <w:t xml:space="preserve"> of the suitability requirements</w:t>
      </w:r>
      <w:r w:rsidR="00B968C7">
        <w:rPr>
          <w:rFonts w:ascii="Book Antiqua" w:hAnsi="Book Antiqua" w:cs="Arial"/>
        </w:rPr>
        <w:t>,</w:t>
      </w:r>
      <w:r w:rsidR="00A84862">
        <w:rPr>
          <w:rFonts w:ascii="Book Antiqua" w:hAnsi="Book Antiqua" w:cs="Arial"/>
        </w:rPr>
        <w:t xml:space="preserve"> by virtue of having obtained a settlement visa by deception at the British Embassy in Tehran</w:t>
      </w:r>
      <w:r w:rsidR="00180FD8">
        <w:rPr>
          <w:rFonts w:ascii="Book Antiqua" w:hAnsi="Book Antiqua" w:cs="Arial"/>
        </w:rPr>
        <w:t xml:space="preserve"> in December 2001 and that “[</w:t>
      </w:r>
      <w:proofErr w:type="spellStart"/>
      <w:r w:rsidR="00180FD8">
        <w:rPr>
          <w:rFonts w:ascii="Book Antiqua" w:hAnsi="Book Antiqua" w:cs="Arial"/>
        </w:rPr>
        <w:t>i</w:t>
      </w:r>
      <w:proofErr w:type="spellEnd"/>
      <w:r w:rsidR="00C4295C">
        <w:rPr>
          <w:rFonts w:ascii="Book Antiqua" w:hAnsi="Book Antiqua" w:cs="Arial"/>
        </w:rPr>
        <w:t>]</w:t>
      </w:r>
      <w:r w:rsidR="00A84862">
        <w:rPr>
          <w:rFonts w:ascii="Book Antiqua" w:hAnsi="Book Antiqua" w:cs="Arial"/>
        </w:rPr>
        <w:t>t is theref</w:t>
      </w:r>
      <w:r w:rsidR="00C740D3">
        <w:rPr>
          <w:rFonts w:ascii="Book Antiqua" w:hAnsi="Book Antiqua" w:cs="Arial"/>
        </w:rPr>
        <w:t>ore considered that your presence</w:t>
      </w:r>
      <w:r w:rsidR="00A84862">
        <w:rPr>
          <w:rFonts w:ascii="Book Antiqua" w:hAnsi="Book Antiqua" w:cs="Arial"/>
        </w:rPr>
        <w:t xml:space="preserve"> in the UK is undesirable and you fail to meet</w:t>
      </w:r>
      <w:r w:rsidR="00180FD8">
        <w:rPr>
          <w:rFonts w:ascii="Book Antiqua" w:hAnsi="Book Antiqua" w:cs="Arial"/>
        </w:rPr>
        <w:t xml:space="preserve"> S-LTR 1.6 and A</w:t>
      </w:r>
      <w:r w:rsidR="00C01D1E">
        <w:rPr>
          <w:rFonts w:ascii="Book Antiqua" w:hAnsi="Book Antiqua" w:cs="Arial"/>
        </w:rPr>
        <w:t>ppendix FM;</w:t>
      </w:r>
      <w:r w:rsidR="00A84862">
        <w:rPr>
          <w:rFonts w:ascii="Book Antiqua" w:hAnsi="Book Antiqua" w:cs="Arial"/>
        </w:rPr>
        <w:t>”</w:t>
      </w:r>
    </w:p>
    <w:p w14:paraId="16D98633" w14:textId="77777777" w:rsidR="00A84862" w:rsidRDefault="00A84862" w:rsidP="00A84862">
      <w:pPr>
        <w:pStyle w:val="ListParagraph"/>
        <w:tabs>
          <w:tab w:val="left" w:pos="567"/>
        </w:tabs>
        <w:ind w:left="1134"/>
        <w:jc w:val="both"/>
        <w:rPr>
          <w:rFonts w:ascii="Book Antiqua" w:hAnsi="Book Antiqua" w:cs="Arial"/>
        </w:rPr>
      </w:pPr>
    </w:p>
    <w:p w14:paraId="31FE016F" w14:textId="77777777" w:rsidR="00C01D1E" w:rsidRPr="00C01D1E" w:rsidRDefault="00C01D1E" w:rsidP="00C01D1E">
      <w:pPr>
        <w:pStyle w:val="ListParagraph"/>
        <w:numPr>
          <w:ilvl w:val="0"/>
          <w:numId w:val="1"/>
        </w:numPr>
        <w:tabs>
          <w:tab w:val="left" w:pos="567"/>
        </w:tabs>
        <w:ind w:left="1134" w:hanging="567"/>
        <w:jc w:val="both"/>
        <w:rPr>
          <w:rFonts w:ascii="Book Antiqua" w:hAnsi="Book Antiqua" w:cs="Arial"/>
        </w:rPr>
      </w:pPr>
      <w:r>
        <w:rPr>
          <w:rFonts w:ascii="Book Antiqua" w:hAnsi="Book Antiqua" w:cs="Arial"/>
        </w:rPr>
        <w:t>t</w:t>
      </w:r>
      <w:r w:rsidR="00A84862">
        <w:rPr>
          <w:rFonts w:ascii="Book Antiqua" w:hAnsi="Book Antiqua" w:cs="Arial"/>
        </w:rPr>
        <w:t>hat she could not succeed under the parent route as there was no evidence to sug</w:t>
      </w:r>
      <w:r>
        <w:rPr>
          <w:rFonts w:ascii="Book Antiqua" w:hAnsi="Book Antiqua" w:cs="Arial"/>
        </w:rPr>
        <w:t>gest she had children in the UK;</w:t>
      </w:r>
    </w:p>
    <w:p w14:paraId="7889CDEC" w14:textId="77777777" w:rsidR="00C01D1E" w:rsidRDefault="00C01D1E" w:rsidP="00C01D1E">
      <w:pPr>
        <w:pStyle w:val="ListParagraph"/>
        <w:tabs>
          <w:tab w:val="left" w:pos="567"/>
        </w:tabs>
        <w:ind w:left="1134"/>
        <w:jc w:val="both"/>
        <w:rPr>
          <w:rFonts w:ascii="Book Antiqua" w:hAnsi="Book Antiqua" w:cs="Arial"/>
        </w:rPr>
      </w:pPr>
    </w:p>
    <w:p w14:paraId="59ADC554" w14:textId="787AA492" w:rsidR="00A84862" w:rsidRDefault="00C01D1E" w:rsidP="00A84862">
      <w:pPr>
        <w:pStyle w:val="ListParagraph"/>
        <w:numPr>
          <w:ilvl w:val="0"/>
          <w:numId w:val="1"/>
        </w:numPr>
        <w:tabs>
          <w:tab w:val="left" w:pos="567"/>
        </w:tabs>
        <w:ind w:left="1134" w:hanging="567"/>
        <w:jc w:val="both"/>
        <w:rPr>
          <w:rFonts w:ascii="Book Antiqua" w:hAnsi="Book Antiqua" w:cs="Arial"/>
        </w:rPr>
      </w:pPr>
      <w:r>
        <w:rPr>
          <w:rFonts w:ascii="Book Antiqua" w:hAnsi="Book Antiqua" w:cs="Arial"/>
        </w:rPr>
        <w:t>t</w:t>
      </w:r>
      <w:r w:rsidR="00A84862">
        <w:rPr>
          <w:rFonts w:ascii="Book Antiqua" w:hAnsi="Book Antiqua" w:cs="Arial"/>
        </w:rPr>
        <w:t>hat she could not meet the private life route requirements because of falling foul of the</w:t>
      </w:r>
      <w:r w:rsidR="006970BA">
        <w:rPr>
          <w:rFonts w:ascii="Book Antiqua" w:hAnsi="Book Antiqua" w:cs="Arial"/>
        </w:rPr>
        <w:t xml:space="preserve"> suitability requirement set out in paragraph 276ADE(1)(</w:t>
      </w:r>
      <w:proofErr w:type="spellStart"/>
      <w:r w:rsidR="006970BA">
        <w:rPr>
          <w:rFonts w:ascii="Book Antiqua" w:hAnsi="Book Antiqua" w:cs="Arial"/>
        </w:rPr>
        <w:t>i</w:t>
      </w:r>
      <w:proofErr w:type="spellEnd"/>
      <w:r w:rsidR="006970BA">
        <w:rPr>
          <w:rFonts w:ascii="Book Antiqua" w:hAnsi="Book Antiqua" w:cs="Arial"/>
        </w:rPr>
        <w:t>) and in addition could not meet any of the substantive requirements of this Rule, as set out in paragraph 276AD</w:t>
      </w:r>
      <w:r w:rsidR="00352DA0">
        <w:rPr>
          <w:rFonts w:ascii="Book Antiqua" w:hAnsi="Book Antiqua" w:cs="Arial"/>
        </w:rPr>
        <w:t>E</w:t>
      </w:r>
      <w:r w:rsidR="006970BA">
        <w:rPr>
          <w:rFonts w:ascii="Book Antiqua" w:hAnsi="Book Antiqua" w:cs="Arial"/>
        </w:rPr>
        <w:t>(</w:t>
      </w:r>
      <w:proofErr w:type="spellStart"/>
      <w:r w:rsidR="006970BA">
        <w:rPr>
          <w:rFonts w:ascii="Book Antiqua" w:hAnsi="Book Antiqua" w:cs="Arial"/>
        </w:rPr>
        <w:t>i</w:t>
      </w:r>
      <w:proofErr w:type="spellEnd"/>
      <w:r w:rsidR="006970BA">
        <w:rPr>
          <w:rFonts w:ascii="Book Antiqua" w:hAnsi="Book Antiqua" w:cs="Arial"/>
        </w:rPr>
        <w:t>), (iii), (iv), (v) and (vi).  As regards paragraph 276ADE(</w:t>
      </w:r>
      <w:proofErr w:type="spellStart"/>
      <w:r w:rsidR="006970BA">
        <w:rPr>
          <w:rFonts w:ascii="Book Antiqua" w:hAnsi="Book Antiqua" w:cs="Arial"/>
        </w:rPr>
        <w:t>i</w:t>
      </w:r>
      <w:proofErr w:type="spellEnd"/>
      <w:r w:rsidR="006970BA">
        <w:rPr>
          <w:rFonts w:ascii="Book Antiqua" w:hAnsi="Book Antiqua" w:cs="Arial"/>
        </w:rPr>
        <w:t>)</w:t>
      </w:r>
      <w:r w:rsidR="00180FD8">
        <w:rPr>
          <w:rFonts w:ascii="Book Antiqua" w:hAnsi="Book Antiqua" w:cs="Arial"/>
        </w:rPr>
        <w:t xml:space="preserve"> and</w:t>
      </w:r>
      <w:r w:rsidR="006970BA">
        <w:rPr>
          <w:rFonts w:ascii="Book Antiqua" w:hAnsi="Book Antiqua" w:cs="Arial"/>
        </w:rPr>
        <w:t>(vi) the respondent stated that she was not satisfied there were any significant obstacles to her integration.</w:t>
      </w:r>
    </w:p>
    <w:p w14:paraId="7A78053F" w14:textId="77777777" w:rsidR="006970BA" w:rsidRDefault="006970BA" w:rsidP="006970BA">
      <w:pPr>
        <w:rPr>
          <w:rFonts w:ascii="Book Antiqua" w:hAnsi="Book Antiqua" w:cs="Arial"/>
        </w:rPr>
      </w:pPr>
    </w:p>
    <w:p w14:paraId="3BB91745" w14:textId="77777777" w:rsidR="00180FD8" w:rsidRDefault="006970BA" w:rsidP="006970BA">
      <w:pPr>
        <w:tabs>
          <w:tab w:val="left" w:pos="567"/>
        </w:tabs>
        <w:ind w:left="567" w:hanging="567"/>
        <w:jc w:val="both"/>
        <w:rPr>
          <w:rFonts w:ascii="Book Antiqua" w:hAnsi="Book Antiqua" w:cs="Arial"/>
        </w:rPr>
      </w:pPr>
      <w:r w:rsidRPr="008B5901">
        <w:rPr>
          <w:rFonts w:ascii="Book Antiqua" w:hAnsi="Book Antiqua" w:cs="Arial"/>
        </w:rPr>
        <w:t>2.</w:t>
      </w:r>
      <w:r w:rsidRPr="008B5901">
        <w:rPr>
          <w:rFonts w:ascii="Book Antiqua" w:hAnsi="Book Antiqua" w:cs="Arial"/>
        </w:rPr>
        <w:tab/>
      </w:r>
      <w:r>
        <w:rPr>
          <w:rFonts w:ascii="Book Antiqua" w:hAnsi="Book Antiqua" w:cs="Arial"/>
        </w:rPr>
        <w:t xml:space="preserve">The suitability requirement referred to in paragraph 276ADE </w:t>
      </w:r>
      <w:r w:rsidR="00180FD8">
        <w:rPr>
          <w:rFonts w:ascii="Book Antiqua" w:hAnsi="Book Antiqua" w:cs="Arial"/>
        </w:rPr>
        <w:t xml:space="preserve">is set out at </w:t>
      </w:r>
      <w:proofErr w:type="gramStart"/>
      <w:r w:rsidR="00180FD8">
        <w:rPr>
          <w:rFonts w:ascii="Book Antiqua" w:hAnsi="Book Antiqua" w:cs="Arial"/>
        </w:rPr>
        <w:t>S.LTR</w:t>
      </w:r>
      <w:proofErr w:type="gramEnd"/>
      <w:r w:rsidR="00180FD8">
        <w:rPr>
          <w:rFonts w:ascii="Book Antiqua" w:hAnsi="Book Antiqua" w:cs="Arial"/>
        </w:rPr>
        <w:t xml:space="preserve">1.11 and 1.6. </w:t>
      </w:r>
      <w:r>
        <w:rPr>
          <w:rFonts w:ascii="Book Antiqua" w:hAnsi="Book Antiqua" w:cs="Arial"/>
        </w:rPr>
        <w:t xml:space="preserve"> </w:t>
      </w:r>
    </w:p>
    <w:p w14:paraId="16241F4D" w14:textId="77777777" w:rsidR="00180FD8" w:rsidRDefault="00180FD8" w:rsidP="006970BA">
      <w:pPr>
        <w:tabs>
          <w:tab w:val="left" w:pos="567"/>
        </w:tabs>
        <w:ind w:left="567" w:hanging="567"/>
        <w:jc w:val="both"/>
        <w:rPr>
          <w:rFonts w:ascii="Book Antiqua" w:hAnsi="Book Antiqua" w:cs="Arial"/>
        </w:rPr>
      </w:pPr>
    </w:p>
    <w:p w14:paraId="696E4B01" w14:textId="02D196C8" w:rsidR="00AF07E8" w:rsidRDefault="006970BA" w:rsidP="00180FD8">
      <w:pPr>
        <w:tabs>
          <w:tab w:val="left" w:pos="567"/>
        </w:tabs>
        <w:ind w:left="1134" w:hanging="567"/>
        <w:jc w:val="both"/>
        <w:rPr>
          <w:rFonts w:ascii="Book Antiqua" w:hAnsi="Book Antiqua" w:cs="Arial"/>
        </w:rPr>
      </w:pPr>
      <w:r>
        <w:rPr>
          <w:rFonts w:ascii="Book Antiqua" w:hAnsi="Book Antiqua" w:cs="Arial"/>
        </w:rPr>
        <w:t>S-LTR 1.1. states that</w:t>
      </w:r>
      <w:r w:rsidR="00180FD8">
        <w:rPr>
          <w:rFonts w:ascii="Book Antiqua" w:hAnsi="Book Antiqua" w:cs="Arial"/>
        </w:rPr>
        <w:t>:</w:t>
      </w:r>
    </w:p>
    <w:p w14:paraId="47404ECA" w14:textId="77777777" w:rsidR="00AF07E8" w:rsidRDefault="00AF07E8" w:rsidP="006970BA">
      <w:pPr>
        <w:tabs>
          <w:tab w:val="left" w:pos="567"/>
        </w:tabs>
        <w:ind w:left="567" w:hanging="567"/>
        <w:jc w:val="both"/>
        <w:rPr>
          <w:rFonts w:ascii="Book Antiqua" w:hAnsi="Book Antiqua" w:cs="Arial"/>
        </w:rPr>
      </w:pPr>
    </w:p>
    <w:p w14:paraId="5359C12F" w14:textId="77777777" w:rsidR="00180FD8" w:rsidRDefault="00AF07E8" w:rsidP="00D1097F">
      <w:pPr>
        <w:ind w:left="1134"/>
        <w:jc w:val="both"/>
        <w:rPr>
          <w:rFonts w:ascii="Book Antiqua" w:hAnsi="Book Antiqua" w:cs="Arial"/>
        </w:rPr>
      </w:pPr>
      <w:r>
        <w:rPr>
          <w:rFonts w:ascii="Book Antiqua" w:hAnsi="Book Antiqua" w:cs="Arial"/>
        </w:rPr>
        <w:tab/>
      </w:r>
      <w:r w:rsidR="006970BA">
        <w:rPr>
          <w:rFonts w:ascii="Book Antiqua" w:hAnsi="Book Antiqua" w:cs="Arial"/>
        </w:rPr>
        <w:t>“the applicant will be refused limited l</w:t>
      </w:r>
      <w:r w:rsidR="00B72803">
        <w:rPr>
          <w:rFonts w:ascii="Book Antiqua" w:hAnsi="Book Antiqua" w:cs="Arial"/>
        </w:rPr>
        <w:t>e</w:t>
      </w:r>
      <w:r w:rsidR="006970BA">
        <w:rPr>
          <w:rFonts w:ascii="Book Antiqua" w:hAnsi="Book Antiqua" w:cs="Arial"/>
        </w:rPr>
        <w:t>ave to remain on grounds of suitability if any of paragraphs S-LTR 1.2 to 1.7 apply.</w:t>
      </w:r>
      <w:r w:rsidR="00FC52B4">
        <w:rPr>
          <w:rFonts w:ascii="Book Antiqua" w:hAnsi="Book Antiqua" w:cs="Arial"/>
        </w:rPr>
        <w:t>”</w:t>
      </w:r>
      <w:r w:rsidR="006970BA">
        <w:rPr>
          <w:rFonts w:ascii="Book Antiqua" w:hAnsi="Book Antiqua" w:cs="Arial"/>
        </w:rPr>
        <w:t xml:space="preserve">  </w:t>
      </w:r>
    </w:p>
    <w:p w14:paraId="76231A69" w14:textId="77777777" w:rsidR="00180FD8" w:rsidRDefault="00180FD8" w:rsidP="00D1097F">
      <w:pPr>
        <w:ind w:left="1134"/>
        <w:jc w:val="both"/>
        <w:rPr>
          <w:rFonts w:ascii="Book Antiqua" w:hAnsi="Book Antiqua" w:cs="Arial"/>
        </w:rPr>
      </w:pPr>
    </w:p>
    <w:p w14:paraId="3D9226E9" w14:textId="02999DD9" w:rsidR="00180FD8" w:rsidRDefault="006970BA" w:rsidP="00180FD8">
      <w:pPr>
        <w:ind w:left="567"/>
        <w:jc w:val="both"/>
        <w:rPr>
          <w:rFonts w:ascii="Book Antiqua" w:hAnsi="Book Antiqua" w:cs="Arial"/>
        </w:rPr>
      </w:pPr>
      <w:r>
        <w:rPr>
          <w:rFonts w:ascii="Book Antiqua" w:hAnsi="Book Antiqua" w:cs="Arial"/>
        </w:rPr>
        <w:t>S-LTR 1.6 state</w:t>
      </w:r>
      <w:r w:rsidR="00180FD8">
        <w:rPr>
          <w:rFonts w:ascii="Book Antiqua" w:hAnsi="Book Antiqua" w:cs="Arial"/>
        </w:rPr>
        <w:t>s</w:t>
      </w:r>
      <w:r>
        <w:rPr>
          <w:rFonts w:ascii="Book Antiqua" w:hAnsi="Book Antiqua" w:cs="Arial"/>
        </w:rPr>
        <w:t xml:space="preserve"> that</w:t>
      </w:r>
      <w:r w:rsidR="00180FD8">
        <w:rPr>
          <w:rFonts w:ascii="Book Antiqua" w:hAnsi="Book Antiqua" w:cs="Arial"/>
        </w:rPr>
        <w:t>:</w:t>
      </w:r>
    </w:p>
    <w:p w14:paraId="2A3D0946" w14:textId="77777777" w:rsidR="00180FD8" w:rsidRDefault="00180FD8" w:rsidP="00180FD8">
      <w:pPr>
        <w:ind w:left="567"/>
        <w:jc w:val="both"/>
        <w:rPr>
          <w:rFonts w:ascii="Book Antiqua" w:hAnsi="Book Antiqua" w:cs="Arial"/>
        </w:rPr>
      </w:pPr>
    </w:p>
    <w:p w14:paraId="091B64AB" w14:textId="5A493205" w:rsidR="006970BA" w:rsidRDefault="006970BA" w:rsidP="00180FD8">
      <w:pPr>
        <w:ind w:left="1134"/>
        <w:jc w:val="both"/>
        <w:rPr>
          <w:rFonts w:ascii="Book Antiqua" w:hAnsi="Book Antiqua" w:cs="Arial"/>
        </w:rPr>
      </w:pPr>
      <w:r>
        <w:rPr>
          <w:rFonts w:ascii="Book Antiqua" w:hAnsi="Book Antiqua" w:cs="Arial"/>
        </w:rPr>
        <w:t xml:space="preserve"> </w:t>
      </w:r>
      <w:r w:rsidR="00F27619">
        <w:rPr>
          <w:rFonts w:ascii="Book Antiqua" w:hAnsi="Book Antiqua" w:cs="Arial"/>
        </w:rPr>
        <w:t>“the presence of the applicant</w:t>
      </w:r>
      <w:r>
        <w:rPr>
          <w:rFonts w:ascii="Book Antiqua" w:hAnsi="Book Antiqua" w:cs="Arial"/>
        </w:rPr>
        <w:t xml:space="preserve"> in the UK is not conduc</w:t>
      </w:r>
      <w:r w:rsidR="00180FD8">
        <w:rPr>
          <w:rFonts w:ascii="Book Antiqua" w:hAnsi="Book Antiqua" w:cs="Arial"/>
        </w:rPr>
        <w:t>iv</w:t>
      </w:r>
      <w:r>
        <w:rPr>
          <w:rFonts w:ascii="Book Antiqua" w:hAnsi="Book Antiqua" w:cs="Arial"/>
        </w:rPr>
        <w:t>e to the public good because their conduct (including convictions which do not fall within paragraphs S-LTR 1.3 to 1.5), character, conduct associations or other reasons make it undesirable to allow them to remain in the UK.”</w:t>
      </w:r>
    </w:p>
    <w:p w14:paraId="7AF199F5" w14:textId="77777777" w:rsidR="00EA5947" w:rsidRDefault="00EA5947" w:rsidP="006970BA">
      <w:pPr>
        <w:tabs>
          <w:tab w:val="left" w:pos="567"/>
        </w:tabs>
        <w:ind w:left="567" w:hanging="567"/>
        <w:jc w:val="both"/>
        <w:rPr>
          <w:rFonts w:ascii="Book Antiqua" w:hAnsi="Book Antiqua" w:cs="Arial"/>
        </w:rPr>
      </w:pPr>
    </w:p>
    <w:p w14:paraId="21AC41CB" w14:textId="77777777" w:rsidR="00EA5947" w:rsidRDefault="00C26C8F" w:rsidP="00EA5947">
      <w:pPr>
        <w:tabs>
          <w:tab w:val="left" w:pos="567"/>
        </w:tabs>
        <w:ind w:left="567" w:hanging="567"/>
        <w:jc w:val="both"/>
        <w:rPr>
          <w:rFonts w:ascii="Book Antiqua" w:hAnsi="Book Antiqua" w:cs="Arial"/>
        </w:rPr>
      </w:pPr>
      <w:r>
        <w:rPr>
          <w:rFonts w:ascii="Book Antiqua" w:hAnsi="Book Antiqua" w:cs="Arial"/>
        </w:rPr>
        <w:t>3</w:t>
      </w:r>
      <w:r w:rsidR="00EA5947" w:rsidRPr="008B5901">
        <w:rPr>
          <w:rFonts w:ascii="Book Antiqua" w:hAnsi="Book Antiqua" w:cs="Arial"/>
        </w:rPr>
        <w:t>.</w:t>
      </w:r>
      <w:r w:rsidR="00EA5947" w:rsidRPr="008B5901">
        <w:rPr>
          <w:rFonts w:ascii="Book Antiqua" w:hAnsi="Book Antiqua" w:cs="Arial"/>
        </w:rPr>
        <w:tab/>
      </w:r>
      <w:r w:rsidR="00EA5947">
        <w:rPr>
          <w:rFonts w:ascii="Book Antiqua" w:hAnsi="Book Antiqua" w:cs="Arial"/>
        </w:rPr>
        <w:t>The respondent’s decision went on to conclude that the appellant also failed to show she could succeed on Article 8</w:t>
      </w:r>
      <w:r w:rsidR="00B34268">
        <w:rPr>
          <w:rFonts w:ascii="Book Antiqua" w:hAnsi="Book Antiqua" w:cs="Arial"/>
        </w:rPr>
        <w:t xml:space="preserve"> grounds outside the Rules, as </w:t>
      </w:r>
      <w:r w:rsidR="00EA5947">
        <w:rPr>
          <w:rFonts w:ascii="Book Antiqua" w:hAnsi="Book Antiqua" w:cs="Arial"/>
        </w:rPr>
        <w:t>the evidence indicated she and her partner (who both had medical conditions) would be able to access medical facilities in Iraq.  Nor had her hus</w:t>
      </w:r>
      <w:r w:rsidR="00B34268">
        <w:rPr>
          <w:rFonts w:ascii="Book Antiqua" w:hAnsi="Book Antiqua" w:cs="Arial"/>
        </w:rPr>
        <w:t>b</w:t>
      </w:r>
      <w:r w:rsidR="00EA5947">
        <w:rPr>
          <w:rFonts w:ascii="Book Antiqua" w:hAnsi="Book Antiqua" w:cs="Arial"/>
        </w:rPr>
        <w:t xml:space="preserve">and produced medical evidence </w:t>
      </w:r>
      <w:r w:rsidR="00B34268">
        <w:rPr>
          <w:rFonts w:ascii="Book Antiqua" w:hAnsi="Book Antiqua" w:cs="Arial"/>
        </w:rPr>
        <w:t>of his medical conditions</w:t>
      </w:r>
      <w:r w:rsidR="00EA5947">
        <w:rPr>
          <w:rFonts w:ascii="Book Antiqua" w:hAnsi="Book Antiqua" w:cs="Arial"/>
        </w:rPr>
        <w:t xml:space="preserve"> or established that they were life-threatening.</w:t>
      </w:r>
    </w:p>
    <w:p w14:paraId="6864D0E6" w14:textId="77777777" w:rsidR="00BD5B26" w:rsidRDefault="00BD5B26" w:rsidP="00EA5947">
      <w:pPr>
        <w:tabs>
          <w:tab w:val="left" w:pos="567"/>
        </w:tabs>
        <w:ind w:left="567" w:hanging="567"/>
        <w:jc w:val="both"/>
        <w:rPr>
          <w:rFonts w:ascii="Book Antiqua" w:hAnsi="Book Antiqua" w:cs="Arial"/>
        </w:rPr>
      </w:pPr>
    </w:p>
    <w:p w14:paraId="7EAF04AE" w14:textId="64C80D90" w:rsidR="00BD5B26" w:rsidRDefault="00C26C8F" w:rsidP="00BD5B26">
      <w:pPr>
        <w:tabs>
          <w:tab w:val="left" w:pos="567"/>
        </w:tabs>
        <w:ind w:left="567" w:hanging="567"/>
        <w:jc w:val="both"/>
        <w:rPr>
          <w:rFonts w:ascii="Book Antiqua" w:hAnsi="Book Antiqua" w:cs="Arial"/>
        </w:rPr>
      </w:pPr>
      <w:r>
        <w:rPr>
          <w:rFonts w:ascii="Book Antiqua" w:hAnsi="Book Antiqua" w:cs="Arial"/>
        </w:rPr>
        <w:t>4</w:t>
      </w:r>
      <w:r w:rsidR="00BD5B26" w:rsidRPr="008B5901">
        <w:rPr>
          <w:rFonts w:ascii="Book Antiqua" w:hAnsi="Book Antiqua" w:cs="Arial"/>
        </w:rPr>
        <w:t>.</w:t>
      </w:r>
      <w:r w:rsidR="00BD5B26" w:rsidRPr="008B5901">
        <w:rPr>
          <w:rFonts w:ascii="Book Antiqua" w:hAnsi="Book Antiqua" w:cs="Arial"/>
        </w:rPr>
        <w:tab/>
      </w:r>
      <w:r w:rsidR="00BD5B26">
        <w:rPr>
          <w:rFonts w:ascii="Book Antiqua" w:hAnsi="Book Antiqua" w:cs="Arial"/>
        </w:rPr>
        <w:t>The appellant’</w:t>
      </w:r>
      <w:r w:rsidR="00EE1F4D">
        <w:rPr>
          <w:rFonts w:ascii="Book Antiqua" w:hAnsi="Book Antiqua" w:cs="Arial"/>
        </w:rPr>
        <w:t xml:space="preserve">s appeal came </w:t>
      </w:r>
      <w:r w:rsidR="00EF1E65">
        <w:rPr>
          <w:rFonts w:ascii="Book Antiqua" w:hAnsi="Book Antiqua" w:cs="Arial"/>
        </w:rPr>
        <w:t>before Judge K</w:t>
      </w:r>
      <w:r w:rsidR="00BD5B26">
        <w:rPr>
          <w:rFonts w:ascii="Book Antiqua" w:hAnsi="Book Antiqua" w:cs="Arial"/>
        </w:rPr>
        <w:t xml:space="preserve">eith of the </w:t>
      </w:r>
      <w:r w:rsidR="00180FD8">
        <w:rPr>
          <w:rFonts w:ascii="Book Antiqua" w:hAnsi="Book Antiqua" w:cs="Arial"/>
        </w:rPr>
        <w:t>First-tier Tribunal (</w:t>
      </w:r>
      <w:proofErr w:type="spellStart"/>
      <w:r w:rsidR="00180FD8">
        <w:rPr>
          <w:rFonts w:ascii="Book Antiqua" w:hAnsi="Book Antiqua" w:cs="Arial"/>
        </w:rPr>
        <w:t>FtT</w:t>
      </w:r>
      <w:proofErr w:type="spellEnd"/>
      <w:r w:rsidR="00180FD8">
        <w:rPr>
          <w:rFonts w:ascii="Book Antiqua" w:hAnsi="Book Antiqua" w:cs="Arial"/>
        </w:rPr>
        <w:t>) who in</w:t>
      </w:r>
      <w:r w:rsidR="00BD5B26">
        <w:rPr>
          <w:rFonts w:ascii="Book Antiqua" w:hAnsi="Book Antiqua" w:cs="Arial"/>
        </w:rPr>
        <w:t xml:space="preserve"> in a decision sent on 12 October 2017 dismissed it.  The judge accepted that the </w:t>
      </w:r>
      <w:r w:rsidR="00BD5B26">
        <w:rPr>
          <w:rFonts w:ascii="Book Antiqua" w:hAnsi="Book Antiqua" w:cs="Arial"/>
        </w:rPr>
        <w:lastRenderedPageBreak/>
        <w:t>appellant was in a genuine and subsi</w:t>
      </w:r>
      <w:r w:rsidR="00EF1E65">
        <w:rPr>
          <w:rFonts w:ascii="Book Antiqua" w:hAnsi="Book Antiqua" w:cs="Arial"/>
        </w:rPr>
        <w:t>sting relationshi</w:t>
      </w:r>
      <w:r w:rsidR="00BD5B26">
        <w:rPr>
          <w:rFonts w:ascii="Book Antiqua" w:hAnsi="Book Antiqua" w:cs="Arial"/>
        </w:rPr>
        <w:t>p w</w:t>
      </w:r>
      <w:r w:rsidR="00EF1E65">
        <w:rPr>
          <w:rFonts w:ascii="Book Antiqua" w:hAnsi="Book Antiqua" w:cs="Arial"/>
        </w:rPr>
        <w:t>i</w:t>
      </w:r>
      <w:r w:rsidR="00BD5B26">
        <w:rPr>
          <w:rFonts w:ascii="Book Antiqua" w:hAnsi="Book Antiqua" w:cs="Arial"/>
        </w:rPr>
        <w:t xml:space="preserve">th Mr RY and had an established family life with him.  The judge found that the circumstances surrounding the appellant’s actions in deceiving the respondent to gain entry clearance told heavily against her; that she had never worked in the UK even when she had ILR; that </w:t>
      </w:r>
      <w:r w:rsidR="007319C2">
        <w:rPr>
          <w:rFonts w:ascii="Book Antiqua" w:hAnsi="Book Antiqua" w:cs="Arial"/>
        </w:rPr>
        <w:t xml:space="preserve">whilst </w:t>
      </w:r>
      <w:r w:rsidR="00BD5B26">
        <w:rPr>
          <w:rFonts w:ascii="Book Antiqua" w:hAnsi="Book Antiqua" w:cs="Arial"/>
        </w:rPr>
        <w:t>the medical evidence relating to Mr RY confirmed a list of complex c</w:t>
      </w:r>
      <w:r w:rsidR="00BC4F90">
        <w:rPr>
          <w:rFonts w:ascii="Book Antiqua" w:hAnsi="Book Antiqua" w:cs="Arial"/>
        </w:rPr>
        <w:t>hronic medical conditions</w:t>
      </w:r>
      <w:r w:rsidR="007319C2">
        <w:rPr>
          <w:rFonts w:ascii="Book Antiqua" w:hAnsi="Book Antiqua" w:cs="Arial"/>
        </w:rPr>
        <w:t xml:space="preserve"> and whilst </w:t>
      </w:r>
      <w:r w:rsidR="00BD5B26">
        <w:rPr>
          <w:rFonts w:ascii="Book Antiqua" w:hAnsi="Book Antiqua" w:cs="Arial"/>
        </w:rPr>
        <w:t xml:space="preserve">the medical report from Dr Ibrahim and the DWP assessment (confirming he was on the lower rates for personal care and high mobility rate for the same benefit) </w:t>
      </w:r>
      <w:r w:rsidR="007319C2">
        <w:rPr>
          <w:rFonts w:ascii="Book Antiqua" w:hAnsi="Book Antiqua" w:cs="Arial"/>
        </w:rPr>
        <w:t>suggested</w:t>
      </w:r>
      <w:r w:rsidR="00BD5B26">
        <w:rPr>
          <w:rFonts w:ascii="Book Antiqua" w:hAnsi="Book Antiqua" w:cs="Arial"/>
        </w:rPr>
        <w:t xml:space="preserve"> he would be incapable of supporting himself, the recent evidence showing he visited Iraq for three to four weeks in or around April 2017 indicated he was able to care</w:t>
      </w:r>
      <w:r w:rsidR="00EF1E65">
        <w:rPr>
          <w:rFonts w:ascii="Book Antiqua" w:hAnsi="Book Antiqua" w:cs="Arial"/>
        </w:rPr>
        <w:t xml:space="preserve"> for himself and develop coping strategies to do</w:t>
      </w:r>
      <w:r w:rsidR="00CE7F1E">
        <w:rPr>
          <w:rFonts w:ascii="Book Antiqua" w:hAnsi="Book Antiqua" w:cs="Arial"/>
        </w:rPr>
        <w:t xml:space="preserve"> s</w:t>
      </w:r>
      <w:r w:rsidR="00EF1E65">
        <w:rPr>
          <w:rFonts w:ascii="Book Antiqua" w:hAnsi="Book Antiqua" w:cs="Arial"/>
        </w:rPr>
        <w:t>o; that Mr RY’</w:t>
      </w:r>
      <w:r w:rsidR="009B6BF5">
        <w:rPr>
          <w:rFonts w:ascii="Book Antiqua" w:hAnsi="Book Antiqua" w:cs="Arial"/>
        </w:rPr>
        <w:t>s claims to have found wh</w:t>
      </w:r>
      <w:r w:rsidR="00EF1E65">
        <w:rPr>
          <w:rFonts w:ascii="Book Antiqua" w:hAnsi="Book Antiqua" w:cs="Arial"/>
        </w:rPr>
        <w:t>en visit</w:t>
      </w:r>
      <w:r w:rsidR="009B6BF5">
        <w:rPr>
          <w:rFonts w:ascii="Book Antiqua" w:hAnsi="Book Antiqua" w:cs="Arial"/>
        </w:rPr>
        <w:t>i</w:t>
      </w:r>
      <w:r w:rsidR="00EF1E65">
        <w:rPr>
          <w:rFonts w:ascii="Book Antiqua" w:hAnsi="Book Antiqua" w:cs="Arial"/>
        </w:rPr>
        <w:t>ng Iraq t</w:t>
      </w:r>
      <w:r w:rsidR="00F76356">
        <w:rPr>
          <w:rFonts w:ascii="Book Antiqua" w:hAnsi="Book Antiqua" w:cs="Arial"/>
        </w:rPr>
        <w:t xml:space="preserve">hat there were no </w:t>
      </w:r>
      <w:r w:rsidR="00EF1E65">
        <w:rPr>
          <w:rFonts w:ascii="Book Antiqua" w:hAnsi="Book Antiqua" w:cs="Arial"/>
        </w:rPr>
        <w:t xml:space="preserve"> medical facilities for him to access were unreliable as he had not made serious atte</w:t>
      </w:r>
      <w:r w:rsidR="007319C2">
        <w:rPr>
          <w:rFonts w:ascii="Book Antiqua" w:hAnsi="Book Antiqua" w:cs="Arial"/>
        </w:rPr>
        <w:t xml:space="preserve">mpts to enquire for himself; </w:t>
      </w:r>
      <w:r w:rsidR="00EF1E65">
        <w:rPr>
          <w:rFonts w:ascii="Book Antiqua" w:hAnsi="Book Antiqua" w:cs="Arial"/>
        </w:rPr>
        <w:t xml:space="preserve"> that Mr RY would be able to access financial support in Iraq at least until the appellant could find work; that the appellant</w:t>
      </w:r>
      <w:r w:rsidR="009B6BF5">
        <w:rPr>
          <w:rFonts w:ascii="Book Antiqua" w:hAnsi="Book Antiqua" w:cs="Arial"/>
        </w:rPr>
        <w:t xml:space="preserve"> </w:t>
      </w:r>
      <w:r w:rsidR="00EF1E65">
        <w:rPr>
          <w:rFonts w:ascii="Book Antiqua" w:hAnsi="Book Antiqua" w:cs="Arial"/>
        </w:rPr>
        <w:t xml:space="preserve">would be able to gain entry to the KRI and </w:t>
      </w:r>
      <w:r w:rsidR="009B6BF5">
        <w:rPr>
          <w:rFonts w:ascii="Book Antiqua" w:hAnsi="Book Antiqua" w:cs="Arial"/>
        </w:rPr>
        <w:t>also  obtain a CSID card; and th</w:t>
      </w:r>
      <w:r w:rsidR="00EF1E65">
        <w:rPr>
          <w:rFonts w:ascii="Book Antiqua" w:hAnsi="Book Antiqua" w:cs="Arial"/>
        </w:rPr>
        <w:t>at the appellant as a university graduate in agricultural engineering would be able to find work notwithstanding her own limited health problems.  At paragraphs 69-73 the judge set out h</w:t>
      </w:r>
      <w:r w:rsidR="007319C2">
        <w:rPr>
          <w:rFonts w:ascii="Book Antiqua" w:hAnsi="Book Antiqua" w:cs="Arial"/>
        </w:rPr>
        <w:t>is</w:t>
      </w:r>
      <w:r w:rsidR="00EF1E65">
        <w:rPr>
          <w:rFonts w:ascii="Book Antiqua" w:hAnsi="Book Antiqua" w:cs="Arial"/>
        </w:rPr>
        <w:t xml:space="preserve"> “conclusions” as follows</w:t>
      </w:r>
      <w:r w:rsidR="007319C2">
        <w:rPr>
          <w:rFonts w:ascii="Book Antiqua" w:hAnsi="Book Antiqua" w:cs="Arial"/>
        </w:rPr>
        <w:t xml:space="preserve"> (the reference to an unreported case will be explained later)</w:t>
      </w:r>
      <w:r w:rsidR="00EF1E65">
        <w:rPr>
          <w:rFonts w:ascii="Book Antiqua" w:hAnsi="Book Antiqua" w:cs="Arial"/>
        </w:rPr>
        <w:t>:</w:t>
      </w:r>
    </w:p>
    <w:p w14:paraId="1B539474" w14:textId="77777777" w:rsidR="00EF1E65" w:rsidRDefault="00EF1E65" w:rsidP="00BD5B26">
      <w:pPr>
        <w:tabs>
          <w:tab w:val="left" w:pos="567"/>
        </w:tabs>
        <w:ind w:left="567" w:hanging="567"/>
        <w:jc w:val="both"/>
        <w:rPr>
          <w:rFonts w:ascii="Book Antiqua" w:hAnsi="Book Antiqua" w:cs="Arial"/>
        </w:rPr>
      </w:pPr>
    </w:p>
    <w:p w14:paraId="7072E8C0" w14:textId="77777777" w:rsidR="00EF1E65" w:rsidRPr="008B5901" w:rsidRDefault="00EF1E65" w:rsidP="009B6BF5">
      <w:pPr>
        <w:ind w:left="1701" w:hanging="567"/>
        <w:jc w:val="both"/>
        <w:rPr>
          <w:rFonts w:ascii="Book Antiqua" w:hAnsi="Book Antiqua" w:cs="Arial"/>
        </w:rPr>
      </w:pPr>
      <w:r>
        <w:rPr>
          <w:rFonts w:ascii="Book Antiqua" w:hAnsi="Book Antiqua" w:cs="Arial"/>
        </w:rPr>
        <w:t>“69.</w:t>
      </w:r>
      <w:r>
        <w:rPr>
          <w:rFonts w:ascii="Book Antiqua" w:hAnsi="Book Antiqua" w:cs="Arial"/>
        </w:rPr>
        <w:tab/>
        <w:t>In terms of the Appellant’s family life in the United Kingdom with her husband and considering the Immigration Rules, I considered that the Appellant woul</w:t>
      </w:r>
      <w:r w:rsidR="009B6BF5">
        <w:rPr>
          <w:rFonts w:ascii="Book Antiqua" w:hAnsi="Book Antiqua" w:cs="Arial"/>
        </w:rPr>
        <w:t>d</w:t>
      </w:r>
      <w:r>
        <w:rPr>
          <w:rFonts w:ascii="Book Antiqua" w:hAnsi="Book Antiqua" w:cs="Arial"/>
        </w:rPr>
        <w:t xml:space="preserve"> have failed to meet the suitability </w:t>
      </w:r>
      <w:r w:rsidR="009B6BF5">
        <w:rPr>
          <w:rFonts w:ascii="Book Antiqua" w:hAnsi="Book Antiqua" w:cs="Arial"/>
        </w:rPr>
        <w:t>requirement</w:t>
      </w:r>
      <w:r>
        <w:rPr>
          <w:rFonts w:ascii="Book Antiqua" w:hAnsi="Book Antiqua" w:cs="Arial"/>
        </w:rPr>
        <w:t>s under S</w:t>
      </w:r>
      <w:r w:rsidR="00F76356">
        <w:rPr>
          <w:rFonts w:ascii="Book Antiqua" w:hAnsi="Book Antiqua" w:cs="Arial"/>
        </w:rPr>
        <w:t>ection S-ILR.1.6 as her presence</w:t>
      </w:r>
      <w:r>
        <w:rPr>
          <w:rFonts w:ascii="Book Antiqua" w:hAnsi="Book Antiqua" w:cs="Arial"/>
        </w:rPr>
        <w:t xml:space="preserve"> is not conducive to </w:t>
      </w:r>
      <w:r w:rsidR="009B6BF5">
        <w:rPr>
          <w:rFonts w:ascii="Book Antiqua" w:hAnsi="Book Antiqua" w:cs="Arial"/>
        </w:rPr>
        <w:t xml:space="preserve">the public good.  The facts of </w:t>
      </w:r>
      <w:r>
        <w:rPr>
          <w:rFonts w:ascii="Book Antiqua" w:hAnsi="Book Antiqua" w:cs="Arial"/>
        </w:rPr>
        <w:t>her case were not comparable to th</w:t>
      </w:r>
      <w:r w:rsidR="009B6BF5">
        <w:rPr>
          <w:rFonts w:ascii="Book Antiqua" w:hAnsi="Book Antiqua" w:cs="Arial"/>
        </w:rPr>
        <w:t>e</w:t>
      </w:r>
      <w:r>
        <w:rPr>
          <w:rFonts w:ascii="Book Antiqua" w:hAnsi="Book Antiqua" w:cs="Arial"/>
        </w:rPr>
        <w:t xml:space="preserve"> unreported case on which she sought to rely, where in that c</w:t>
      </w:r>
      <w:r w:rsidR="009B6BF5">
        <w:rPr>
          <w:rFonts w:ascii="Book Antiqua" w:hAnsi="Book Antiqua" w:cs="Arial"/>
        </w:rPr>
        <w:t>a</w:t>
      </w:r>
      <w:r>
        <w:rPr>
          <w:rFonts w:ascii="Book Antiqua" w:hAnsi="Book Antiqua" w:cs="Arial"/>
        </w:rPr>
        <w:t>se the party wa</w:t>
      </w:r>
      <w:r w:rsidR="009B6BF5">
        <w:rPr>
          <w:rFonts w:ascii="Book Antiqua" w:hAnsi="Book Antiqua" w:cs="Arial"/>
        </w:rPr>
        <w:t>s</w:t>
      </w:r>
      <w:r>
        <w:rPr>
          <w:rFonts w:ascii="Book Antiqua" w:hAnsi="Book Antiqua" w:cs="Arial"/>
        </w:rPr>
        <w:t xml:space="preserve"> prevailed on by her spouse; volunteered her deception, which was not in any event central to that application.  In the Appellant’s case, she pressured her brother into part</w:t>
      </w:r>
      <w:r w:rsidR="009B6BF5">
        <w:rPr>
          <w:rFonts w:ascii="Book Antiqua" w:hAnsi="Book Antiqua" w:cs="Arial"/>
        </w:rPr>
        <w:t>icipating in the deceit.  She di</w:t>
      </w:r>
      <w:r>
        <w:rPr>
          <w:rFonts w:ascii="Book Antiqua" w:hAnsi="Book Antiqua" w:cs="Arial"/>
        </w:rPr>
        <w:t xml:space="preserve">d not volunteer her </w:t>
      </w:r>
      <w:r w:rsidR="009B6BF5">
        <w:rPr>
          <w:rFonts w:ascii="Book Antiqua" w:hAnsi="Book Antiqua" w:cs="Arial"/>
        </w:rPr>
        <w:t>deception, which was only discov</w:t>
      </w:r>
      <w:r>
        <w:rPr>
          <w:rFonts w:ascii="Book Antiqua" w:hAnsi="Book Antiqua" w:cs="Arial"/>
        </w:rPr>
        <w:t xml:space="preserve">ered in the </w:t>
      </w:r>
      <w:r w:rsidR="009B6BF5">
        <w:rPr>
          <w:rFonts w:ascii="Book Antiqua" w:hAnsi="Book Antiqua" w:cs="Arial"/>
        </w:rPr>
        <w:t>most serious circumstances, wh</w:t>
      </w:r>
      <w:r>
        <w:rPr>
          <w:rFonts w:ascii="Book Antiqua" w:hAnsi="Book Antiqua" w:cs="Arial"/>
        </w:rPr>
        <w:t>en her own</w:t>
      </w:r>
      <w:r w:rsidR="009B6BF5">
        <w:rPr>
          <w:rFonts w:ascii="Book Antiqua" w:hAnsi="Book Antiqua" w:cs="Arial"/>
        </w:rPr>
        <w:t xml:space="preserve"> </w:t>
      </w:r>
      <w:r>
        <w:rPr>
          <w:rFonts w:ascii="Book Antiqua" w:hAnsi="Book Antiqua" w:cs="Arial"/>
        </w:rPr>
        <w:t>niece and nephew reported her to the police for her actions in burning them – circumstanc</w:t>
      </w:r>
      <w:r w:rsidR="009B6BF5">
        <w:rPr>
          <w:rFonts w:ascii="Book Antiqua" w:hAnsi="Book Antiqua" w:cs="Arial"/>
        </w:rPr>
        <w:t>e</w:t>
      </w:r>
      <w:r>
        <w:rPr>
          <w:rFonts w:ascii="Book Antiqua" w:hAnsi="Book Antiqua" w:cs="Arial"/>
        </w:rPr>
        <w:t xml:space="preserve">s which apparently did not result </w:t>
      </w:r>
      <w:r w:rsidR="009B6BF5">
        <w:rPr>
          <w:rFonts w:ascii="Book Antiqua" w:hAnsi="Book Antiqua" w:cs="Arial"/>
        </w:rPr>
        <w:t>in</w:t>
      </w:r>
      <w:r>
        <w:rPr>
          <w:rFonts w:ascii="Book Antiqua" w:hAnsi="Book Antiqua" w:cs="Arial"/>
        </w:rPr>
        <w:t xml:space="preserve"> her criminal prosecution because her niece and nephew were unwilling to press charges.</w:t>
      </w:r>
    </w:p>
    <w:p w14:paraId="0357F9F3" w14:textId="77777777" w:rsidR="00BD5B26" w:rsidRDefault="00BD5B26" w:rsidP="00EA5947">
      <w:pPr>
        <w:tabs>
          <w:tab w:val="left" w:pos="567"/>
        </w:tabs>
        <w:ind w:left="567" w:hanging="567"/>
        <w:jc w:val="both"/>
        <w:rPr>
          <w:rFonts w:ascii="Book Antiqua" w:hAnsi="Book Antiqua" w:cs="Arial"/>
        </w:rPr>
      </w:pPr>
    </w:p>
    <w:p w14:paraId="611C9DD7" w14:textId="77777777" w:rsidR="009B6BF5" w:rsidRDefault="009B6BF5" w:rsidP="009B6BF5">
      <w:pPr>
        <w:ind w:left="1701" w:hanging="567"/>
        <w:jc w:val="both"/>
        <w:rPr>
          <w:rFonts w:ascii="Book Antiqua" w:hAnsi="Book Antiqua" w:cs="Arial"/>
        </w:rPr>
      </w:pPr>
      <w:r>
        <w:rPr>
          <w:rFonts w:ascii="Book Antiqua" w:hAnsi="Book Antiqua" w:cs="Arial"/>
        </w:rPr>
        <w:t>70.</w:t>
      </w:r>
      <w:r>
        <w:rPr>
          <w:rFonts w:ascii="Book Antiqua" w:hAnsi="Book Antiqua" w:cs="Arial"/>
        </w:rPr>
        <w:tab/>
        <w:t xml:space="preserve">There are not insurmountable obstacles to the Appellant’s return and continuation of her relationship with her husband in Iraq and she would be able to integrate into Iraq on her return, noting the ability of her husband to travel unaided with ease; the access to financial support and friends; and the fact that she would be returning to the relative safety of her home town.  I do not find that her anxiety would prevent her from doing so, or </w:t>
      </w:r>
      <w:r w:rsidR="005426C3">
        <w:rPr>
          <w:rFonts w:ascii="Book Antiqua" w:hAnsi="Book Antiqua" w:cs="Arial"/>
        </w:rPr>
        <w:t>t</w:t>
      </w:r>
      <w:r>
        <w:rPr>
          <w:rFonts w:ascii="Book Antiqua" w:hAnsi="Book Antiqua" w:cs="Arial"/>
        </w:rPr>
        <w:t>hat she has a genuine fear of violence as a result of a family feud.</w:t>
      </w:r>
    </w:p>
    <w:p w14:paraId="21E034A6" w14:textId="77777777" w:rsidR="00193178" w:rsidRDefault="00193178" w:rsidP="009B6BF5">
      <w:pPr>
        <w:ind w:left="1701" w:hanging="567"/>
        <w:jc w:val="both"/>
        <w:rPr>
          <w:rFonts w:ascii="Book Antiqua" w:hAnsi="Book Antiqua" w:cs="Arial"/>
        </w:rPr>
      </w:pPr>
    </w:p>
    <w:p w14:paraId="31507B3A" w14:textId="1C2515F9" w:rsidR="00193178" w:rsidRDefault="00193178" w:rsidP="009B6BF5">
      <w:pPr>
        <w:ind w:left="1701" w:hanging="567"/>
        <w:jc w:val="both"/>
        <w:rPr>
          <w:rFonts w:ascii="Book Antiqua" w:hAnsi="Book Antiqua" w:cs="Arial"/>
        </w:rPr>
      </w:pPr>
      <w:r>
        <w:rPr>
          <w:rFonts w:ascii="Book Antiqua" w:hAnsi="Book Antiqua" w:cs="Arial"/>
        </w:rPr>
        <w:t>71.</w:t>
      </w:r>
      <w:r>
        <w:rPr>
          <w:rFonts w:ascii="Book Antiqua" w:hAnsi="Book Antiqua" w:cs="Arial"/>
        </w:rPr>
        <w:tab/>
        <w:t xml:space="preserve">While the Appellant has established a family life in the United Kingdom and her return would significantly interfere with that so as to engage Article 8, considering Section 117B of the 2002 Act, in assessing whether the Respondent’s decision was proportionate, little weight should be established to the Appellant’s family life when she established it by presence in the United Kingdom unlawfully and when Mr Y was aware of </w:t>
      </w:r>
      <w:r>
        <w:rPr>
          <w:rFonts w:ascii="Book Antiqua" w:hAnsi="Book Antiqua" w:cs="Arial"/>
        </w:rPr>
        <w:lastRenderedPageBreak/>
        <w:t>the deceit in question.  Her nephew is also so aware, and is, in any event, an adult with leave in his own right to remain in the United Kingdom and working.  In contrast, the Appellant is a burden on the taxpayer in the sense that she lives off her husband’s state-benefits and accommodation and has never worked, even prior to the discovery that her leave to remain was unlawfully obtained.  Weighed in favour of refusing leave to remain was the maintenance of effective immigration rules, which the Appellant had quite deliberately flouted.</w:t>
      </w:r>
    </w:p>
    <w:p w14:paraId="77943F60" w14:textId="77777777" w:rsidR="00193178" w:rsidRDefault="00193178" w:rsidP="009B6BF5">
      <w:pPr>
        <w:ind w:left="1701" w:hanging="567"/>
        <w:jc w:val="both"/>
        <w:rPr>
          <w:rFonts w:ascii="Book Antiqua" w:hAnsi="Book Antiqua" w:cs="Arial"/>
        </w:rPr>
      </w:pPr>
    </w:p>
    <w:p w14:paraId="0D5047E1" w14:textId="77777777" w:rsidR="00193178" w:rsidRDefault="00193178" w:rsidP="009B6BF5">
      <w:pPr>
        <w:ind w:left="1701" w:hanging="567"/>
        <w:jc w:val="both"/>
        <w:rPr>
          <w:rFonts w:ascii="Book Antiqua" w:hAnsi="Book Antiqua" w:cs="Arial"/>
        </w:rPr>
      </w:pPr>
      <w:r>
        <w:rPr>
          <w:rFonts w:ascii="Book Antiqua" w:hAnsi="Book Antiqua" w:cs="Arial"/>
        </w:rPr>
        <w:t>72.</w:t>
      </w:r>
      <w:r>
        <w:rPr>
          <w:rFonts w:ascii="Book Antiqua" w:hAnsi="Book Antiqua" w:cs="Arial"/>
        </w:rPr>
        <w:tab/>
        <w:t>With regard to the Appellant’s mental health in the context of her private life, once again that private life was developed when her immigration status was precarious for the purposes of Section 117</w:t>
      </w:r>
      <w:proofErr w:type="gramStart"/>
      <w:r>
        <w:rPr>
          <w:rFonts w:ascii="Book Antiqua" w:hAnsi="Book Antiqua" w:cs="Arial"/>
        </w:rPr>
        <w:t>B(</w:t>
      </w:r>
      <w:proofErr w:type="gramEnd"/>
      <w:r>
        <w:rPr>
          <w:rFonts w:ascii="Book Antiqua" w:hAnsi="Book Antiqua" w:cs="Arial"/>
        </w:rPr>
        <w:t>5) of the 2002 Act.  I also considered that her condition was related to the current uncertainty, which would soon be resolved and that the medical intervention to date with regard to the Appellant was relatively limited.</w:t>
      </w:r>
    </w:p>
    <w:p w14:paraId="5BE23BE8" w14:textId="77777777" w:rsidR="00887A8B" w:rsidRDefault="00887A8B" w:rsidP="009B6BF5">
      <w:pPr>
        <w:ind w:left="1701" w:hanging="567"/>
        <w:jc w:val="both"/>
        <w:rPr>
          <w:rFonts w:ascii="Book Antiqua" w:hAnsi="Book Antiqua" w:cs="Arial"/>
        </w:rPr>
      </w:pPr>
    </w:p>
    <w:p w14:paraId="112123D4" w14:textId="77777777" w:rsidR="00887A8B" w:rsidRPr="008B5901" w:rsidRDefault="00887A8B" w:rsidP="009B6BF5">
      <w:pPr>
        <w:ind w:left="1701" w:hanging="567"/>
        <w:jc w:val="both"/>
        <w:rPr>
          <w:rFonts w:ascii="Book Antiqua" w:hAnsi="Book Antiqua" w:cs="Arial"/>
        </w:rPr>
      </w:pPr>
      <w:r>
        <w:rPr>
          <w:rFonts w:ascii="Book Antiqua" w:hAnsi="Book Antiqua" w:cs="Arial"/>
        </w:rPr>
        <w:t>73.</w:t>
      </w:r>
      <w:r>
        <w:rPr>
          <w:rFonts w:ascii="Book Antiqua" w:hAnsi="Book Antiqua" w:cs="Arial"/>
        </w:rPr>
        <w:tab/>
        <w:t>I concluded that the Respondent’s decision to refuse leave to remain was proportionate both in respect of the Appellant’s family and private life.”</w:t>
      </w:r>
    </w:p>
    <w:p w14:paraId="3F6828C0" w14:textId="77777777" w:rsidR="00EA5947" w:rsidRDefault="00EA5947" w:rsidP="006970BA">
      <w:pPr>
        <w:tabs>
          <w:tab w:val="left" w:pos="567"/>
        </w:tabs>
        <w:ind w:left="567" w:hanging="567"/>
        <w:jc w:val="both"/>
        <w:rPr>
          <w:rFonts w:ascii="Book Antiqua" w:hAnsi="Book Antiqua" w:cs="Arial"/>
        </w:rPr>
      </w:pPr>
    </w:p>
    <w:p w14:paraId="31FAE952" w14:textId="26417F2B" w:rsidR="007319C2" w:rsidRDefault="00C26C8F" w:rsidP="001E3521">
      <w:pPr>
        <w:tabs>
          <w:tab w:val="left" w:pos="567"/>
        </w:tabs>
        <w:ind w:left="567" w:hanging="567"/>
        <w:jc w:val="both"/>
        <w:rPr>
          <w:rFonts w:ascii="Book Antiqua" w:hAnsi="Book Antiqua" w:cs="Arial"/>
        </w:rPr>
      </w:pPr>
      <w:r>
        <w:rPr>
          <w:rFonts w:ascii="Book Antiqua" w:hAnsi="Book Antiqua" w:cs="Arial"/>
        </w:rPr>
        <w:t>5</w:t>
      </w:r>
      <w:r w:rsidR="00152597" w:rsidRPr="008B5901">
        <w:rPr>
          <w:rFonts w:ascii="Book Antiqua" w:hAnsi="Book Antiqua" w:cs="Arial"/>
        </w:rPr>
        <w:t>.</w:t>
      </w:r>
      <w:r w:rsidR="00152597" w:rsidRPr="008B5901">
        <w:rPr>
          <w:rFonts w:ascii="Book Antiqua" w:hAnsi="Book Antiqua" w:cs="Arial"/>
        </w:rPr>
        <w:tab/>
      </w:r>
      <w:r w:rsidR="00152597">
        <w:rPr>
          <w:rFonts w:ascii="Book Antiqua" w:hAnsi="Book Antiqua" w:cs="Arial"/>
        </w:rPr>
        <w:t>The appellant’s grounds of appeal targe</w:t>
      </w:r>
      <w:r w:rsidR="00353351">
        <w:rPr>
          <w:rFonts w:ascii="Book Antiqua" w:hAnsi="Book Antiqua" w:cs="Arial"/>
        </w:rPr>
        <w:t>te</w:t>
      </w:r>
      <w:r w:rsidR="00152597">
        <w:rPr>
          <w:rFonts w:ascii="Book Antiqua" w:hAnsi="Book Antiqua" w:cs="Arial"/>
        </w:rPr>
        <w:t xml:space="preserve">d two main aspects of the judge’s approach.  The first concerned </w:t>
      </w:r>
      <w:r w:rsidR="00640993">
        <w:rPr>
          <w:rFonts w:ascii="Book Antiqua" w:hAnsi="Book Antiqua" w:cs="Arial"/>
        </w:rPr>
        <w:t>h</w:t>
      </w:r>
      <w:r w:rsidR="00152597">
        <w:rPr>
          <w:rFonts w:ascii="Book Antiqua" w:hAnsi="Book Antiqua" w:cs="Arial"/>
        </w:rPr>
        <w:t>is approach to the suitability requir</w:t>
      </w:r>
      <w:r w:rsidR="00792144">
        <w:rPr>
          <w:rFonts w:ascii="Book Antiqua" w:hAnsi="Book Antiqua" w:cs="Arial"/>
        </w:rPr>
        <w:t xml:space="preserve">ements which was said to be contrary </w:t>
      </w:r>
      <w:r w:rsidR="00152597">
        <w:rPr>
          <w:rFonts w:ascii="Book Antiqua" w:hAnsi="Book Antiqua" w:cs="Arial"/>
        </w:rPr>
        <w:t xml:space="preserve">to the respondent’s policy entitled “Appendix FM 1.0 Family Life (as a Partner or Parent) </w:t>
      </w:r>
      <w:proofErr w:type="gramStart"/>
      <w:r w:rsidR="00152597">
        <w:rPr>
          <w:rFonts w:ascii="Book Antiqua" w:hAnsi="Book Antiqua" w:cs="Arial"/>
        </w:rPr>
        <w:t>5 year</w:t>
      </w:r>
      <w:proofErr w:type="gramEnd"/>
      <w:r w:rsidR="00152597">
        <w:rPr>
          <w:rFonts w:ascii="Book Antiqua" w:hAnsi="Book Antiqua" w:cs="Arial"/>
        </w:rPr>
        <w:t xml:space="preserve"> routes</w:t>
      </w:r>
      <w:r w:rsidR="0085473A">
        <w:rPr>
          <w:rFonts w:ascii="Book Antiqua" w:hAnsi="Book Antiqua" w:cs="Arial"/>
        </w:rPr>
        <w:t>”,</w:t>
      </w:r>
      <w:r w:rsidR="00152597">
        <w:rPr>
          <w:rFonts w:ascii="Book Antiqua" w:hAnsi="Book Antiqua" w:cs="Arial"/>
        </w:rPr>
        <w:t xml:space="preserve"> August 2017 whic</w:t>
      </w:r>
      <w:r w:rsidR="00054D2C">
        <w:rPr>
          <w:rFonts w:ascii="Book Antiqua" w:hAnsi="Book Antiqua" w:cs="Arial"/>
        </w:rPr>
        <w:t>h stated, inter alia, that “[</w:t>
      </w:r>
      <w:proofErr w:type="spellStart"/>
      <w:r w:rsidR="00054D2C">
        <w:rPr>
          <w:rFonts w:ascii="Book Antiqua" w:hAnsi="Book Antiqua" w:cs="Arial"/>
        </w:rPr>
        <w:t>i</w:t>
      </w:r>
      <w:proofErr w:type="spellEnd"/>
      <w:r w:rsidR="00054D2C">
        <w:rPr>
          <w:rFonts w:ascii="Book Antiqua" w:hAnsi="Book Antiqua" w:cs="Arial"/>
        </w:rPr>
        <w:t>]</w:t>
      </w:r>
      <w:r w:rsidR="00152597">
        <w:rPr>
          <w:rFonts w:ascii="Book Antiqua" w:hAnsi="Book Antiqua" w:cs="Arial"/>
        </w:rPr>
        <w:t xml:space="preserve">t is possible for an applicant </w:t>
      </w:r>
      <w:r w:rsidR="00353351">
        <w:rPr>
          <w:rFonts w:ascii="Book Antiqua" w:hAnsi="Book Antiqua" w:cs="Arial"/>
        </w:rPr>
        <w:t>to meet the suitability requirement</w:t>
      </w:r>
      <w:r w:rsidR="00152597">
        <w:rPr>
          <w:rFonts w:ascii="Book Antiqua" w:hAnsi="Book Antiqua" w:cs="Arial"/>
        </w:rPr>
        <w:t>s even wher</w:t>
      </w:r>
      <w:r w:rsidR="00353351">
        <w:rPr>
          <w:rFonts w:ascii="Book Antiqua" w:hAnsi="Book Antiqua" w:cs="Arial"/>
        </w:rPr>
        <w:t>e there is</w:t>
      </w:r>
      <w:r w:rsidR="008346A5">
        <w:rPr>
          <w:rFonts w:ascii="Book Antiqua" w:hAnsi="Book Antiqua" w:cs="Arial"/>
        </w:rPr>
        <w:t xml:space="preserve"> some criminality</w:t>
      </w:r>
      <w:r w:rsidR="007319C2">
        <w:rPr>
          <w:rFonts w:ascii="Book Antiqua" w:hAnsi="Book Antiqua" w:cs="Arial"/>
        </w:rPr>
        <w:t>”</w:t>
      </w:r>
      <w:r w:rsidR="008346A5">
        <w:rPr>
          <w:rFonts w:ascii="Book Antiqua" w:hAnsi="Book Antiqua" w:cs="Arial"/>
        </w:rPr>
        <w:t xml:space="preserve"> and also contrary</w:t>
      </w:r>
      <w:r w:rsidR="00152597">
        <w:rPr>
          <w:rFonts w:ascii="Book Antiqua" w:hAnsi="Book Antiqua" w:cs="Arial"/>
        </w:rPr>
        <w:t xml:space="preserve"> to the evaluation made by UTJ Bruce in an unreported case </w:t>
      </w:r>
      <w:proofErr w:type="spellStart"/>
      <w:r w:rsidR="00152597" w:rsidRPr="008346A5">
        <w:rPr>
          <w:rFonts w:ascii="Book Antiqua" w:hAnsi="Book Antiqua" w:cs="Arial"/>
          <w:b/>
          <w:u w:val="single"/>
        </w:rPr>
        <w:t>Hafiza</w:t>
      </w:r>
      <w:proofErr w:type="spellEnd"/>
      <w:r w:rsidR="00152597" w:rsidRPr="008346A5">
        <w:rPr>
          <w:rFonts w:ascii="Book Antiqua" w:hAnsi="Book Antiqua" w:cs="Arial"/>
          <w:b/>
          <w:u w:val="single"/>
        </w:rPr>
        <w:t xml:space="preserve"> Bibi v ECO</w:t>
      </w:r>
      <w:r w:rsidR="00152597">
        <w:rPr>
          <w:rFonts w:ascii="Book Antiqua" w:hAnsi="Book Antiqua" w:cs="Arial"/>
        </w:rPr>
        <w:t xml:space="preserve"> OA/15109/2013.  Having</w:t>
      </w:r>
      <w:r w:rsidR="00353351">
        <w:rPr>
          <w:rFonts w:ascii="Book Antiqua" w:hAnsi="Book Antiqua" w:cs="Arial"/>
        </w:rPr>
        <w:t xml:space="preserve"> referred to the responden</w:t>
      </w:r>
      <w:r w:rsidR="00B30250">
        <w:rPr>
          <w:rFonts w:ascii="Book Antiqua" w:hAnsi="Book Antiqua" w:cs="Arial"/>
        </w:rPr>
        <w:t>t’s guidance entitled “General grounds of r</w:t>
      </w:r>
      <w:r w:rsidR="00257787">
        <w:rPr>
          <w:rFonts w:ascii="Book Antiqua" w:hAnsi="Book Antiqua" w:cs="Arial"/>
        </w:rPr>
        <w:t>efusal of c</w:t>
      </w:r>
      <w:r w:rsidR="00353351">
        <w:rPr>
          <w:rFonts w:ascii="Book Antiqua" w:hAnsi="Book Antiqua" w:cs="Arial"/>
        </w:rPr>
        <w:t>hecks (which gives a number of examples of conduct not co</w:t>
      </w:r>
      <w:r w:rsidR="00696873">
        <w:rPr>
          <w:rFonts w:ascii="Book Antiqua" w:hAnsi="Book Antiqua" w:cs="Arial"/>
        </w:rPr>
        <w:t xml:space="preserve">nducive to the public good) </w:t>
      </w:r>
      <w:r w:rsidR="00353351">
        <w:rPr>
          <w:rFonts w:ascii="Book Antiqua" w:hAnsi="Book Antiqua" w:cs="Arial"/>
        </w:rPr>
        <w:t xml:space="preserve">UTJ Bruce stated at paragraph 28 </w:t>
      </w:r>
      <w:r w:rsidR="007319C2">
        <w:rPr>
          <w:rFonts w:ascii="Book Antiqua" w:hAnsi="Book Antiqua" w:cs="Arial"/>
        </w:rPr>
        <w:t xml:space="preserve">of this case </w:t>
      </w:r>
      <w:r w:rsidR="00353351">
        <w:rPr>
          <w:rFonts w:ascii="Book Antiqua" w:hAnsi="Book Antiqua" w:cs="Arial"/>
        </w:rPr>
        <w:t>that</w:t>
      </w:r>
      <w:r w:rsidR="007319C2">
        <w:rPr>
          <w:rFonts w:ascii="Book Antiqua" w:hAnsi="Book Antiqua" w:cs="Arial"/>
        </w:rPr>
        <w:t>:</w:t>
      </w:r>
    </w:p>
    <w:p w14:paraId="7F56B2FD" w14:textId="77777777" w:rsidR="007319C2" w:rsidRDefault="007319C2" w:rsidP="007319C2">
      <w:pPr>
        <w:tabs>
          <w:tab w:val="left" w:pos="567"/>
        </w:tabs>
        <w:ind w:left="1134" w:hanging="567"/>
        <w:jc w:val="both"/>
        <w:rPr>
          <w:rFonts w:ascii="Book Antiqua" w:hAnsi="Book Antiqua" w:cs="Arial"/>
        </w:rPr>
      </w:pPr>
    </w:p>
    <w:p w14:paraId="2854F76E" w14:textId="39B856A3" w:rsidR="007319C2" w:rsidRDefault="007319C2" w:rsidP="0085473A">
      <w:pPr>
        <w:tabs>
          <w:tab w:val="left" w:pos="567"/>
        </w:tabs>
        <w:ind w:left="1134"/>
        <w:jc w:val="both"/>
        <w:rPr>
          <w:rFonts w:ascii="Book Antiqua" w:hAnsi="Book Antiqua" w:cs="Arial"/>
        </w:rPr>
      </w:pPr>
      <w:r>
        <w:rPr>
          <w:rFonts w:ascii="Book Antiqua" w:hAnsi="Book Antiqua" w:cs="Arial"/>
        </w:rPr>
        <w:t xml:space="preserve"> </w:t>
      </w:r>
      <w:r w:rsidR="00353351">
        <w:rPr>
          <w:rFonts w:ascii="Book Antiqua" w:hAnsi="Book Antiqua" w:cs="Arial"/>
        </w:rPr>
        <w:t xml:space="preserve"> “this admittedly non-exhaustive list of examples does not include a previous reliance on a false document and that the ki</w:t>
      </w:r>
      <w:r w:rsidR="00E93338">
        <w:rPr>
          <w:rFonts w:ascii="Book Antiqua" w:hAnsi="Book Antiqua" w:cs="Arial"/>
        </w:rPr>
        <w:t>nd of conduct required to proper</w:t>
      </w:r>
      <w:r w:rsidR="00353351">
        <w:rPr>
          <w:rFonts w:ascii="Book Antiqua" w:hAnsi="Book Antiqua" w:cs="Arial"/>
        </w:rPr>
        <w:t xml:space="preserve">ly invoke the provision appears to be at the extreme end of the spectrum of misconduct”  </w:t>
      </w:r>
    </w:p>
    <w:p w14:paraId="7BE74CA2" w14:textId="77777777" w:rsidR="007319C2" w:rsidRDefault="007319C2" w:rsidP="001E3521">
      <w:pPr>
        <w:tabs>
          <w:tab w:val="left" w:pos="567"/>
        </w:tabs>
        <w:ind w:left="567" w:hanging="567"/>
        <w:jc w:val="both"/>
        <w:rPr>
          <w:rFonts w:ascii="Book Antiqua" w:hAnsi="Book Antiqua" w:cs="Arial"/>
        </w:rPr>
      </w:pPr>
    </w:p>
    <w:p w14:paraId="19F01216" w14:textId="2B6A8508" w:rsidR="00152597" w:rsidRDefault="0085473A" w:rsidP="007319C2">
      <w:pPr>
        <w:tabs>
          <w:tab w:val="left" w:pos="567"/>
        </w:tabs>
        <w:ind w:left="567" w:hanging="567"/>
        <w:jc w:val="both"/>
        <w:rPr>
          <w:rFonts w:ascii="Book Antiqua" w:hAnsi="Book Antiqua" w:cs="Arial"/>
        </w:rPr>
      </w:pPr>
      <w:r>
        <w:rPr>
          <w:rFonts w:ascii="Book Antiqua" w:hAnsi="Book Antiqua" w:cs="Arial"/>
        </w:rPr>
        <w:t xml:space="preserve">       </w:t>
      </w:r>
      <w:r w:rsidR="007319C2">
        <w:rPr>
          <w:rFonts w:ascii="Book Antiqua" w:hAnsi="Book Antiqua" w:cs="Arial"/>
        </w:rPr>
        <w:t xml:space="preserve">  </w:t>
      </w:r>
      <w:r w:rsidR="00B57B16">
        <w:rPr>
          <w:rFonts w:ascii="Book Antiqua" w:hAnsi="Book Antiqua" w:cs="Arial"/>
        </w:rPr>
        <w:t>and added that Section 2 of 5 (headed “Considering Entry Clearance”) categorises false representati</w:t>
      </w:r>
      <w:r>
        <w:rPr>
          <w:rFonts w:ascii="Book Antiqua" w:hAnsi="Book Antiqua" w:cs="Arial"/>
        </w:rPr>
        <w:t>ons within the category of</w:t>
      </w:r>
      <w:r w:rsidR="00B57B16">
        <w:rPr>
          <w:rFonts w:ascii="Book Antiqua" w:hAnsi="Book Antiqua" w:cs="Arial"/>
        </w:rPr>
        <w:t xml:space="preserve"> “adverse behaviour” (defined as using deception, false representation, fraud, forgery, non-disclosure of material facts or failure to cooperate) </w:t>
      </w:r>
      <w:r>
        <w:rPr>
          <w:rFonts w:ascii="Book Antiqua" w:hAnsi="Book Antiqua" w:cs="Arial"/>
        </w:rPr>
        <w:t xml:space="preserve">and demarcating that from the category </w:t>
      </w:r>
      <w:proofErr w:type="gramStart"/>
      <w:r>
        <w:rPr>
          <w:rFonts w:ascii="Book Antiqua" w:hAnsi="Book Antiqua" w:cs="Arial"/>
        </w:rPr>
        <w:t xml:space="preserve">of </w:t>
      </w:r>
      <w:r w:rsidR="00B57B16">
        <w:rPr>
          <w:rFonts w:ascii="Book Antiqua" w:hAnsi="Book Antiqua" w:cs="Arial"/>
        </w:rPr>
        <w:t xml:space="preserve"> “</w:t>
      </w:r>
      <w:proofErr w:type="gramEnd"/>
      <w:r w:rsidR="00B57B16">
        <w:rPr>
          <w:rFonts w:ascii="Book Antiqua" w:hAnsi="Book Antiqua" w:cs="Arial"/>
        </w:rPr>
        <w:t xml:space="preserve">non-conducive behaviour” which covers matters such as national security.  </w:t>
      </w:r>
      <w:r w:rsidR="00353351">
        <w:rPr>
          <w:rFonts w:ascii="Book Antiqua" w:hAnsi="Book Antiqua" w:cs="Arial"/>
        </w:rPr>
        <w:t>This ground also complains that the judge failed to take account of the appellant’s evidence as regards her motive for enter</w:t>
      </w:r>
      <w:r w:rsidR="00032C32">
        <w:rPr>
          <w:rFonts w:ascii="Book Antiqua" w:hAnsi="Book Antiqua" w:cs="Arial"/>
        </w:rPr>
        <w:t xml:space="preserve">ing the UK on a false basis, namely </w:t>
      </w:r>
      <w:r w:rsidR="00353351">
        <w:rPr>
          <w:rFonts w:ascii="Book Antiqua" w:hAnsi="Book Antiqua" w:cs="Arial"/>
        </w:rPr>
        <w:t>that “she was caring for her niece and nephew in extremely dif</w:t>
      </w:r>
      <w:r w:rsidR="00C74E89">
        <w:rPr>
          <w:rFonts w:ascii="Book Antiqua" w:hAnsi="Book Antiqua" w:cs="Arial"/>
        </w:rPr>
        <w:t xml:space="preserve">ficult circumstances in Iran </w:t>
      </w:r>
      <w:r w:rsidR="00353351">
        <w:rPr>
          <w:rFonts w:ascii="Book Antiqua" w:hAnsi="Book Antiqua" w:cs="Arial"/>
        </w:rPr>
        <w:t>and wanted to bring them to safety.”</w:t>
      </w:r>
    </w:p>
    <w:p w14:paraId="29F2A2A5" w14:textId="77777777" w:rsidR="00353351" w:rsidRDefault="00353351" w:rsidP="00152597">
      <w:pPr>
        <w:tabs>
          <w:tab w:val="left" w:pos="567"/>
        </w:tabs>
        <w:ind w:left="567" w:hanging="567"/>
        <w:jc w:val="both"/>
        <w:rPr>
          <w:rFonts w:ascii="Book Antiqua" w:hAnsi="Book Antiqua" w:cs="Arial"/>
        </w:rPr>
      </w:pPr>
    </w:p>
    <w:p w14:paraId="5C5666D0" w14:textId="757041F8" w:rsidR="00353351" w:rsidRPr="008B5901" w:rsidRDefault="00C26C8F" w:rsidP="00353351">
      <w:pPr>
        <w:tabs>
          <w:tab w:val="left" w:pos="567"/>
        </w:tabs>
        <w:ind w:left="567" w:hanging="567"/>
        <w:jc w:val="both"/>
        <w:rPr>
          <w:rFonts w:ascii="Book Antiqua" w:hAnsi="Book Antiqua" w:cs="Arial"/>
        </w:rPr>
      </w:pPr>
      <w:r>
        <w:rPr>
          <w:rFonts w:ascii="Book Antiqua" w:hAnsi="Book Antiqua" w:cs="Arial"/>
        </w:rPr>
        <w:t>6</w:t>
      </w:r>
      <w:r w:rsidR="00353351" w:rsidRPr="008B5901">
        <w:rPr>
          <w:rFonts w:ascii="Book Antiqua" w:hAnsi="Book Antiqua" w:cs="Arial"/>
        </w:rPr>
        <w:t>.</w:t>
      </w:r>
      <w:r w:rsidR="00353351" w:rsidRPr="008B5901">
        <w:rPr>
          <w:rFonts w:ascii="Book Antiqua" w:hAnsi="Book Antiqua" w:cs="Arial"/>
        </w:rPr>
        <w:tab/>
      </w:r>
      <w:r w:rsidR="00353351">
        <w:rPr>
          <w:rFonts w:ascii="Book Antiqua" w:hAnsi="Book Antiqua" w:cs="Arial"/>
        </w:rPr>
        <w:t>T</w:t>
      </w:r>
      <w:r w:rsidR="00347EA0">
        <w:rPr>
          <w:rFonts w:ascii="Book Antiqua" w:hAnsi="Book Antiqua" w:cs="Arial"/>
        </w:rPr>
        <w:t>he second main target of the gro</w:t>
      </w:r>
      <w:r w:rsidR="00353351">
        <w:rPr>
          <w:rFonts w:ascii="Book Antiqua" w:hAnsi="Book Antiqua" w:cs="Arial"/>
        </w:rPr>
        <w:t xml:space="preserve">unds was the judge’s treatment of paragraph 276ADE of the Rules which was said to be flawed because it failed to take into account </w:t>
      </w:r>
      <w:r w:rsidR="00353351">
        <w:rPr>
          <w:rFonts w:ascii="Book Antiqua" w:hAnsi="Book Antiqua" w:cs="Arial"/>
        </w:rPr>
        <w:lastRenderedPageBreak/>
        <w:t>the country expert report of Professor Joffe and the coun</w:t>
      </w:r>
      <w:r w:rsidR="009D341E">
        <w:rPr>
          <w:rFonts w:ascii="Book Antiqua" w:hAnsi="Book Antiqua" w:cs="Arial"/>
        </w:rPr>
        <w:t>t</w:t>
      </w:r>
      <w:r w:rsidR="00353351">
        <w:rPr>
          <w:rFonts w:ascii="Book Antiqua" w:hAnsi="Book Antiqua" w:cs="Arial"/>
        </w:rPr>
        <w:t xml:space="preserve">ry evidence before it regarding the very difficult socio-economic and humanitarian situation in Iraq.  In his report </w:t>
      </w:r>
      <w:r w:rsidR="007319C2">
        <w:rPr>
          <w:rFonts w:ascii="Book Antiqua" w:hAnsi="Book Antiqua" w:cs="Arial"/>
        </w:rPr>
        <w:t>Professor Joffe stated</w:t>
      </w:r>
      <w:r w:rsidR="00C46021">
        <w:rPr>
          <w:rFonts w:ascii="Book Antiqua" w:hAnsi="Book Antiqua" w:cs="Arial"/>
        </w:rPr>
        <w:t xml:space="preserve"> that a K</w:t>
      </w:r>
      <w:r w:rsidR="00353351">
        <w:rPr>
          <w:rFonts w:ascii="Book Antiqua" w:hAnsi="Book Antiqua" w:cs="Arial"/>
        </w:rPr>
        <w:t xml:space="preserve">urd from the KAR can only return there if he or she </w:t>
      </w:r>
      <w:r w:rsidR="007319C2">
        <w:rPr>
          <w:rFonts w:ascii="Book Antiqua" w:hAnsi="Book Antiqua" w:cs="Arial"/>
        </w:rPr>
        <w:t>is “</w:t>
      </w:r>
      <w:r w:rsidR="00353351">
        <w:rPr>
          <w:rFonts w:ascii="Book Antiqua" w:hAnsi="Book Antiqua" w:cs="Arial"/>
        </w:rPr>
        <w:t>pre-cleared</w:t>
      </w:r>
      <w:r w:rsidR="007319C2">
        <w:rPr>
          <w:rFonts w:ascii="Book Antiqua" w:hAnsi="Book Antiqua" w:cs="Arial"/>
        </w:rPr>
        <w:t>”</w:t>
      </w:r>
      <w:r w:rsidR="00353351">
        <w:rPr>
          <w:rFonts w:ascii="Book Antiqua" w:hAnsi="Book Antiqua" w:cs="Arial"/>
        </w:rPr>
        <w:t xml:space="preserve"> which requires the Kurdish authorit</w:t>
      </w:r>
      <w:r w:rsidR="00C46021">
        <w:rPr>
          <w:rFonts w:ascii="Book Antiqua" w:hAnsi="Book Antiqua" w:cs="Arial"/>
        </w:rPr>
        <w:t>i</w:t>
      </w:r>
      <w:r w:rsidR="00353351">
        <w:rPr>
          <w:rFonts w:ascii="Book Antiqua" w:hAnsi="Book Antiqua" w:cs="Arial"/>
        </w:rPr>
        <w:t>es being sat</w:t>
      </w:r>
      <w:r w:rsidR="00E3588C">
        <w:rPr>
          <w:rFonts w:ascii="Book Antiqua" w:hAnsi="Book Antiqua" w:cs="Arial"/>
        </w:rPr>
        <w:t>isfied that the persons concerned</w:t>
      </w:r>
      <w:r w:rsidR="00353351">
        <w:rPr>
          <w:rFonts w:ascii="Book Antiqua" w:hAnsi="Book Antiqua" w:cs="Arial"/>
        </w:rPr>
        <w:t xml:space="preserve"> were </w:t>
      </w:r>
      <w:r w:rsidR="00C46021">
        <w:rPr>
          <w:rFonts w:ascii="Book Antiqua" w:hAnsi="Book Antiqua" w:cs="Arial"/>
        </w:rPr>
        <w:t xml:space="preserve">(a) </w:t>
      </w:r>
      <w:r w:rsidR="00353351">
        <w:rPr>
          <w:rFonts w:ascii="Book Antiqua" w:hAnsi="Book Antiqua" w:cs="Arial"/>
        </w:rPr>
        <w:t>Kurdish and</w:t>
      </w:r>
      <w:r w:rsidR="00C46021">
        <w:rPr>
          <w:rFonts w:ascii="Book Antiqua" w:hAnsi="Book Antiqua" w:cs="Arial"/>
        </w:rPr>
        <w:t xml:space="preserve"> (b) had previously been resident in the KAR “al</w:t>
      </w:r>
      <w:r w:rsidR="00901B48">
        <w:rPr>
          <w:rFonts w:ascii="Book Antiqua" w:hAnsi="Book Antiqua" w:cs="Arial"/>
        </w:rPr>
        <w:t>though it is by no means clear w</w:t>
      </w:r>
      <w:r w:rsidR="00C46021">
        <w:rPr>
          <w:rFonts w:ascii="Book Antiqua" w:hAnsi="Book Antiqua" w:cs="Arial"/>
        </w:rPr>
        <w:t>hat this process actually involves”.  Since the appellant said she had no Iraqi documentation</w:t>
      </w:r>
      <w:r w:rsidR="0085473A">
        <w:rPr>
          <w:rFonts w:ascii="Book Antiqua" w:hAnsi="Book Antiqua" w:cs="Arial"/>
        </w:rPr>
        <w:t>,</w:t>
      </w:r>
      <w:r w:rsidR="00C46021">
        <w:rPr>
          <w:rFonts w:ascii="Book Antiqua" w:hAnsi="Book Antiqua" w:cs="Arial"/>
        </w:rPr>
        <w:t xml:space="preserve"> </w:t>
      </w:r>
      <w:r w:rsidR="007319C2">
        <w:rPr>
          <w:rFonts w:ascii="Book Antiqua" w:hAnsi="Book Antiqua" w:cs="Arial"/>
        </w:rPr>
        <w:t xml:space="preserve">the grounds stated that </w:t>
      </w:r>
      <w:r w:rsidR="00C46021">
        <w:rPr>
          <w:rFonts w:ascii="Book Antiqua" w:hAnsi="Book Antiqua" w:cs="Arial"/>
        </w:rPr>
        <w:t xml:space="preserve">the </w:t>
      </w:r>
      <w:proofErr w:type="spellStart"/>
      <w:r w:rsidR="00C46021">
        <w:rPr>
          <w:rFonts w:ascii="Book Antiqua" w:hAnsi="Book Antiqua" w:cs="Arial"/>
        </w:rPr>
        <w:t>FtT</w:t>
      </w:r>
      <w:proofErr w:type="spellEnd"/>
      <w:r w:rsidR="00C46021">
        <w:rPr>
          <w:rFonts w:ascii="Book Antiqua" w:hAnsi="Book Antiqua" w:cs="Arial"/>
        </w:rPr>
        <w:t xml:space="preserve"> should have considered w</w:t>
      </w:r>
      <w:r w:rsidR="0085473A">
        <w:rPr>
          <w:rFonts w:ascii="Book Antiqua" w:hAnsi="Book Antiqua" w:cs="Arial"/>
        </w:rPr>
        <w:t>hether this lack would pose</w:t>
      </w:r>
      <w:r w:rsidR="00C46021">
        <w:rPr>
          <w:rFonts w:ascii="Book Antiqua" w:hAnsi="Book Antiqua" w:cs="Arial"/>
        </w:rPr>
        <w:t xml:space="preserve"> “very significant obstacles to her integration back into Iraq.”</w:t>
      </w:r>
      <w:r w:rsidR="00353351">
        <w:rPr>
          <w:rFonts w:ascii="Book Antiqua" w:hAnsi="Book Antiqua" w:cs="Arial"/>
        </w:rPr>
        <w:t xml:space="preserve"> </w:t>
      </w:r>
    </w:p>
    <w:p w14:paraId="79B30F5A" w14:textId="77777777" w:rsidR="00353351" w:rsidRPr="008B5901" w:rsidRDefault="00353351" w:rsidP="00152597">
      <w:pPr>
        <w:tabs>
          <w:tab w:val="left" w:pos="567"/>
        </w:tabs>
        <w:ind w:left="567" w:hanging="567"/>
        <w:jc w:val="both"/>
        <w:rPr>
          <w:rFonts w:ascii="Book Antiqua" w:hAnsi="Book Antiqua" w:cs="Arial"/>
        </w:rPr>
      </w:pPr>
    </w:p>
    <w:p w14:paraId="6560EF12" w14:textId="0976CD47" w:rsidR="00C46021" w:rsidRDefault="00C26C8F" w:rsidP="00C46021">
      <w:pPr>
        <w:tabs>
          <w:tab w:val="left" w:pos="567"/>
        </w:tabs>
        <w:ind w:left="567" w:hanging="567"/>
        <w:jc w:val="both"/>
        <w:rPr>
          <w:rFonts w:ascii="Book Antiqua" w:hAnsi="Book Antiqua" w:cs="Arial"/>
        </w:rPr>
      </w:pPr>
      <w:r>
        <w:rPr>
          <w:rFonts w:ascii="Book Antiqua" w:hAnsi="Book Antiqua" w:cs="Arial"/>
        </w:rPr>
        <w:t>7</w:t>
      </w:r>
      <w:r w:rsidR="00C46021" w:rsidRPr="008B5901">
        <w:rPr>
          <w:rFonts w:ascii="Book Antiqua" w:hAnsi="Book Antiqua" w:cs="Arial"/>
        </w:rPr>
        <w:t>.</w:t>
      </w:r>
      <w:r w:rsidR="00C46021" w:rsidRPr="008B5901">
        <w:rPr>
          <w:rFonts w:ascii="Book Antiqua" w:hAnsi="Book Antiqua" w:cs="Arial"/>
        </w:rPr>
        <w:tab/>
      </w:r>
      <w:r w:rsidR="00C46021">
        <w:rPr>
          <w:rFonts w:ascii="Book Antiqua" w:hAnsi="Book Antiqua" w:cs="Arial"/>
        </w:rPr>
        <w:t>In the context of the test laid down in paragraph 276ADE of “very significant obstacles”</w:t>
      </w:r>
      <w:r w:rsidR="0085473A">
        <w:rPr>
          <w:rFonts w:ascii="Book Antiqua" w:hAnsi="Book Antiqua" w:cs="Arial"/>
        </w:rPr>
        <w:t>,</w:t>
      </w:r>
      <w:r w:rsidR="00C46021">
        <w:rPr>
          <w:rFonts w:ascii="Book Antiqua" w:hAnsi="Book Antiqua" w:cs="Arial"/>
        </w:rPr>
        <w:t xml:space="preserve"> it was also argued that </w:t>
      </w:r>
      <w:r w:rsidR="0061371C">
        <w:rPr>
          <w:rFonts w:ascii="Book Antiqua" w:hAnsi="Book Antiqua" w:cs="Arial"/>
        </w:rPr>
        <w:t>t</w:t>
      </w:r>
      <w:r w:rsidR="00C46021">
        <w:rPr>
          <w:rFonts w:ascii="Book Antiqua" w:hAnsi="Book Antiqua" w:cs="Arial"/>
        </w:rPr>
        <w:t xml:space="preserve">he </w:t>
      </w:r>
      <w:r w:rsidR="0026086F">
        <w:rPr>
          <w:rFonts w:ascii="Book Antiqua" w:hAnsi="Book Antiqua" w:cs="Arial"/>
        </w:rPr>
        <w:t>judge had</w:t>
      </w:r>
      <w:r w:rsidR="00C46021">
        <w:rPr>
          <w:rFonts w:ascii="Book Antiqua" w:hAnsi="Book Antiqua" w:cs="Arial"/>
        </w:rPr>
        <w:t xml:space="preserve"> applied the wrong test since he treated it as “insurmountable obstacles” </w:t>
      </w:r>
      <w:r w:rsidR="007319C2">
        <w:rPr>
          <w:rFonts w:ascii="Book Antiqua" w:hAnsi="Book Antiqua" w:cs="Arial"/>
        </w:rPr>
        <w:t xml:space="preserve">test </w:t>
      </w:r>
      <w:r w:rsidR="00C46021">
        <w:rPr>
          <w:rFonts w:ascii="Book Antiqua" w:hAnsi="Book Antiqua" w:cs="Arial"/>
        </w:rPr>
        <w:t>which is a separate test set out under EX.1(b) of Appendix FM.</w:t>
      </w:r>
    </w:p>
    <w:p w14:paraId="52C07DA6" w14:textId="77777777" w:rsidR="00C46021" w:rsidRDefault="00C46021" w:rsidP="00C46021">
      <w:pPr>
        <w:tabs>
          <w:tab w:val="left" w:pos="567"/>
        </w:tabs>
        <w:ind w:left="567" w:hanging="567"/>
        <w:jc w:val="both"/>
        <w:rPr>
          <w:rFonts w:ascii="Book Antiqua" w:hAnsi="Book Antiqua" w:cs="Arial"/>
        </w:rPr>
      </w:pPr>
    </w:p>
    <w:p w14:paraId="3DA129AA" w14:textId="77777777" w:rsidR="00C46021" w:rsidRPr="008B5901" w:rsidRDefault="00C26C8F" w:rsidP="00C46021">
      <w:pPr>
        <w:tabs>
          <w:tab w:val="left" w:pos="567"/>
        </w:tabs>
        <w:ind w:left="567" w:hanging="567"/>
        <w:jc w:val="both"/>
        <w:rPr>
          <w:rFonts w:ascii="Book Antiqua" w:hAnsi="Book Antiqua" w:cs="Arial"/>
        </w:rPr>
      </w:pPr>
      <w:r>
        <w:rPr>
          <w:rFonts w:ascii="Book Antiqua" w:hAnsi="Book Antiqua" w:cs="Arial"/>
        </w:rPr>
        <w:t>8</w:t>
      </w:r>
      <w:r w:rsidR="00C46021" w:rsidRPr="008B5901">
        <w:rPr>
          <w:rFonts w:ascii="Book Antiqua" w:hAnsi="Book Antiqua" w:cs="Arial"/>
        </w:rPr>
        <w:t>.</w:t>
      </w:r>
      <w:r w:rsidR="00C46021" w:rsidRPr="008B5901">
        <w:rPr>
          <w:rFonts w:ascii="Book Antiqua" w:hAnsi="Book Antiqua" w:cs="Arial"/>
        </w:rPr>
        <w:tab/>
      </w:r>
      <w:r w:rsidR="00C46021">
        <w:rPr>
          <w:rFonts w:ascii="Book Antiqua" w:hAnsi="Book Antiqua" w:cs="Arial"/>
        </w:rPr>
        <w:t>The grounds also submitted that the judge’s erro</w:t>
      </w:r>
      <w:r w:rsidR="004201CD">
        <w:rPr>
          <w:rFonts w:ascii="Book Antiqua" w:hAnsi="Book Antiqua" w:cs="Arial"/>
        </w:rPr>
        <w:t>r</w:t>
      </w:r>
      <w:r w:rsidR="00CB2C56">
        <w:rPr>
          <w:rFonts w:ascii="Book Antiqua" w:hAnsi="Book Antiqua" w:cs="Arial"/>
        </w:rPr>
        <w:t>s in respect of the</w:t>
      </w:r>
      <w:r w:rsidR="00C46021">
        <w:rPr>
          <w:rFonts w:ascii="Book Antiqua" w:hAnsi="Book Antiqua" w:cs="Arial"/>
        </w:rPr>
        <w:t xml:space="preserve"> Immigration Rules necessarily compromised his treatment of </w:t>
      </w:r>
      <w:r w:rsidR="00302220">
        <w:rPr>
          <w:rFonts w:ascii="Book Antiqua" w:hAnsi="Book Antiqua" w:cs="Arial"/>
        </w:rPr>
        <w:t xml:space="preserve">the appellant’s Article 8 circumstances </w:t>
      </w:r>
      <w:r w:rsidR="00C46021">
        <w:rPr>
          <w:rFonts w:ascii="Book Antiqua" w:hAnsi="Book Antiqua" w:cs="Arial"/>
        </w:rPr>
        <w:t>outside the Rules.</w:t>
      </w:r>
    </w:p>
    <w:p w14:paraId="6AC828DC" w14:textId="77777777" w:rsidR="00C46021" w:rsidRPr="008B5901" w:rsidRDefault="00C46021" w:rsidP="00C46021">
      <w:pPr>
        <w:tabs>
          <w:tab w:val="left" w:pos="567"/>
        </w:tabs>
        <w:ind w:left="567" w:hanging="567"/>
        <w:jc w:val="both"/>
        <w:rPr>
          <w:rFonts w:ascii="Book Antiqua" w:hAnsi="Book Antiqua" w:cs="Arial"/>
        </w:rPr>
      </w:pPr>
    </w:p>
    <w:p w14:paraId="1BD4726A" w14:textId="7DDFB278" w:rsidR="00C46021" w:rsidRPr="008B5901" w:rsidRDefault="00C26C8F" w:rsidP="00C46021">
      <w:pPr>
        <w:tabs>
          <w:tab w:val="left" w:pos="567"/>
        </w:tabs>
        <w:ind w:left="567" w:hanging="567"/>
        <w:jc w:val="both"/>
        <w:rPr>
          <w:rFonts w:ascii="Book Antiqua" w:hAnsi="Book Antiqua" w:cs="Arial"/>
        </w:rPr>
      </w:pPr>
      <w:r>
        <w:rPr>
          <w:rFonts w:ascii="Book Antiqua" w:hAnsi="Book Antiqua" w:cs="Arial"/>
        </w:rPr>
        <w:t>9</w:t>
      </w:r>
      <w:r w:rsidR="00C46021" w:rsidRPr="008B5901">
        <w:rPr>
          <w:rFonts w:ascii="Book Antiqua" w:hAnsi="Book Antiqua" w:cs="Arial"/>
        </w:rPr>
        <w:t>.</w:t>
      </w:r>
      <w:r w:rsidR="00C46021" w:rsidRPr="008B5901">
        <w:rPr>
          <w:rFonts w:ascii="Book Antiqua" w:hAnsi="Book Antiqua" w:cs="Arial"/>
        </w:rPr>
        <w:tab/>
      </w:r>
      <w:r w:rsidR="00C46021">
        <w:rPr>
          <w:rFonts w:ascii="Book Antiqua" w:hAnsi="Book Antiqua" w:cs="Arial"/>
        </w:rPr>
        <w:t>The grounds also alleged that in not giving the appellant an opportunity to respond to documentary evidence se</w:t>
      </w:r>
      <w:r w:rsidR="008426F2">
        <w:rPr>
          <w:rFonts w:ascii="Book Antiqua" w:hAnsi="Book Antiqua" w:cs="Arial"/>
        </w:rPr>
        <w:t>rved by the Presenting Officer o</w:t>
      </w:r>
      <w:r w:rsidR="00C46021">
        <w:rPr>
          <w:rFonts w:ascii="Book Antiqua" w:hAnsi="Book Antiqua" w:cs="Arial"/>
        </w:rPr>
        <w:t>n the morning of the hearing, the judge acted in a procedurally unfair way.  However, this ground was not pursued by Ms McCa</w:t>
      </w:r>
      <w:r w:rsidR="00FD1A3A">
        <w:rPr>
          <w:rFonts w:ascii="Book Antiqua" w:hAnsi="Book Antiqua" w:cs="Arial"/>
        </w:rPr>
        <w:t xml:space="preserve">rthy before us and in </w:t>
      </w:r>
      <w:r w:rsidR="007319C2">
        <w:rPr>
          <w:rFonts w:ascii="Book Antiqua" w:hAnsi="Book Antiqua" w:cs="Arial"/>
        </w:rPr>
        <w:t>any event</w:t>
      </w:r>
      <w:r w:rsidR="00FD1A3A">
        <w:rPr>
          <w:rFonts w:ascii="Book Antiqua" w:hAnsi="Book Antiqua" w:cs="Arial"/>
        </w:rPr>
        <w:t xml:space="preserve"> t</w:t>
      </w:r>
      <w:r w:rsidR="00C46021">
        <w:rPr>
          <w:rFonts w:ascii="Book Antiqua" w:hAnsi="Book Antiqua" w:cs="Arial"/>
        </w:rPr>
        <w:t xml:space="preserve">he document in question (the travel document issued to the appellant by the British Embassy in Tehran) appears to have been included in the respondent’s bundle prepared for the </w:t>
      </w:r>
      <w:proofErr w:type="spellStart"/>
      <w:r w:rsidR="00C46021">
        <w:rPr>
          <w:rFonts w:ascii="Book Antiqua" w:hAnsi="Book Antiqua" w:cs="Arial"/>
        </w:rPr>
        <w:t>FtT</w:t>
      </w:r>
      <w:proofErr w:type="spellEnd"/>
      <w:r w:rsidR="0085473A">
        <w:rPr>
          <w:rFonts w:ascii="Book Antiqua" w:hAnsi="Book Antiqua" w:cs="Arial"/>
        </w:rPr>
        <w:t xml:space="preserve"> anyway</w:t>
      </w:r>
      <w:r w:rsidR="00C46021">
        <w:rPr>
          <w:rFonts w:ascii="Book Antiqua" w:hAnsi="Book Antiqua" w:cs="Arial"/>
        </w:rPr>
        <w:t>, th</w:t>
      </w:r>
      <w:r w:rsidR="00110D44">
        <w:rPr>
          <w:rFonts w:ascii="Book Antiqua" w:hAnsi="Book Antiqua" w:cs="Arial"/>
        </w:rPr>
        <w:t xml:space="preserve">e only difference being that the one </w:t>
      </w:r>
      <w:r w:rsidR="00C46021">
        <w:rPr>
          <w:rFonts w:ascii="Book Antiqua" w:hAnsi="Book Antiqua" w:cs="Arial"/>
        </w:rPr>
        <w:t>produced by the Presenting Officer highlighted the passport number contained in the numerical data in</w:t>
      </w:r>
      <w:r w:rsidR="00366C9E">
        <w:rPr>
          <w:rFonts w:ascii="Book Antiqua" w:hAnsi="Book Antiqua" w:cs="Arial"/>
        </w:rPr>
        <w:t xml:space="preserve">cluded at the end of </w:t>
      </w:r>
      <w:r w:rsidR="00B57B16">
        <w:rPr>
          <w:rFonts w:ascii="Book Antiqua" w:hAnsi="Book Antiqua" w:cs="Arial"/>
        </w:rPr>
        <w:t>this same</w:t>
      </w:r>
      <w:r w:rsidR="00366C9E">
        <w:rPr>
          <w:rFonts w:ascii="Book Antiqua" w:hAnsi="Book Antiqua" w:cs="Arial"/>
        </w:rPr>
        <w:t xml:space="preserve"> </w:t>
      </w:r>
      <w:r w:rsidR="00C46021">
        <w:rPr>
          <w:rFonts w:ascii="Book Antiqua" w:hAnsi="Book Antiqua" w:cs="Arial"/>
        </w:rPr>
        <w:t xml:space="preserve">document.  Hence this </w:t>
      </w:r>
      <w:r w:rsidR="00120837">
        <w:rPr>
          <w:rFonts w:ascii="Book Antiqua" w:hAnsi="Book Antiqua" w:cs="Arial"/>
        </w:rPr>
        <w:t>was not new evidence capable of</w:t>
      </w:r>
      <w:r w:rsidR="00C46021">
        <w:rPr>
          <w:rFonts w:ascii="Book Antiqua" w:hAnsi="Book Antiqua" w:cs="Arial"/>
        </w:rPr>
        <w:t xml:space="preserve"> taking the appellant by surprise.  Nor </w:t>
      </w:r>
      <w:r w:rsidR="007319C2">
        <w:rPr>
          <w:rFonts w:ascii="Book Antiqua" w:hAnsi="Book Antiqua" w:cs="Arial"/>
        </w:rPr>
        <w:t xml:space="preserve">in any event </w:t>
      </w:r>
      <w:r w:rsidR="00C46021">
        <w:rPr>
          <w:rFonts w:ascii="Book Antiqua" w:hAnsi="Book Antiqua" w:cs="Arial"/>
        </w:rPr>
        <w:t>was there any objection to its production raised by Counsel for the appellant.</w:t>
      </w:r>
    </w:p>
    <w:p w14:paraId="403614F7" w14:textId="77777777" w:rsidR="00152597" w:rsidRDefault="00152597" w:rsidP="006970BA">
      <w:pPr>
        <w:tabs>
          <w:tab w:val="left" w:pos="567"/>
        </w:tabs>
        <w:ind w:left="567" w:hanging="567"/>
        <w:jc w:val="both"/>
        <w:rPr>
          <w:rFonts w:ascii="Book Antiqua" w:hAnsi="Book Antiqua" w:cs="Arial"/>
        </w:rPr>
      </w:pPr>
    </w:p>
    <w:p w14:paraId="75CF1401" w14:textId="415FAA19" w:rsidR="00C46021" w:rsidRPr="008B5901" w:rsidRDefault="00C26C8F" w:rsidP="00C46021">
      <w:pPr>
        <w:tabs>
          <w:tab w:val="left" w:pos="567"/>
        </w:tabs>
        <w:ind w:left="567" w:hanging="567"/>
        <w:jc w:val="both"/>
        <w:rPr>
          <w:rFonts w:ascii="Book Antiqua" w:hAnsi="Book Antiqua" w:cs="Arial"/>
        </w:rPr>
      </w:pPr>
      <w:r>
        <w:rPr>
          <w:rFonts w:ascii="Book Antiqua" w:hAnsi="Book Antiqua" w:cs="Arial"/>
        </w:rPr>
        <w:t>10</w:t>
      </w:r>
      <w:r w:rsidR="00C46021" w:rsidRPr="008B5901">
        <w:rPr>
          <w:rFonts w:ascii="Book Antiqua" w:hAnsi="Book Antiqua" w:cs="Arial"/>
        </w:rPr>
        <w:t>.</w:t>
      </w:r>
      <w:r w:rsidR="00C46021" w:rsidRPr="008B5901">
        <w:rPr>
          <w:rFonts w:ascii="Book Antiqua" w:hAnsi="Book Antiqua" w:cs="Arial"/>
        </w:rPr>
        <w:tab/>
      </w:r>
      <w:r w:rsidR="00C46021">
        <w:rPr>
          <w:rFonts w:ascii="Book Antiqua" w:hAnsi="Book Antiqua" w:cs="Arial"/>
        </w:rPr>
        <w:t>We are gra</w:t>
      </w:r>
      <w:r w:rsidR="00A57BBB">
        <w:rPr>
          <w:rFonts w:ascii="Book Antiqua" w:hAnsi="Book Antiqua" w:cs="Arial"/>
        </w:rPr>
        <w:t>te</w:t>
      </w:r>
      <w:r w:rsidR="00C46021">
        <w:rPr>
          <w:rFonts w:ascii="Book Antiqua" w:hAnsi="Book Antiqua" w:cs="Arial"/>
        </w:rPr>
        <w:t>ful to the written and oral submissions we received from</w:t>
      </w:r>
      <w:r w:rsidR="00A57BBB">
        <w:rPr>
          <w:rFonts w:ascii="Book Antiqua" w:hAnsi="Book Antiqua" w:cs="Arial"/>
        </w:rPr>
        <w:t xml:space="preserve"> </w:t>
      </w:r>
      <w:r w:rsidR="00C46021">
        <w:rPr>
          <w:rFonts w:ascii="Book Antiqua" w:hAnsi="Book Antiqua" w:cs="Arial"/>
        </w:rPr>
        <w:t xml:space="preserve">Ms McCarthy and Mr </w:t>
      </w:r>
      <w:proofErr w:type="spellStart"/>
      <w:r w:rsidR="00C46021">
        <w:rPr>
          <w:rFonts w:ascii="Book Antiqua" w:hAnsi="Book Antiqua" w:cs="Arial"/>
        </w:rPr>
        <w:t>Kotas</w:t>
      </w:r>
      <w:proofErr w:type="spellEnd"/>
      <w:r w:rsidR="00C46021">
        <w:rPr>
          <w:rFonts w:ascii="Book Antiqua" w:hAnsi="Book Antiqua" w:cs="Arial"/>
        </w:rPr>
        <w:t xml:space="preserve">. </w:t>
      </w:r>
      <w:r w:rsidR="007319C2">
        <w:rPr>
          <w:rFonts w:ascii="Book Antiqua" w:hAnsi="Book Antiqua" w:cs="Arial"/>
        </w:rPr>
        <w:t>Ms McCarthy’s submissions a</w:t>
      </w:r>
      <w:r w:rsidR="00C46021">
        <w:rPr>
          <w:rFonts w:ascii="Book Antiqua" w:hAnsi="Book Antiqua" w:cs="Arial"/>
        </w:rPr>
        <w:t>mplified the written grounds.</w:t>
      </w:r>
      <w:r w:rsidR="00A57BBB">
        <w:rPr>
          <w:rFonts w:ascii="Book Antiqua" w:hAnsi="Book Antiqua" w:cs="Arial"/>
        </w:rPr>
        <w:t xml:space="preserve">  Mr </w:t>
      </w:r>
      <w:proofErr w:type="spellStart"/>
      <w:r w:rsidR="00A57BBB">
        <w:rPr>
          <w:rFonts w:ascii="Book Antiqua" w:hAnsi="Book Antiqua" w:cs="Arial"/>
        </w:rPr>
        <w:t>Kotas’s</w:t>
      </w:r>
      <w:proofErr w:type="spellEnd"/>
      <w:r w:rsidR="00A57BBB">
        <w:rPr>
          <w:rFonts w:ascii="Book Antiqua" w:hAnsi="Book Antiqua" w:cs="Arial"/>
        </w:rPr>
        <w:t xml:space="preserve"> submission and his Rule 24 response </w:t>
      </w:r>
      <w:r w:rsidR="007319C2">
        <w:rPr>
          <w:rFonts w:ascii="Book Antiqua" w:hAnsi="Book Antiqua" w:cs="Arial"/>
        </w:rPr>
        <w:t>canvassed</w:t>
      </w:r>
      <w:r w:rsidR="00A57BBB">
        <w:rPr>
          <w:rFonts w:ascii="Book Antiqua" w:hAnsi="Book Antiqua" w:cs="Arial"/>
        </w:rPr>
        <w:t xml:space="preserve"> that citation of UTJ Bruce’s unreported decision did not comply with paragraphs 11.2 – 11.3 of the Practice Directions Immigration and Asylum Chamber of the First-tier Tribunal and Upper Tribunal and in any event the judge h</w:t>
      </w:r>
      <w:r w:rsidR="007319C2">
        <w:rPr>
          <w:rFonts w:ascii="Book Antiqua" w:hAnsi="Book Antiqua" w:cs="Arial"/>
        </w:rPr>
        <w:t>ad regard to the decision and fou</w:t>
      </w:r>
      <w:r w:rsidR="00A57BBB">
        <w:rPr>
          <w:rFonts w:ascii="Book Antiqua" w:hAnsi="Book Antiqua" w:cs="Arial"/>
        </w:rPr>
        <w:t>nd the facts to be very different.  The appellant’s challenge to the judge’s findings on suitability were no more tha</w:t>
      </w:r>
      <w:r w:rsidR="007319C2">
        <w:rPr>
          <w:rFonts w:ascii="Book Antiqua" w:hAnsi="Book Antiqua" w:cs="Arial"/>
        </w:rPr>
        <w:t xml:space="preserve">n disagreement with </w:t>
      </w:r>
      <w:r w:rsidR="00A57BBB">
        <w:rPr>
          <w:rFonts w:ascii="Book Antiqua" w:hAnsi="Book Antiqua" w:cs="Arial"/>
        </w:rPr>
        <w:t xml:space="preserve">the lawful </w:t>
      </w:r>
      <w:r w:rsidR="007319C2">
        <w:rPr>
          <w:rFonts w:ascii="Book Antiqua" w:hAnsi="Book Antiqua" w:cs="Arial"/>
        </w:rPr>
        <w:t xml:space="preserve">and reasonable </w:t>
      </w:r>
      <w:r w:rsidR="00A57BBB">
        <w:rPr>
          <w:rFonts w:ascii="Book Antiqua" w:hAnsi="Book Antiqua" w:cs="Arial"/>
        </w:rPr>
        <w:t>findings of the judge on this issue.</w:t>
      </w:r>
    </w:p>
    <w:p w14:paraId="243F671F" w14:textId="77777777" w:rsidR="00C46021" w:rsidRDefault="00C46021" w:rsidP="006970BA">
      <w:pPr>
        <w:tabs>
          <w:tab w:val="left" w:pos="567"/>
        </w:tabs>
        <w:ind w:left="567" w:hanging="567"/>
        <w:jc w:val="both"/>
        <w:rPr>
          <w:rFonts w:ascii="Book Antiqua" w:hAnsi="Book Antiqua" w:cs="Arial"/>
        </w:rPr>
      </w:pPr>
    </w:p>
    <w:p w14:paraId="2F63D45F" w14:textId="664E7511" w:rsidR="00996C8F" w:rsidRDefault="00C26C8F" w:rsidP="00996C8F">
      <w:pPr>
        <w:tabs>
          <w:tab w:val="left" w:pos="567"/>
        </w:tabs>
        <w:ind w:left="567" w:hanging="567"/>
        <w:jc w:val="both"/>
        <w:rPr>
          <w:rFonts w:ascii="Book Antiqua" w:hAnsi="Book Antiqua" w:cs="Arial"/>
        </w:rPr>
      </w:pPr>
      <w:r>
        <w:rPr>
          <w:rFonts w:ascii="Book Antiqua" w:hAnsi="Book Antiqua" w:cs="Arial"/>
        </w:rPr>
        <w:t>11</w:t>
      </w:r>
      <w:r w:rsidR="00996C8F" w:rsidRPr="008B5901">
        <w:rPr>
          <w:rFonts w:ascii="Book Antiqua" w:hAnsi="Book Antiqua" w:cs="Arial"/>
        </w:rPr>
        <w:t>.</w:t>
      </w:r>
      <w:r w:rsidR="00996C8F" w:rsidRPr="008B5901">
        <w:rPr>
          <w:rFonts w:ascii="Book Antiqua" w:hAnsi="Book Antiqua" w:cs="Arial"/>
        </w:rPr>
        <w:tab/>
      </w:r>
      <w:r w:rsidR="00996C8F">
        <w:rPr>
          <w:rFonts w:ascii="Book Antiqua" w:hAnsi="Book Antiqua" w:cs="Arial"/>
        </w:rPr>
        <w:t>As regards the challenge raised in the grounds to the judge’s treatment of paragraph 276ADE</w:t>
      </w:r>
      <w:r w:rsidR="007319C2">
        <w:rPr>
          <w:rFonts w:ascii="Book Antiqua" w:hAnsi="Book Antiqua" w:cs="Arial"/>
        </w:rPr>
        <w:t>,</w:t>
      </w:r>
      <w:r w:rsidR="00996C8F">
        <w:rPr>
          <w:rFonts w:ascii="Book Antiqua" w:hAnsi="Book Antiqua" w:cs="Arial"/>
        </w:rPr>
        <w:t xml:space="preserve"> </w:t>
      </w:r>
      <w:r w:rsidR="00C63F10">
        <w:rPr>
          <w:rFonts w:ascii="Book Antiqua" w:hAnsi="Book Antiqua" w:cs="Arial"/>
        </w:rPr>
        <w:t xml:space="preserve">Mr </w:t>
      </w:r>
      <w:proofErr w:type="spellStart"/>
      <w:r w:rsidR="00C63F10">
        <w:rPr>
          <w:rFonts w:ascii="Book Antiqua" w:hAnsi="Book Antiqua" w:cs="Arial"/>
        </w:rPr>
        <w:t>Kotas</w:t>
      </w:r>
      <w:proofErr w:type="spellEnd"/>
      <w:r w:rsidR="00C63F10">
        <w:rPr>
          <w:rFonts w:ascii="Book Antiqua" w:hAnsi="Book Antiqua" w:cs="Arial"/>
        </w:rPr>
        <w:t xml:space="preserve"> submitted that </w:t>
      </w:r>
      <w:r w:rsidR="00996C8F">
        <w:rPr>
          <w:rFonts w:ascii="Book Antiqua" w:hAnsi="Book Antiqua" w:cs="Arial"/>
        </w:rPr>
        <w:t xml:space="preserve">it was clear from the Court of Appeal guidance (in </w:t>
      </w:r>
      <w:proofErr w:type="gramStart"/>
      <w:r w:rsidR="007A3C56">
        <w:rPr>
          <w:rFonts w:ascii="Book Antiqua" w:hAnsi="Book Antiqua" w:cs="Arial"/>
          <w:b/>
          <w:u w:val="single"/>
        </w:rPr>
        <w:t>K</w:t>
      </w:r>
      <w:r w:rsidR="00C63F10">
        <w:rPr>
          <w:rFonts w:ascii="Book Antiqua" w:hAnsi="Book Antiqua" w:cs="Arial"/>
          <w:b/>
          <w:u w:val="single"/>
        </w:rPr>
        <w:t>amara</w:t>
      </w:r>
      <w:r w:rsidR="007A3C56" w:rsidRPr="00922AF6">
        <w:rPr>
          <w:rFonts w:ascii="Book Antiqua" w:hAnsi="Book Antiqua" w:cs="Arial"/>
          <w:b/>
        </w:rPr>
        <w:t xml:space="preserve">  </w:t>
      </w:r>
      <w:r w:rsidR="00996C8F" w:rsidRPr="00922AF6">
        <w:rPr>
          <w:rFonts w:ascii="Book Antiqua" w:hAnsi="Book Antiqua" w:cs="Arial"/>
        </w:rPr>
        <w:t>[</w:t>
      </w:r>
      <w:proofErr w:type="gramEnd"/>
      <w:r w:rsidR="00996C8F" w:rsidRPr="000700EC">
        <w:rPr>
          <w:rFonts w:ascii="Book Antiqua" w:hAnsi="Book Antiqua" w:cs="Arial"/>
        </w:rPr>
        <w:t xml:space="preserve">2016] EWCA </w:t>
      </w:r>
      <w:proofErr w:type="spellStart"/>
      <w:r w:rsidR="00996C8F" w:rsidRPr="000700EC">
        <w:rPr>
          <w:rFonts w:ascii="Book Antiqua" w:hAnsi="Book Antiqua" w:cs="Arial"/>
        </w:rPr>
        <w:t>Civ</w:t>
      </w:r>
      <w:proofErr w:type="spellEnd"/>
      <w:r w:rsidR="00996C8F" w:rsidRPr="000700EC">
        <w:rPr>
          <w:rFonts w:ascii="Book Antiqua" w:hAnsi="Book Antiqua" w:cs="Arial"/>
        </w:rPr>
        <w:t xml:space="preserve"> </w:t>
      </w:r>
      <w:r w:rsidR="000700EC" w:rsidRPr="000700EC">
        <w:rPr>
          <w:rFonts w:ascii="Book Antiqua" w:hAnsi="Book Antiqua" w:cs="Arial"/>
        </w:rPr>
        <w:t>813</w:t>
      </w:r>
      <w:r w:rsidR="00996C8F" w:rsidRPr="000700EC">
        <w:rPr>
          <w:rFonts w:ascii="Book Antiqua" w:hAnsi="Book Antiqua" w:cs="Arial"/>
        </w:rPr>
        <w:t>)</w:t>
      </w:r>
      <w:r w:rsidR="00996C8F">
        <w:rPr>
          <w:rFonts w:ascii="Book Antiqua" w:hAnsi="Book Antiqua" w:cs="Arial"/>
        </w:rPr>
        <w:t xml:space="preserve"> on “integration” that the issue of fe</w:t>
      </w:r>
      <w:r w:rsidR="005D5BC5">
        <w:rPr>
          <w:rFonts w:ascii="Book Antiqua" w:hAnsi="Book Antiqua" w:cs="Arial"/>
        </w:rPr>
        <w:t>asibility of</w:t>
      </w:r>
      <w:r w:rsidR="00996C8F">
        <w:rPr>
          <w:rFonts w:ascii="Book Antiqua" w:hAnsi="Book Antiqua" w:cs="Arial"/>
        </w:rPr>
        <w:t xml:space="preserve"> return was </w:t>
      </w:r>
      <w:proofErr w:type="spellStart"/>
      <w:r w:rsidR="00996C8F">
        <w:rPr>
          <w:rFonts w:ascii="Book Antiqua" w:hAnsi="Book Antiqua" w:cs="Arial"/>
        </w:rPr>
        <w:t>outwith</w:t>
      </w:r>
      <w:proofErr w:type="spellEnd"/>
      <w:r w:rsidR="00996C8F">
        <w:rPr>
          <w:rFonts w:ascii="Book Antiqua" w:hAnsi="Book Antiqua" w:cs="Arial"/>
        </w:rPr>
        <w:t xml:space="preserve"> the scope of this provision; the appeal had not raised protection issues and the appeal was limited to Article 8.  Further, the judge’s finding dealt with the feasibility of return issue in its entirety.</w:t>
      </w:r>
    </w:p>
    <w:p w14:paraId="1907E616" w14:textId="77777777" w:rsidR="00AC2D73" w:rsidRDefault="00AC2D73" w:rsidP="000700EC">
      <w:pPr>
        <w:tabs>
          <w:tab w:val="left" w:pos="567"/>
        </w:tabs>
        <w:ind w:left="1134" w:hanging="567"/>
        <w:jc w:val="both"/>
        <w:rPr>
          <w:rFonts w:ascii="Book Antiqua" w:hAnsi="Book Antiqua" w:cs="Arial"/>
          <w:b/>
        </w:rPr>
      </w:pPr>
    </w:p>
    <w:p w14:paraId="23D71EA0" w14:textId="61E493D3" w:rsidR="00996C8F" w:rsidRDefault="002424F4" w:rsidP="000700EC">
      <w:pPr>
        <w:tabs>
          <w:tab w:val="left" w:pos="567"/>
        </w:tabs>
        <w:ind w:left="1134" w:hanging="567"/>
        <w:jc w:val="both"/>
        <w:rPr>
          <w:rFonts w:ascii="Book Antiqua" w:hAnsi="Book Antiqua" w:cs="Arial"/>
          <w:b/>
        </w:rPr>
      </w:pPr>
      <w:r>
        <w:rPr>
          <w:rFonts w:ascii="Book Antiqua" w:hAnsi="Book Antiqua" w:cs="Arial"/>
          <w:b/>
        </w:rPr>
        <w:lastRenderedPageBreak/>
        <w:t xml:space="preserve"> </w:t>
      </w:r>
      <w:r w:rsidR="000700EC" w:rsidRPr="000700EC">
        <w:rPr>
          <w:rFonts w:ascii="Book Antiqua" w:hAnsi="Book Antiqua" w:cs="Arial"/>
          <w:b/>
        </w:rPr>
        <w:t>Our Analysis</w:t>
      </w:r>
    </w:p>
    <w:p w14:paraId="529291C1" w14:textId="77777777" w:rsidR="000700EC" w:rsidRPr="000700EC" w:rsidRDefault="000700EC" w:rsidP="000700EC">
      <w:pPr>
        <w:tabs>
          <w:tab w:val="left" w:pos="567"/>
        </w:tabs>
        <w:ind w:left="1134" w:hanging="567"/>
        <w:jc w:val="both"/>
        <w:rPr>
          <w:rFonts w:ascii="Book Antiqua" w:hAnsi="Book Antiqua" w:cs="Arial"/>
          <w:b/>
        </w:rPr>
      </w:pPr>
    </w:p>
    <w:p w14:paraId="0EBE9900" w14:textId="77777777" w:rsidR="00996C8F" w:rsidRDefault="00C26C8F" w:rsidP="00996C8F">
      <w:pPr>
        <w:tabs>
          <w:tab w:val="left" w:pos="567"/>
        </w:tabs>
        <w:ind w:left="567" w:hanging="567"/>
        <w:jc w:val="both"/>
        <w:rPr>
          <w:rFonts w:ascii="Book Antiqua" w:hAnsi="Book Antiqua" w:cs="Arial"/>
        </w:rPr>
      </w:pPr>
      <w:r>
        <w:rPr>
          <w:rFonts w:ascii="Book Antiqua" w:hAnsi="Book Antiqua" w:cs="Arial"/>
        </w:rPr>
        <w:t>12</w:t>
      </w:r>
      <w:r w:rsidR="00996C8F" w:rsidRPr="008B5901">
        <w:rPr>
          <w:rFonts w:ascii="Book Antiqua" w:hAnsi="Book Antiqua" w:cs="Arial"/>
        </w:rPr>
        <w:t>.</w:t>
      </w:r>
      <w:r w:rsidR="00996C8F" w:rsidRPr="008B5901">
        <w:rPr>
          <w:rFonts w:ascii="Book Antiqua" w:hAnsi="Book Antiqua" w:cs="Arial"/>
        </w:rPr>
        <w:tab/>
      </w:r>
      <w:r w:rsidR="00996C8F">
        <w:rPr>
          <w:rFonts w:ascii="Book Antiqua" w:hAnsi="Book Antiqua" w:cs="Arial"/>
        </w:rPr>
        <w:t>It is convenient to deal first with the challenge made in the grounds to the judge’s treatment of paragraph 276ADE.  We consider the challenge fails to identify any error of law.</w:t>
      </w:r>
    </w:p>
    <w:p w14:paraId="4100434E" w14:textId="77777777" w:rsidR="000A2421" w:rsidRDefault="000A2421" w:rsidP="00996C8F">
      <w:pPr>
        <w:tabs>
          <w:tab w:val="left" w:pos="567"/>
        </w:tabs>
        <w:ind w:left="567" w:hanging="567"/>
        <w:jc w:val="both"/>
        <w:rPr>
          <w:rFonts w:ascii="Book Antiqua" w:hAnsi="Book Antiqua" w:cs="Arial"/>
        </w:rPr>
      </w:pPr>
    </w:p>
    <w:p w14:paraId="4222EAEA" w14:textId="0189273E" w:rsidR="00996C8F" w:rsidRDefault="00C26C8F" w:rsidP="00996C8F">
      <w:pPr>
        <w:tabs>
          <w:tab w:val="left" w:pos="567"/>
        </w:tabs>
        <w:ind w:left="567" w:hanging="567"/>
        <w:jc w:val="both"/>
        <w:rPr>
          <w:rFonts w:ascii="Book Antiqua" w:hAnsi="Book Antiqua" w:cs="Arial"/>
        </w:rPr>
      </w:pPr>
      <w:r>
        <w:rPr>
          <w:rFonts w:ascii="Book Antiqua" w:hAnsi="Book Antiqua" w:cs="Arial"/>
        </w:rPr>
        <w:t>13</w:t>
      </w:r>
      <w:r w:rsidR="00996C8F" w:rsidRPr="008B5901">
        <w:rPr>
          <w:rFonts w:ascii="Book Antiqua" w:hAnsi="Book Antiqua" w:cs="Arial"/>
        </w:rPr>
        <w:t>.</w:t>
      </w:r>
      <w:r w:rsidR="00996C8F" w:rsidRPr="008B5901">
        <w:rPr>
          <w:rFonts w:ascii="Book Antiqua" w:hAnsi="Book Antiqua" w:cs="Arial"/>
        </w:rPr>
        <w:tab/>
      </w:r>
      <w:r w:rsidR="00996C8F">
        <w:rPr>
          <w:rFonts w:ascii="Book Antiqua" w:hAnsi="Book Antiqua" w:cs="Arial"/>
        </w:rPr>
        <w:t>It is true that the judge wrongly re</w:t>
      </w:r>
      <w:r w:rsidR="002424F4">
        <w:rPr>
          <w:rFonts w:ascii="Book Antiqua" w:hAnsi="Book Antiqua" w:cs="Arial"/>
        </w:rPr>
        <w:t>ferred to</w:t>
      </w:r>
      <w:r w:rsidR="00996C8F">
        <w:rPr>
          <w:rFonts w:ascii="Book Antiqua" w:hAnsi="Book Antiqua" w:cs="Arial"/>
        </w:rPr>
        <w:t xml:space="preserve"> the test set out in paragraphs 276ADE as being “insurmountable obstacles” (see first sentence of paragraph 70).  We are also prepared t</w:t>
      </w:r>
      <w:r w:rsidR="00851A45">
        <w:rPr>
          <w:rFonts w:ascii="Book Antiqua" w:hAnsi="Book Antiqua" w:cs="Arial"/>
        </w:rPr>
        <w:t>o accept f</w:t>
      </w:r>
      <w:r w:rsidR="000700EC">
        <w:rPr>
          <w:rFonts w:ascii="Book Antiqua" w:hAnsi="Book Antiqua" w:cs="Arial"/>
        </w:rPr>
        <w:t>o</w:t>
      </w:r>
      <w:r w:rsidR="00851A45">
        <w:rPr>
          <w:rFonts w:ascii="Book Antiqua" w:hAnsi="Book Antiqua" w:cs="Arial"/>
        </w:rPr>
        <w:t>r the purposes of t</w:t>
      </w:r>
      <w:r w:rsidR="000700EC">
        <w:rPr>
          <w:rFonts w:ascii="Book Antiqua" w:hAnsi="Book Antiqua" w:cs="Arial"/>
        </w:rPr>
        <w:t>his</w:t>
      </w:r>
      <w:r w:rsidR="00996C8F">
        <w:rPr>
          <w:rFonts w:ascii="Book Antiqua" w:hAnsi="Book Antiqua" w:cs="Arial"/>
        </w:rPr>
        <w:t xml:space="preserve"> appeal that “very signi</w:t>
      </w:r>
      <w:r w:rsidR="00FA1CD2">
        <w:rPr>
          <w:rFonts w:ascii="Book Antiqua" w:hAnsi="Book Antiqua" w:cs="Arial"/>
        </w:rPr>
        <w:t>ficant obstacles to integration”</w:t>
      </w:r>
      <w:r w:rsidR="00F475B8">
        <w:rPr>
          <w:rFonts w:ascii="Book Antiqua" w:hAnsi="Book Antiqua" w:cs="Arial"/>
        </w:rPr>
        <w:t xml:space="preserve"> </w:t>
      </w:r>
      <w:r w:rsidR="00996C8F">
        <w:rPr>
          <w:rFonts w:ascii="Book Antiqua" w:hAnsi="Book Antiqua" w:cs="Arial"/>
        </w:rPr>
        <w:t xml:space="preserve">is a less demanding test than “insurmountable obstacles”.  However, </w:t>
      </w:r>
      <w:r w:rsidR="002424F4">
        <w:rPr>
          <w:rFonts w:ascii="Book Antiqua" w:hAnsi="Book Antiqua" w:cs="Arial"/>
        </w:rPr>
        <w:t xml:space="preserve">the </w:t>
      </w:r>
      <w:r w:rsidR="00996C8F">
        <w:rPr>
          <w:rFonts w:ascii="Book Antiqua" w:hAnsi="Book Antiqua" w:cs="Arial"/>
        </w:rPr>
        <w:t xml:space="preserve">findings made by the judge in the remainder of this paragraph were clearly material to the issue of </w:t>
      </w:r>
      <w:r w:rsidR="000700EC">
        <w:rPr>
          <w:rFonts w:ascii="Book Antiqua" w:hAnsi="Book Antiqua" w:cs="Arial"/>
        </w:rPr>
        <w:t>“</w:t>
      </w:r>
      <w:r w:rsidR="00996C8F">
        <w:rPr>
          <w:rFonts w:ascii="Book Antiqua" w:hAnsi="Book Antiqua" w:cs="Arial"/>
        </w:rPr>
        <w:t>very significant obstacles</w:t>
      </w:r>
      <w:r w:rsidR="000700EC">
        <w:rPr>
          <w:rFonts w:ascii="Book Antiqua" w:hAnsi="Book Antiqua" w:cs="Arial"/>
        </w:rPr>
        <w:t>”</w:t>
      </w:r>
      <w:r w:rsidR="00996C8F">
        <w:rPr>
          <w:rFonts w:ascii="Book Antiqua" w:hAnsi="Book Antiqua" w:cs="Arial"/>
        </w:rPr>
        <w:t xml:space="preserve"> and identify </w:t>
      </w:r>
      <w:proofErr w:type="gramStart"/>
      <w:r w:rsidR="00996C8F">
        <w:rPr>
          <w:rFonts w:ascii="Book Antiqua" w:hAnsi="Book Antiqua" w:cs="Arial"/>
        </w:rPr>
        <w:t>a number of</w:t>
      </w:r>
      <w:proofErr w:type="gramEnd"/>
      <w:r w:rsidR="00996C8F">
        <w:rPr>
          <w:rFonts w:ascii="Book Antiqua" w:hAnsi="Book Antiqua" w:cs="Arial"/>
        </w:rPr>
        <w:t xml:space="preserve"> </w:t>
      </w:r>
      <w:r w:rsidR="00D20894">
        <w:rPr>
          <w:rFonts w:ascii="Book Antiqua" w:hAnsi="Book Antiqua" w:cs="Arial"/>
        </w:rPr>
        <w:t>f</w:t>
      </w:r>
      <w:r w:rsidR="00996C8F">
        <w:rPr>
          <w:rFonts w:ascii="Book Antiqua" w:hAnsi="Book Antiqua" w:cs="Arial"/>
        </w:rPr>
        <w:t>ailure</w:t>
      </w:r>
      <w:r w:rsidR="00D20894">
        <w:rPr>
          <w:rFonts w:ascii="Book Antiqua" w:hAnsi="Book Antiqua" w:cs="Arial"/>
        </w:rPr>
        <w:t>s</w:t>
      </w:r>
      <w:r w:rsidR="00996C8F">
        <w:rPr>
          <w:rFonts w:ascii="Book Antiqua" w:hAnsi="Book Antiqua" w:cs="Arial"/>
        </w:rPr>
        <w:t xml:space="preserve"> indicating that the</w:t>
      </w:r>
      <w:r w:rsidR="000700EC">
        <w:rPr>
          <w:rFonts w:ascii="Book Antiqua" w:hAnsi="Book Antiqua" w:cs="Arial"/>
        </w:rPr>
        <w:t>re</w:t>
      </w:r>
      <w:r w:rsidR="00996C8F">
        <w:rPr>
          <w:rFonts w:ascii="Book Antiqua" w:hAnsi="Book Antiqua" w:cs="Arial"/>
        </w:rPr>
        <w:t xml:space="preserve"> would not be s</w:t>
      </w:r>
      <w:r w:rsidR="005575E7">
        <w:rPr>
          <w:rFonts w:ascii="Book Antiqua" w:hAnsi="Book Antiqua" w:cs="Arial"/>
        </w:rPr>
        <w:t>uch obstacles</w:t>
      </w:r>
      <w:r w:rsidR="000700EC">
        <w:rPr>
          <w:rFonts w:ascii="Book Antiqua" w:hAnsi="Book Antiqua" w:cs="Arial"/>
        </w:rPr>
        <w:t>:</w:t>
      </w:r>
      <w:r w:rsidR="005575E7">
        <w:rPr>
          <w:rFonts w:ascii="Book Antiqua" w:hAnsi="Book Antiqua" w:cs="Arial"/>
        </w:rPr>
        <w:t xml:space="preserve"> the ability of </w:t>
      </w:r>
      <w:r w:rsidR="00D843A7">
        <w:rPr>
          <w:rFonts w:ascii="Book Antiqua" w:hAnsi="Book Antiqua" w:cs="Arial"/>
        </w:rPr>
        <w:t>her husband to</w:t>
      </w:r>
      <w:r w:rsidR="00996C8F">
        <w:rPr>
          <w:rFonts w:ascii="Book Antiqua" w:hAnsi="Book Antiqua" w:cs="Arial"/>
        </w:rPr>
        <w:t xml:space="preserve"> travel back to </w:t>
      </w:r>
      <w:proofErr w:type="spellStart"/>
      <w:r w:rsidR="00996C8F">
        <w:rPr>
          <w:rFonts w:ascii="Book Antiqua" w:hAnsi="Book Antiqua" w:cs="Arial"/>
        </w:rPr>
        <w:t>Sulaymani</w:t>
      </w:r>
      <w:r w:rsidR="00AC2D73">
        <w:rPr>
          <w:rFonts w:ascii="Book Antiqua" w:hAnsi="Book Antiqua" w:cs="Arial"/>
        </w:rPr>
        <w:t>y</w:t>
      </w:r>
      <w:r w:rsidR="00996C8F">
        <w:rPr>
          <w:rFonts w:ascii="Book Antiqua" w:hAnsi="Book Antiqua" w:cs="Arial"/>
        </w:rPr>
        <w:t>a</w:t>
      </w:r>
      <w:r w:rsidR="00AC2D73">
        <w:rPr>
          <w:rFonts w:ascii="Book Antiqua" w:hAnsi="Book Antiqua" w:cs="Arial"/>
        </w:rPr>
        <w:t>h</w:t>
      </w:r>
      <w:proofErr w:type="spellEnd"/>
      <w:r w:rsidR="00996C8F">
        <w:rPr>
          <w:rFonts w:ascii="Book Antiqua" w:hAnsi="Book Antiqua" w:cs="Arial"/>
        </w:rPr>
        <w:t xml:space="preserve"> unaided with ease; the</w:t>
      </w:r>
      <w:r w:rsidR="000700EC">
        <w:rPr>
          <w:rFonts w:ascii="Book Antiqua" w:hAnsi="Book Antiqua" w:cs="Arial"/>
        </w:rPr>
        <w:t>ir</w:t>
      </w:r>
      <w:r w:rsidR="00996C8F">
        <w:rPr>
          <w:rFonts w:ascii="Book Antiqua" w:hAnsi="Book Antiqua" w:cs="Arial"/>
        </w:rPr>
        <w:t xml:space="preserve"> access to financial support and friends; </w:t>
      </w:r>
      <w:r w:rsidR="000700EC">
        <w:rPr>
          <w:rFonts w:ascii="Book Antiqua" w:hAnsi="Book Antiqua" w:cs="Arial"/>
        </w:rPr>
        <w:t xml:space="preserve">and </w:t>
      </w:r>
      <w:r w:rsidR="00996C8F">
        <w:rPr>
          <w:rFonts w:ascii="Book Antiqua" w:hAnsi="Book Antiqua" w:cs="Arial"/>
        </w:rPr>
        <w:t>the fact that she would be returning to the relative safety of her home town.  It was entirely open to the judge to</w:t>
      </w:r>
      <w:r w:rsidR="00D20894">
        <w:rPr>
          <w:rFonts w:ascii="Book Antiqua" w:hAnsi="Book Antiqua" w:cs="Arial"/>
        </w:rPr>
        <w:t xml:space="preserve"> make those find</w:t>
      </w:r>
      <w:r w:rsidR="000700EC">
        <w:rPr>
          <w:rFonts w:ascii="Book Antiqua" w:hAnsi="Book Antiqua" w:cs="Arial"/>
        </w:rPr>
        <w:t>ings o</w:t>
      </w:r>
      <w:r w:rsidR="00996C8F">
        <w:rPr>
          <w:rFonts w:ascii="Book Antiqua" w:hAnsi="Book Antiqua" w:cs="Arial"/>
        </w:rPr>
        <w:t>n the evidence before him, just as it was open</w:t>
      </w:r>
      <w:r w:rsidR="00D20894">
        <w:rPr>
          <w:rFonts w:ascii="Book Antiqua" w:hAnsi="Book Antiqua" w:cs="Arial"/>
        </w:rPr>
        <w:t xml:space="preserve"> </w:t>
      </w:r>
      <w:r w:rsidR="00996C8F">
        <w:rPr>
          <w:rFonts w:ascii="Book Antiqua" w:hAnsi="Book Antiqua" w:cs="Arial"/>
        </w:rPr>
        <w:t>to him at paragraph 68 to</w:t>
      </w:r>
      <w:r w:rsidR="00D20894">
        <w:rPr>
          <w:rFonts w:ascii="Book Antiqua" w:hAnsi="Book Antiqua" w:cs="Arial"/>
        </w:rPr>
        <w:t xml:space="preserve"> find unreliable the evidence </w:t>
      </w:r>
      <w:r w:rsidR="004B6B17">
        <w:rPr>
          <w:rFonts w:ascii="Book Antiqua" w:hAnsi="Book Antiqua" w:cs="Arial"/>
        </w:rPr>
        <w:t>s</w:t>
      </w:r>
      <w:r w:rsidR="00D20894">
        <w:rPr>
          <w:rFonts w:ascii="Book Antiqua" w:hAnsi="Book Antiqua" w:cs="Arial"/>
        </w:rPr>
        <w:t>he</w:t>
      </w:r>
      <w:r w:rsidR="00D46B86">
        <w:rPr>
          <w:rFonts w:ascii="Book Antiqua" w:hAnsi="Book Antiqua" w:cs="Arial"/>
        </w:rPr>
        <w:t xml:space="preserve"> produced to support her claim</w:t>
      </w:r>
      <w:r w:rsidR="00D20894">
        <w:rPr>
          <w:rFonts w:ascii="Book Antiqua" w:hAnsi="Book Antiqua" w:cs="Arial"/>
        </w:rPr>
        <w:t xml:space="preserve"> </w:t>
      </w:r>
      <w:r w:rsidR="00D46B86">
        <w:rPr>
          <w:rFonts w:ascii="Book Antiqua" w:hAnsi="Book Antiqua" w:cs="Arial"/>
        </w:rPr>
        <w:t>s</w:t>
      </w:r>
      <w:r w:rsidR="00996C8F">
        <w:rPr>
          <w:rFonts w:ascii="Book Antiqua" w:hAnsi="Book Antiqua" w:cs="Arial"/>
        </w:rPr>
        <w:t>he would be at risk of violence as a</w:t>
      </w:r>
      <w:r w:rsidR="00E154F9">
        <w:rPr>
          <w:rFonts w:ascii="Book Antiqua" w:hAnsi="Book Antiqua" w:cs="Arial"/>
        </w:rPr>
        <w:t xml:space="preserve"> result of a family feud.</w:t>
      </w:r>
      <w:r w:rsidR="002424F4">
        <w:rPr>
          <w:rFonts w:ascii="Book Antiqua" w:hAnsi="Book Antiqua" w:cs="Arial"/>
        </w:rPr>
        <w:t xml:space="preserve"> </w:t>
      </w:r>
      <w:r w:rsidR="0026086F">
        <w:rPr>
          <w:rFonts w:ascii="Book Antiqua" w:hAnsi="Book Antiqua" w:cs="Arial"/>
        </w:rPr>
        <w:t>Whether</w:t>
      </w:r>
      <w:r w:rsidR="002424F4">
        <w:rPr>
          <w:rFonts w:ascii="Book Antiqua" w:hAnsi="Book Antiqua" w:cs="Arial"/>
        </w:rPr>
        <w:t xml:space="preserve"> or not a slip of the tongue</w:t>
      </w:r>
      <w:r w:rsidR="00CA1543">
        <w:rPr>
          <w:rFonts w:ascii="Book Antiqua" w:hAnsi="Book Antiqua" w:cs="Arial"/>
        </w:rPr>
        <w:t xml:space="preserve"> (as may be the case)</w:t>
      </w:r>
      <w:r w:rsidR="002424F4">
        <w:rPr>
          <w:rFonts w:ascii="Book Antiqua" w:hAnsi="Book Antiqua" w:cs="Arial"/>
        </w:rPr>
        <w:t xml:space="preserve">, the incorrect reference to “insurmountable obstacles” did not lead the judge to disregard the considerations relevant to the assessment of paragraph 276ADE. </w:t>
      </w:r>
    </w:p>
    <w:p w14:paraId="509AFC35" w14:textId="77777777" w:rsidR="00E154F9" w:rsidRDefault="00E154F9" w:rsidP="00996C8F">
      <w:pPr>
        <w:tabs>
          <w:tab w:val="left" w:pos="567"/>
        </w:tabs>
        <w:ind w:left="567" w:hanging="567"/>
        <w:jc w:val="both"/>
        <w:rPr>
          <w:rFonts w:ascii="Book Antiqua" w:hAnsi="Book Antiqua" w:cs="Arial"/>
        </w:rPr>
      </w:pPr>
    </w:p>
    <w:p w14:paraId="64CA57FD" w14:textId="343A1831" w:rsidR="00E154F9" w:rsidRDefault="00C26C8F" w:rsidP="00E154F9">
      <w:pPr>
        <w:tabs>
          <w:tab w:val="left" w:pos="567"/>
        </w:tabs>
        <w:ind w:left="567" w:hanging="567"/>
        <w:jc w:val="both"/>
        <w:rPr>
          <w:rFonts w:ascii="Book Antiqua" w:hAnsi="Book Antiqua" w:cs="Arial"/>
        </w:rPr>
      </w:pPr>
      <w:r>
        <w:rPr>
          <w:rFonts w:ascii="Book Antiqua" w:hAnsi="Book Antiqua" w:cs="Arial"/>
        </w:rPr>
        <w:t>14</w:t>
      </w:r>
      <w:r w:rsidR="00E154F9" w:rsidRPr="008B5901">
        <w:rPr>
          <w:rFonts w:ascii="Book Antiqua" w:hAnsi="Book Antiqua" w:cs="Arial"/>
        </w:rPr>
        <w:t>.</w:t>
      </w:r>
      <w:r w:rsidR="00E154F9" w:rsidRPr="008B5901">
        <w:rPr>
          <w:rFonts w:ascii="Book Antiqua" w:hAnsi="Book Antiqua" w:cs="Arial"/>
        </w:rPr>
        <w:tab/>
      </w:r>
      <w:r w:rsidR="004A41C9">
        <w:rPr>
          <w:rFonts w:ascii="Book Antiqua" w:hAnsi="Book Antiqua" w:cs="Arial"/>
        </w:rPr>
        <w:t>Nor do we consider there is</w:t>
      </w:r>
      <w:r w:rsidR="00DF6B71">
        <w:rPr>
          <w:rFonts w:ascii="Book Antiqua" w:hAnsi="Book Antiqua" w:cs="Arial"/>
        </w:rPr>
        <w:t xml:space="preserve"> any force in the submission that the judge erred in failing to have regard to the country evidence concerning </w:t>
      </w:r>
      <w:r w:rsidR="00592479">
        <w:rPr>
          <w:rFonts w:ascii="Book Antiqua" w:hAnsi="Book Antiqua" w:cs="Arial"/>
        </w:rPr>
        <w:t>v</w:t>
      </w:r>
      <w:r w:rsidR="00962DEA">
        <w:rPr>
          <w:rFonts w:ascii="Book Antiqua" w:hAnsi="Book Antiqua" w:cs="Arial"/>
        </w:rPr>
        <w:t xml:space="preserve">iolence and </w:t>
      </w:r>
      <w:r w:rsidR="000700EC">
        <w:rPr>
          <w:rFonts w:ascii="Book Antiqua" w:hAnsi="Book Antiqua" w:cs="Arial"/>
        </w:rPr>
        <w:t>poor</w:t>
      </w:r>
      <w:r w:rsidR="00962DEA">
        <w:rPr>
          <w:rFonts w:ascii="Book Antiqua" w:hAnsi="Book Antiqua" w:cs="Arial"/>
        </w:rPr>
        <w:t xml:space="preserve"> socio-</w:t>
      </w:r>
      <w:r w:rsidR="00DF6B71">
        <w:rPr>
          <w:rFonts w:ascii="Book Antiqua" w:hAnsi="Book Antiqua" w:cs="Arial"/>
        </w:rPr>
        <w:t>econ</w:t>
      </w:r>
      <w:r w:rsidR="00962DEA">
        <w:rPr>
          <w:rFonts w:ascii="Book Antiqua" w:hAnsi="Book Antiqua" w:cs="Arial"/>
        </w:rPr>
        <w:t>o</w:t>
      </w:r>
      <w:r w:rsidR="00DF6B71">
        <w:rPr>
          <w:rFonts w:ascii="Book Antiqua" w:hAnsi="Book Antiqua" w:cs="Arial"/>
        </w:rPr>
        <w:t>mic cond</w:t>
      </w:r>
      <w:r w:rsidR="00592479">
        <w:rPr>
          <w:rFonts w:ascii="Book Antiqua" w:hAnsi="Book Antiqua" w:cs="Arial"/>
        </w:rPr>
        <w:t>itio</w:t>
      </w:r>
      <w:r w:rsidR="00DF6B71">
        <w:rPr>
          <w:rFonts w:ascii="Book Antiqua" w:hAnsi="Book Antiqua" w:cs="Arial"/>
        </w:rPr>
        <w:t>ns in Iraq.  Nothing in that eviden</w:t>
      </w:r>
      <w:r w:rsidR="00E5109F">
        <w:rPr>
          <w:rFonts w:ascii="Book Antiqua" w:hAnsi="Book Antiqua" w:cs="Arial"/>
        </w:rPr>
        <w:t xml:space="preserve">ce indicated that there </w:t>
      </w:r>
      <w:proofErr w:type="gramStart"/>
      <w:r w:rsidR="00E5109F">
        <w:rPr>
          <w:rFonts w:ascii="Book Antiqua" w:hAnsi="Book Antiqua" w:cs="Arial"/>
        </w:rPr>
        <w:t>was</w:t>
      </w:r>
      <w:proofErr w:type="gramEnd"/>
      <w:r w:rsidR="00E5109F">
        <w:rPr>
          <w:rFonts w:ascii="Book Antiqua" w:hAnsi="Book Antiqua" w:cs="Arial"/>
        </w:rPr>
        <w:t xml:space="preserve"> any</w:t>
      </w:r>
      <w:r w:rsidR="00DF6B71">
        <w:rPr>
          <w:rFonts w:ascii="Book Antiqua" w:hAnsi="Book Antiqua" w:cs="Arial"/>
        </w:rPr>
        <w:t xml:space="preserve"> significant levels of violence in the KAR.  Furthermore, on the finding of the judge, whatever might be the socio-</w:t>
      </w:r>
      <w:r w:rsidR="00592479">
        <w:rPr>
          <w:rFonts w:ascii="Book Antiqua" w:hAnsi="Book Antiqua" w:cs="Arial"/>
        </w:rPr>
        <w:t>economic circumstance</w:t>
      </w:r>
      <w:r w:rsidR="000700EC">
        <w:rPr>
          <w:rFonts w:ascii="Book Antiqua" w:hAnsi="Book Antiqua" w:cs="Arial"/>
        </w:rPr>
        <w:t>s</w:t>
      </w:r>
      <w:r w:rsidR="00592479">
        <w:rPr>
          <w:rFonts w:ascii="Book Antiqua" w:hAnsi="Book Antiqua" w:cs="Arial"/>
        </w:rPr>
        <w:t xml:space="preserve"> of the gene</w:t>
      </w:r>
      <w:r w:rsidR="00DF6B71">
        <w:rPr>
          <w:rFonts w:ascii="Book Antiqua" w:hAnsi="Book Antiqua" w:cs="Arial"/>
        </w:rPr>
        <w:t xml:space="preserve">rality </w:t>
      </w:r>
      <w:r w:rsidR="00CA1543">
        <w:rPr>
          <w:rFonts w:ascii="Book Antiqua" w:hAnsi="Book Antiqua" w:cs="Arial"/>
        </w:rPr>
        <w:t>of persons</w:t>
      </w:r>
      <w:r w:rsidR="00DF6B71">
        <w:rPr>
          <w:rFonts w:ascii="Book Antiqua" w:hAnsi="Book Antiqua" w:cs="Arial"/>
        </w:rPr>
        <w:t xml:space="preserve"> in the KAR</w:t>
      </w:r>
      <w:r w:rsidR="000700EC">
        <w:rPr>
          <w:rFonts w:ascii="Book Antiqua" w:hAnsi="Book Antiqua" w:cs="Arial"/>
        </w:rPr>
        <w:t>,</w:t>
      </w:r>
      <w:r w:rsidR="00DF6B71">
        <w:rPr>
          <w:rFonts w:ascii="Book Antiqua" w:hAnsi="Book Antiqua" w:cs="Arial"/>
        </w:rPr>
        <w:t xml:space="preserve"> </w:t>
      </w:r>
      <w:r w:rsidR="000700EC">
        <w:rPr>
          <w:rFonts w:ascii="Book Antiqua" w:hAnsi="Book Antiqua" w:cs="Arial"/>
        </w:rPr>
        <w:t xml:space="preserve">the judge found that </w:t>
      </w:r>
      <w:r w:rsidR="00DF6B71">
        <w:rPr>
          <w:rFonts w:ascii="Book Antiqua" w:hAnsi="Book Antiqua" w:cs="Arial"/>
        </w:rPr>
        <w:t>she a</w:t>
      </w:r>
      <w:r w:rsidR="00592479">
        <w:rPr>
          <w:rFonts w:ascii="Book Antiqua" w:hAnsi="Book Antiqua" w:cs="Arial"/>
        </w:rPr>
        <w:t>nd her husband would have financi</w:t>
      </w:r>
      <w:r w:rsidR="00DF6B71">
        <w:rPr>
          <w:rFonts w:ascii="Book Antiqua" w:hAnsi="Book Antiqua" w:cs="Arial"/>
        </w:rPr>
        <w:t>al and</w:t>
      </w:r>
      <w:r w:rsidR="00700812">
        <w:rPr>
          <w:rFonts w:ascii="Book Antiqua" w:hAnsi="Book Antiqua" w:cs="Arial"/>
        </w:rPr>
        <w:t xml:space="preserve"> organisational </w:t>
      </w:r>
      <w:r w:rsidR="00592479">
        <w:rPr>
          <w:rFonts w:ascii="Book Antiqua" w:hAnsi="Book Antiqua" w:cs="Arial"/>
        </w:rPr>
        <w:t xml:space="preserve">support from family and/or friends.  At paragraph 65 the judge </w:t>
      </w:r>
      <w:r w:rsidR="000700EC">
        <w:rPr>
          <w:rFonts w:ascii="Book Antiqua" w:hAnsi="Book Antiqua" w:cs="Arial"/>
        </w:rPr>
        <w:t>concluded</w:t>
      </w:r>
      <w:r w:rsidR="00592479">
        <w:rPr>
          <w:rFonts w:ascii="Book Antiqua" w:hAnsi="Book Antiqua" w:cs="Arial"/>
        </w:rPr>
        <w:t xml:space="preserve"> that her hus</w:t>
      </w:r>
      <w:r w:rsidR="00700812">
        <w:rPr>
          <w:rFonts w:ascii="Book Antiqua" w:hAnsi="Book Antiqua" w:cs="Arial"/>
        </w:rPr>
        <w:t>b</w:t>
      </w:r>
      <w:r w:rsidR="00837FE4">
        <w:rPr>
          <w:rFonts w:ascii="Book Antiqua" w:hAnsi="Book Antiqua" w:cs="Arial"/>
        </w:rPr>
        <w:t>and would</w:t>
      </w:r>
      <w:r w:rsidR="00592479">
        <w:rPr>
          <w:rFonts w:ascii="Book Antiqua" w:hAnsi="Book Antiqua" w:cs="Arial"/>
        </w:rPr>
        <w:t xml:space="preserve"> have financial support available from the friend wh</w:t>
      </w:r>
      <w:r w:rsidR="00700812">
        <w:rPr>
          <w:rFonts w:ascii="Book Antiqua" w:hAnsi="Book Antiqua" w:cs="Arial"/>
        </w:rPr>
        <w:t>o had assisted him during his visit</w:t>
      </w:r>
      <w:r w:rsidR="00592479">
        <w:rPr>
          <w:rFonts w:ascii="Book Antiqua" w:hAnsi="Book Antiqua" w:cs="Arial"/>
        </w:rPr>
        <w:t xml:space="preserve"> and at paragraph 66 the judge stated:</w:t>
      </w:r>
    </w:p>
    <w:p w14:paraId="419E83D7" w14:textId="77777777" w:rsidR="00592479" w:rsidRDefault="00592479" w:rsidP="00E154F9">
      <w:pPr>
        <w:tabs>
          <w:tab w:val="left" w:pos="567"/>
        </w:tabs>
        <w:ind w:left="567" w:hanging="567"/>
        <w:jc w:val="both"/>
        <w:rPr>
          <w:rFonts w:ascii="Book Antiqua" w:hAnsi="Book Antiqua" w:cs="Arial"/>
        </w:rPr>
      </w:pPr>
    </w:p>
    <w:p w14:paraId="79349D67" w14:textId="77777777" w:rsidR="00592479" w:rsidRPr="008B5901" w:rsidRDefault="00592479" w:rsidP="00592479">
      <w:pPr>
        <w:ind w:left="1701" w:hanging="567"/>
        <w:jc w:val="both"/>
        <w:rPr>
          <w:rFonts w:ascii="Book Antiqua" w:hAnsi="Book Antiqua" w:cs="Arial"/>
        </w:rPr>
      </w:pPr>
      <w:r>
        <w:rPr>
          <w:rFonts w:ascii="Book Antiqua" w:hAnsi="Book Antiqua" w:cs="Arial"/>
        </w:rPr>
        <w:t>“66.</w:t>
      </w:r>
      <w:r>
        <w:rPr>
          <w:rFonts w:ascii="Book Antiqua" w:hAnsi="Book Antiqua" w:cs="Arial"/>
        </w:rPr>
        <w:tab/>
        <w:t xml:space="preserve">With regard to the Appellant, I find that just as her husband was able to travel safely to </w:t>
      </w:r>
      <w:proofErr w:type="spellStart"/>
      <w:r>
        <w:rPr>
          <w:rFonts w:ascii="Book Antiqua" w:hAnsi="Book Antiqua" w:cs="Arial"/>
        </w:rPr>
        <w:t>Suleimaniya</w:t>
      </w:r>
      <w:r w:rsidR="00546E25">
        <w:rPr>
          <w:rFonts w:ascii="Book Antiqua" w:hAnsi="Book Antiqua" w:cs="Arial"/>
        </w:rPr>
        <w:t>h</w:t>
      </w:r>
      <w:proofErr w:type="spellEnd"/>
      <w:r>
        <w:rPr>
          <w:rFonts w:ascii="Book Antiqua" w:hAnsi="Book Antiqua" w:cs="Arial"/>
        </w:rPr>
        <w:t xml:space="preserve"> without any difficulty, there was no evidence to suggest that the Appellant would face such difficulty.  While there is a difference that Mr Yahia has a British passport while the Appellant has an Iranian one endorse</w:t>
      </w:r>
      <w:r w:rsidR="00F77F5B">
        <w:rPr>
          <w:rFonts w:ascii="Book Antiqua" w:hAnsi="Book Antiqua" w:cs="Arial"/>
        </w:rPr>
        <w:t>d</w:t>
      </w:r>
      <w:r>
        <w:rPr>
          <w:rFonts w:ascii="Book Antiqua" w:hAnsi="Book Antiqua" w:cs="Arial"/>
        </w:rPr>
        <w:t xml:space="preserve"> with a British visa (which she did not provide to this Tribunal) it is reasonable to conclude that the Appellant’</w:t>
      </w:r>
      <w:r w:rsidR="008F17CC">
        <w:rPr>
          <w:rFonts w:ascii="Book Antiqua" w:hAnsi="Book Antiqua" w:cs="Arial"/>
        </w:rPr>
        <w:t>s Iraqi bir</w:t>
      </w:r>
      <w:r>
        <w:rPr>
          <w:rFonts w:ascii="Book Antiqua" w:hAnsi="Book Antiqua" w:cs="Arial"/>
        </w:rPr>
        <w:t xml:space="preserve">th location would have been included on her passport and </w:t>
      </w:r>
      <w:r w:rsidR="00C40DB5">
        <w:rPr>
          <w:rFonts w:ascii="Book Antiqua" w:hAnsi="Book Antiqua" w:cs="Arial"/>
        </w:rPr>
        <w:t>t</w:t>
      </w:r>
      <w:r>
        <w:rPr>
          <w:rFonts w:ascii="Book Antiqua" w:hAnsi="Book Antiqua" w:cs="Arial"/>
        </w:rPr>
        <w:t xml:space="preserve">hat with the financial and organisational support of her husband, as well as local friends in </w:t>
      </w:r>
      <w:proofErr w:type="spellStart"/>
      <w:r>
        <w:rPr>
          <w:rFonts w:ascii="Book Antiqua" w:hAnsi="Book Antiqua" w:cs="Arial"/>
        </w:rPr>
        <w:t>Suleimaniyah</w:t>
      </w:r>
      <w:proofErr w:type="spellEnd"/>
      <w:r>
        <w:rPr>
          <w:rFonts w:ascii="Book Antiqua" w:hAnsi="Book Antiqua" w:cs="Arial"/>
        </w:rPr>
        <w:t>, she would be able to obtain both leave to enter the Kurdish Regional Government area of Iraq, but also be able to obtain a CSID card which is vital for accessing government benefits when returning to Iraq.”</w:t>
      </w:r>
    </w:p>
    <w:p w14:paraId="72877180" w14:textId="77777777" w:rsidR="00E154F9" w:rsidRPr="008B5901" w:rsidRDefault="00E154F9" w:rsidP="00996C8F">
      <w:pPr>
        <w:tabs>
          <w:tab w:val="left" w:pos="567"/>
        </w:tabs>
        <w:ind w:left="567" w:hanging="567"/>
        <w:jc w:val="both"/>
        <w:rPr>
          <w:rFonts w:ascii="Book Antiqua" w:hAnsi="Book Antiqua" w:cs="Arial"/>
        </w:rPr>
      </w:pPr>
    </w:p>
    <w:p w14:paraId="511A29B8" w14:textId="213B6A6A" w:rsidR="00700812" w:rsidRDefault="00C26C8F" w:rsidP="00700812">
      <w:pPr>
        <w:tabs>
          <w:tab w:val="left" w:pos="567"/>
        </w:tabs>
        <w:ind w:left="567" w:hanging="567"/>
        <w:jc w:val="both"/>
        <w:rPr>
          <w:rFonts w:ascii="Book Antiqua" w:hAnsi="Book Antiqua" w:cs="Arial"/>
        </w:rPr>
      </w:pPr>
      <w:r>
        <w:rPr>
          <w:rFonts w:ascii="Book Antiqua" w:hAnsi="Book Antiqua" w:cs="Arial"/>
        </w:rPr>
        <w:t>15</w:t>
      </w:r>
      <w:r w:rsidR="00700812" w:rsidRPr="008B5901">
        <w:rPr>
          <w:rFonts w:ascii="Book Antiqua" w:hAnsi="Book Antiqua" w:cs="Arial"/>
        </w:rPr>
        <w:t>.</w:t>
      </w:r>
      <w:r w:rsidR="00700812" w:rsidRPr="008B5901">
        <w:rPr>
          <w:rFonts w:ascii="Book Antiqua" w:hAnsi="Book Antiqua" w:cs="Arial"/>
        </w:rPr>
        <w:tab/>
      </w:r>
      <w:r w:rsidR="00695404">
        <w:rPr>
          <w:rFonts w:ascii="Book Antiqua" w:hAnsi="Book Antiqua" w:cs="Arial"/>
        </w:rPr>
        <w:t>As regard Professor Jo</w:t>
      </w:r>
      <w:r w:rsidR="00454ABA">
        <w:rPr>
          <w:rFonts w:ascii="Book Antiqua" w:hAnsi="Book Antiqua" w:cs="Arial"/>
        </w:rPr>
        <w:t>ffe’s report</w:t>
      </w:r>
      <w:r w:rsidR="000700EC">
        <w:rPr>
          <w:rFonts w:ascii="Book Antiqua" w:hAnsi="Book Antiqua" w:cs="Arial"/>
        </w:rPr>
        <w:t>,</w:t>
      </w:r>
      <w:r w:rsidR="00454ABA">
        <w:rPr>
          <w:rFonts w:ascii="Book Antiqua" w:hAnsi="Book Antiqua" w:cs="Arial"/>
        </w:rPr>
        <w:t xml:space="preserve"> it is evident</w:t>
      </w:r>
      <w:r w:rsidR="00700812">
        <w:rPr>
          <w:rFonts w:ascii="Book Antiqua" w:hAnsi="Book Antiqua" w:cs="Arial"/>
        </w:rPr>
        <w:t xml:space="preserve"> from his own account of the pre-clearance procedure that the appellant would have no difficulty in establishing that she was (1) Kurdish and (2) had lived in t</w:t>
      </w:r>
      <w:r w:rsidR="00F8473E">
        <w:rPr>
          <w:rFonts w:ascii="Book Antiqua" w:hAnsi="Book Antiqua" w:cs="Arial"/>
        </w:rPr>
        <w:t>he KAR previously.  Professor Jo</w:t>
      </w:r>
      <w:r w:rsidR="00700812">
        <w:rPr>
          <w:rFonts w:ascii="Book Antiqua" w:hAnsi="Book Antiqua" w:cs="Arial"/>
        </w:rPr>
        <w:t xml:space="preserve">ffe’s report </w:t>
      </w:r>
      <w:r w:rsidR="00700812">
        <w:rPr>
          <w:rFonts w:ascii="Book Antiqua" w:hAnsi="Book Antiqua" w:cs="Arial"/>
        </w:rPr>
        <w:lastRenderedPageBreak/>
        <w:t xml:space="preserve">does say that </w:t>
      </w:r>
      <w:r w:rsidR="00CA1543">
        <w:rPr>
          <w:rFonts w:ascii="Book Antiqua" w:hAnsi="Book Antiqua" w:cs="Arial"/>
        </w:rPr>
        <w:t>he was “</w:t>
      </w:r>
      <w:r w:rsidR="00700812">
        <w:rPr>
          <w:rFonts w:ascii="Book Antiqua" w:hAnsi="Book Antiqua" w:cs="Arial"/>
        </w:rPr>
        <w:t>not aware of any such procedure that is actually in operation”</w:t>
      </w:r>
      <w:r w:rsidR="000700EC">
        <w:rPr>
          <w:rFonts w:ascii="Book Antiqua" w:hAnsi="Book Antiqua" w:cs="Arial"/>
        </w:rPr>
        <w:t>,</w:t>
      </w:r>
      <w:r w:rsidR="00700812">
        <w:rPr>
          <w:rFonts w:ascii="Book Antiqua" w:hAnsi="Book Antiqua" w:cs="Arial"/>
        </w:rPr>
        <w:t xml:space="preserve"> but </w:t>
      </w:r>
      <w:r w:rsidR="00CA1543">
        <w:rPr>
          <w:rFonts w:ascii="Book Antiqua" w:hAnsi="Book Antiqua" w:cs="Arial"/>
        </w:rPr>
        <w:t xml:space="preserve">equally </w:t>
      </w:r>
      <w:r w:rsidR="00700812">
        <w:rPr>
          <w:rFonts w:ascii="Book Antiqua" w:hAnsi="Book Antiqua" w:cs="Arial"/>
        </w:rPr>
        <w:t>his report did not assert that such a p</w:t>
      </w:r>
      <w:r w:rsidR="0048169D">
        <w:rPr>
          <w:rFonts w:ascii="Book Antiqua" w:hAnsi="Book Antiqua" w:cs="Arial"/>
        </w:rPr>
        <w:t>rocedure did not act</w:t>
      </w:r>
      <w:r w:rsidR="000700EC">
        <w:rPr>
          <w:rFonts w:ascii="Book Antiqua" w:hAnsi="Book Antiqua" w:cs="Arial"/>
        </w:rPr>
        <w:t>ually</w:t>
      </w:r>
      <w:r w:rsidR="0048169D">
        <w:rPr>
          <w:rFonts w:ascii="Book Antiqua" w:hAnsi="Book Antiqua" w:cs="Arial"/>
        </w:rPr>
        <w:t xml:space="preserve"> exist</w:t>
      </w:r>
      <w:r w:rsidR="00700812">
        <w:rPr>
          <w:rFonts w:ascii="Book Antiqua" w:hAnsi="Book Antiqua" w:cs="Arial"/>
        </w:rPr>
        <w:t xml:space="preserve"> and the </w:t>
      </w:r>
      <w:proofErr w:type="gramStart"/>
      <w:r w:rsidR="00700812">
        <w:rPr>
          <w:rFonts w:ascii="Book Antiqua" w:hAnsi="Book Antiqua" w:cs="Arial"/>
        </w:rPr>
        <w:t>particulars on</w:t>
      </w:r>
      <w:proofErr w:type="gramEnd"/>
      <w:r w:rsidR="00700812">
        <w:rPr>
          <w:rFonts w:ascii="Book Antiqua" w:hAnsi="Book Antiqua" w:cs="Arial"/>
        </w:rPr>
        <w:t xml:space="preserve"> which the judge’s assessment of the appellant depended </w:t>
      </w:r>
      <w:r w:rsidR="00DA7642">
        <w:rPr>
          <w:rFonts w:ascii="Book Antiqua" w:hAnsi="Book Antiqua" w:cs="Arial"/>
        </w:rPr>
        <w:t xml:space="preserve">– </w:t>
      </w:r>
      <w:r w:rsidR="00700812">
        <w:rPr>
          <w:rFonts w:ascii="Book Antiqua" w:hAnsi="Book Antiqua" w:cs="Arial"/>
        </w:rPr>
        <w:t xml:space="preserve">that she would be able to get a CSID “with the financial and organisational support of </w:t>
      </w:r>
      <w:r w:rsidR="00B57B16">
        <w:rPr>
          <w:rFonts w:ascii="Book Antiqua" w:hAnsi="Book Antiqua" w:cs="Arial"/>
        </w:rPr>
        <w:t>her husband</w:t>
      </w:r>
      <w:r w:rsidR="00700812">
        <w:rPr>
          <w:rFonts w:ascii="Book Antiqua" w:hAnsi="Book Antiqua" w:cs="Arial"/>
        </w:rPr>
        <w:t>, as well a</w:t>
      </w:r>
      <w:r w:rsidR="000D44D7">
        <w:rPr>
          <w:rFonts w:ascii="Book Antiqua" w:hAnsi="Book Antiqua" w:cs="Arial"/>
        </w:rPr>
        <w:t xml:space="preserve">s local friends in </w:t>
      </w:r>
      <w:proofErr w:type="spellStart"/>
      <w:r w:rsidR="000D44D7">
        <w:rPr>
          <w:rFonts w:ascii="Book Antiqua" w:hAnsi="Book Antiqua" w:cs="Arial"/>
        </w:rPr>
        <w:t>Sulaiymania</w:t>
      </w:r>
      <w:proofErr w:type="spellEnd"/>
      <w:r w:rsidR="000D44D7">
        <w:rPr>
          <w:rFonts w:ascii="Book Antiqua" w:hAnsi="Book Antiqua" w:cs="Arial"/>
        </w:rPr>
        <w:t xml:space="preserve">” </w:t>
      </w:r>
      <w:r w:rsidR="00700812">
        <w:rPr>
          <w:rFonts w:ascii="Book Antiqua" w:hAnsi="Book Antiqua" w:cs="Arial"/>
        </w:rPr>
        <w:t>were not add</w:t>
      </w:r>
      <w:r w:rsidR="00A716D6">
        <w:rPr>
          <w:rFonts w:ascii="Book Antiqua" w:hAnsi="Book Antiqua" w:cs="Arial"/>
        </w:rPr>
        <w:t>ressed by Professor Joffe’s repor</w:t>
      </w:r>
      <w:r w:rsidR="00700812">
        <w:rPr>
          <w:rFonts w:ascii="Book Antiqua" w:hAnsi="Book Antiqua" w:cs="Arial"/>
        </w:rPr>
        <w:t>t.  We would add that the judge’s assessment of the appellant’s specific ability to obtain a CSID was entirely in accord with the Tribunal’s country g</w:t>
      </w:r>
      <w:r w:rsidR="00167687">
        <w:rPr>
          <w:rFonts w:ascii="Book Antiqua" w:hAnsi="Book Antiqua" w:cs="Arial"/>
        </w:rPr>
        <w:t>uidance in Iraq as confirmed in</w:t>
      </w:r>
      <w:r w:rsidR="00700812">
        <w:rPr>
          <w:rFonts w:ascii="Book Antiqua" w:hAnsi="Book Antiqua" w:cs="Arial"/>
        </w:rPr>
        <w:t xml:space="preserve"> modified form by the Court of Appeal in </w:t>
      </w:r>
      <w:r w:rsidR="00700812" w:rsidRPr="000D44D7">
        <w:rPr>
          <w:rFonts w:ascii="Book Antiqua" w:hAnsi="Book Antiqua" w:cs="Arial"/>
          <w:b/>
          <w:u w:val="single"/>
        </w:rPr>
        <w:t>AA</w:t>
      </w:r>
      <w:r w:rsidR="00700812" w:rsidRPr="000D44D7">
        <w:rPr>
          <w:rFonts w:ascii="Book Antiqua" w:hAnsi="Book Antiqua" w:cs="Arial"/>
          <w:b/>
        </w:rPr>
        <w:t xml:space="preserve"> (Iraq) [</w:t>
      </w:r>
      <w:r w:rsidR="00700812" w:rsidRPr="000700EC">
        <w:rPr>
          <w:rFonts w:ascii="Book Antiqua" w:hAnsi="Book Antiqua" w:cs="Arial"/>
        </w:rPr>
        <w:t xml:space="preserve">2017] EWCA </w:t>
      </w:r>
      <w:proofErr w:type="spellStart"/>
      <w:r w:rsidR="00700812" w:rsidRPr="000700EC">
        <w:rPr>
          <w:rFonts w:ascii="Book Antiqua" w:hAnsi="Book Antiqua" w:cs="Arial"/>
        </w:rPr>
        <w:t>Civ</w:t>
      </w:r>
      <w:proofErr w:type="spellEnd"/>
      <w:r w:rsidR="00700812" w:rsidRPr="000700EC">
        <w:rPr>
          <w:rFonts w:ascii="Book Antiqua" w:hAnsi="Book Antiqua" w:cs="Arial"/>
        </w:rPr>
        <w:t xml:space="preserve"> 944</w:t>
      </w:r>
      <w:r w:rsidR="00700812">
        <w:rPr>
          <w:rFonts w:ascii="Book Antiqua" w:hAnsi="Book Antiqua" w:cs="Arial"/>
        </w:rPr>
        <w:t xml:space="preserve"> at C9 and C10.</w:t>
      </w:r>
    </w:p>
    <w:p w14:paraId="73BF592C" w14:textId="77777777" w:rsidR="00700812" w:rsidRDefault="00700812" w:rsidP="00700812">
      <w:pPr>
        <w:tabs>
          <w:tab w:val="left" w:pos="567"/>
        </w:tabs>
        <w:ind w:left="567" w:hanging="567"/>
        <w:jc w:val="both"/>
        <w:rPr>
          <w:rFonts w:ascii="Book Antiqua" w:hAnsi="Book Antiqua" w:cs="Arial"/>
        </w:rPr>
      </w:pPr>
    </w:p>
    <w:p w14:paraId="0ECCEB51" w14:textId="7B742935" w:rsidR="00700812" w:rsidRDefault="00C26C8F" w:rsidP="00700812">
      <w:pPr>
        <w:tabs>
          <w:tab w:val="left" w:pos="567"/>
        </w:tabs>
        <w:ind w:left="567" w:hanging="567"/>
        <w:jc w:val="both"/>
        <w:rPr>
          <w:rFonts w:ascii="Book Antiqua" w:hAnsi="Book Antiqua" w:cs="Arial"/>
        </w:rPr>
      </w:pPr>
      <w:r>
        <w:rPr>
          <w:rFonts w:ascii="Book Antiqua" w:hAnsi="Book Antiqua" w:cs="Arial"/>
        </w:rPr>
        <w:t>16</w:t>
      </w:r>
      <w:r w:rsidR="00700812" w:rsidRPr="008B5901">
        <w:rPr>
          <w:rFonts w:ascii="Book Antiqua" w:hAnsi="Book Antiqua" w:cs="Arial"/>
        </w:rPr>
        <w:t>.</w:t>
      </w:r>
      <w:r w:rsidR="00700812" w:rsidRPr="008B5901">
        <w:rPr>
          <w:rFonts w:ascii="Book Antiqua" w:hAnsi="Book Antiqua" w:cs="Arial"/>
        </w:rPr>
        <w:tab/>
      </w:r>
      <w:r w:rsidR="00700812">
        <w:rPr>
          <w:rFonts w:ascii="Book Antiqua" w:hAnsi="Book Antiqua" w:cs="Arial"/>
        </w:rPr>
        <w:t xml:space="preserve">We are sceptical of Mr </w:t>
      </w:r>
      <w:proofErr w:type="spellStart"/>
      <w:r w:rsidR="00700812">
        <w:rPr>
          <w:rFonts w:ascii="Book Antiqua" w:hAnsi="Book Antiqua" w:cs="Arial"/>
        </w:rPr>
        <w:t>Kotas</w:t>
      </w:r>
      <w:proofErr w:type="spellEnd"/>
      <w:r w:rsidR="00700812">
        <w:rPr>
          <w:rFonts w:ascii="Book Antiqua" w:hAnsi="Book Antiqua" w:cs="Arial"/>
        </w:rPr>
        <w:t>’ submission that assessment of th</w:t>
      </w:r>
      <w:r w:rsidR="00C7082D">
        <w:rPr>
          <w:rFonts w:ascii="Book Antiqua" w:hAnsi="Book Antiqua" w:cs="Arial"/>
        </w:rPr>
        <w:t xml:space="preserve">e feasibility of return is </w:t>
      </w:r>
      <w:proofErr w:type="spellStart"/>
      <w:r w:rsidR="00C7082D">
        <w:rPr>
          <w:rFonts w:ascii="Book Antiqua" w:hAnsi="Book Antiqua" w:cs="Arial"/>
        </w:rPr>
        <w:t>outwi</w:t>
      </w:r>
      <w:r w:rsidR="00700812">
        <w:rPr>
          <w:rFonts w:ascii="Book Antiqua" w:hAnsi="Book Antiqua" w:cs="Arial"/>
        </w:rPr>
        <w:t>th</w:t>
      </w:r>
      <w:proofErr w:type="spellEnd"/>
      <w:r w:rsidR="00700812">
        <w:rPr>
          <w:rFonts w:ascii="Book Antiqua" w:hAnsi="Book Antiqua" w:cs="Arial"/>
        </w:rPr>
        <w:t xml:space="preserve"> the scope of paragraph 276ADE.  There is nothing in the wording of paragraph 276ADE to suggest that “very significant obstacles” is to be </w:t>
      </w:r>
      <w:r w:rsidR="000700EC">
        <w:rPr>
          <w:rFonts w:ascii="Book Antiqua" w:hAnsi="Book Antiqua" w:cs="Arial"/>
        </w:rPr>
        <w:t>construed</w:t>
      </w:r>
      <w:r w:rsidR="00C7082D">
        <w:rPr>
          <w:rFonts w:ascii="Book Antiqua" w:hAnsi="Book Antiqua" w:cs="Arial"/>
        </w:rPr>
        <w:t xml:space="preserve"> as precluding difficulties in obtaining clearance to return to a country </w:t>
      </w:r>
      <w:r w:rsidR="000700EC">
        <w:rPr>
          <w:rFonts w:ascii="Book Antiqua" w:hAnsi="Book Antiqua" w:cs="Arial"/>
        </w:rPr>
        <w:t xml:space="preserve">or </w:t>
      </w:r>
      <w:r w:rsidR="00C7082D">
        <w:rPr>
          <w:rFonts w:ascii="Book Antiqua" w:hAnsi="Book Antiqua" w:cs="Arial"/>
        </w:rPr>
        <w:t>area of a</w:t>
      </w:r>
      <w:r w:rsidR="00B644F7">
        <w:rPr>
          <w:rFonts w:ascii="Book Antiqua" w:hAnsi="Book Antiqua" w:cs="Arial"/>
        </w:rPr>
        <w:t xml:space="preserve"> country </w:t>
      </w:r>
      <w:r w:rsidR="00C7082D">
        <w:rPr>
          <w:rFonts w:ascii="Book Antiqua" w:hAnsi="Book Antiqua" w:cs="Arial"/>
        </w:rPr>
        <w:t xml:space="preserve">or in obtaining documentation necessary </w:t>
      </w:r>
      <w:r w:rsidR="000700EC">
        <w:rPr>
          <w:rFonts w:ascii="Book Antiqua" w:hAnsi="Book Antiqua" w:cs="Arial"/>
        </w:rPr>
        <w:t>for</w:t>
      </w:r>
      <w:r w:rsidR="00C7082D">
        <w:rPr>
          <w:rFonts w:ascii="Book Antiqua" w:hAnsi="Book Antiqua" w:cs="Arial"/>
        </w:rPr>
        <w:t xml:space="preserve"> social and economic survival.  </w:t>
      </w:r>
      <w:proofErr w:type="gramStart"/>
      <w:r w:rsidR="00C7082D">
        <w:rPr>
          <w:rFonts w:ascii="Book Antiqua" w:hAnsi="Book Antiqua" w:cs="Arial"/>
        </w:rPr>
        <w:t>Certainly</w:t>
      </w:r>
      <w:proofErr w:type="gramEnd"/>
      <w:r w:rsidR="00C7082D">
        <w:rPr>
          <w:rFonts w:ascii="Book Antiqua" w:hAnsi="Book Antiqua" w:cs="Arial"/>
        </w:rPr>
        <w:t xml:space="preserve"> there may be cases where the failure of an applicant </w:t>
      </w:r>
      <w:r w:rsidR="00CA1543">
        <w:rPr>
          <w:rFonts w:ascii="Book Antiqua" w:hAnsi="Book Antiqua" w:cs="Arial"/>
        </w:rPr>
        <w:t>pursuing</w:t>
      </w:r>
      <w:r w:rsidR="00C7082D">
        <w:rPr>
          <w:rFonts w:ascii="Book Antiqua" w:hAnsi="Book Antiqua" w:cs="Arial"/>
        </w:rPr>
        <w:t xml:space="preserve"> a claim based on family and private life grounds to make a specific protection claim </w:t>
      </w:r>
      <w:r w:rsidR="00CA1543">
        <w:rPr>
          <w:rFonts w:ascii="Book Antiqua" w:hAnsi="Book Antiqua" w:cs="Arial"/>
        </w:rPr>
        <w:t>reflects negatively on</w:t>
      </w:r>
      <w:r w:rsidR="000700EC">
        <w:rPr>
          <w:rFonts w:ascii="Book Antiqua" w:hAnsi="Book Antiqua" w:cs="Arial"/>
        </w:rPr>
        <w:t xml:space="preserve"> the former</w:t>
      </w:r>
      <w:r w:rsidR="00C7082D">
        <w:rPr>
          <w:rFonts w:ascii="Book Antiqua" w:hAnsi="Book Antiqua" w:cs="Arial"/>
        </w:rPr>
        <w:t>, but once a decision maker has to address the paragraph 276ADE requirements</w:t>
      </w:r>
      <w:r w:rsidR="000700EC">
        <w:rPr>
          <w:rFonts w:ascii="Book Antiqua" w:hAnsi="Book Antiqua" w:cs="Arial"/>
        </w:rPr>
        <w:t>,</w:t>
      </w:r>
      <w:r w:rsidR="00C7082D">
        <w:rPr>
          <w:rFonts w:ascii="Book Antiqua" w:hAnsi="Book Antiqua" w:cs="Arial"/>
        </w:rPr>
        <w:t xml:space="preserve"> his or her assessment must take into account all relevant facts including feasibility of return.  However, we do not need to reach a definitive vie</w:t>
      </w:r>
      <w:r w:rsidR="000700EC">
        <w:rPr>
          <w:rFonts w:ascii="Book Antiqua" w:hAnsi="Book Antiqua" w:cs="Arial"/>
        </w:rPr>
        <w:t>w on this matter for the reason</w:t>
      </w:r>
      <w:r w:rsidR="00C7082D">
        <w:rPr>
          <w:rFonts w:ascii="Book Antiqua" w:hAnsi="Book Antiqua" w:cs="Arial"/>
        </w:rPr>
        <w:t xml:space="preserve"> that the judge’s treatment of paragraph 276ADE at paragraph 70 must be read together with paragraphs 66 where he concludes the appellant would be able to return.</w:t>
      </w:r>
    </w:p>
    <w:p w14:paraId="666C3F7E" w14:textId="77777777" w:rsidR="0023168C" w:rsidRDefault="0023168C" w:rsidP="00700812">
      <w:pPr>
        <w:tabs>
          <w:tab w:val="left" w:pos="567"/>
        </w:tabs>
        <w:ind w:left="567" w:hanging="567"/>
        <w:jc w:val="both"/>
        <w:rPr>
          <w:rFonts w:ascii="Book Antiqua" w:hAnsi="Book Antiqua" w:cs="Arial"/>
        </w:rPr>
      </w:pPr>
    </w:p>
    <w:p w14:paraId="61CCA009" w14:textId="77777777" w:rsidR="0023168C" w:rsidRPr="008B5901" w:rsidRDefault="00C26C8F" w:rsidP="0023168C">
      <w:pPr>
        <w:tabs>
          <w:tab w:val="left" w:pos="567"/>
        </w:tabs>
        <w:ind w:left="567" w:hanging="567"/>
        <w:jc w:val="both"/>
        <w:rPr>
          <w:rFonts w:ascii="Book Antiqua" w:hAnsi="Book Antiqua" w:cs="Arial"/>
        </w:rPr>
      </w:pPr>
      <w:r>
        <w:rPr>
          <w:rFonts w:ascii="Book Antiqua" w:hAnsi="Book Antiqua" w:cs="Arial"/>
        </w:rPr>
        <w:t>17</w:t>
      </w:r>
      <w:r w:rsidR="0023168C" w:rsidRPr="008B5901">
        <w:rPr>
          <w:rFonts w:ascii="Book Antiqua" w:hAnsi="Book Antiqua" w:cs="Arial"/>
        </w:rPr>
        <w:t>.</w:t>
      </w:r>
      <w:r w:rsidR="0023168C" w:rsidRPr="008B5901">
        <w:rPr>
          <w:rFonts w:ascii="Book Antiqua" w:hAnsi="Book Antiqua" w:cs="Arial"/>
        </w:rPr>
        <w:tab/>
      </w:r>
      <w:r w:rsidR="0023168C">
        <w:rPr>
          <w:rFonts w:ascii="Book Antiqua" w:hAnsi="Book Antiqua" w:cs="Arial"/>
        </w:rPr>
        <w:t>We turn then to the appellant’s first ground which assails the judge’s treatment of the suitability requirements.  Here we do discern legal error.</w:t>
      </w:r>
    </w:p>
    <w:p w14:paraId="02245C41" w14:textId="77777777" w:rsidR="0023168C" w:rsidRPr="008B5901" w:rsidRDefault="0023168C" w:rsidP="00700812">
      <w:pPr>
        <w:tabs>
          <w:tab w:val="left" w:pos="567"/>
        </w:tabs>
        <w:ind w:left="567" w:hanging="567"/>
        <w:jc w:val="both"/>
        <w:rPr>
          <w:rFonts w:ascii="Book Antiqua" w:hAnsi="Book Antiqua" w:cs="Arial"/>
        </w:rPr>
      </w:pPr>
    </w:p>
    <w:p w14:paraId="47F3DB11" w14:textId="12DA1625" w:rsidR="0023168C" w:rsidRPr="008B5901" w:rsidRDefault="00C26C8F" w:rsidP="0023168C">
      <w:pPr>
        <w:tabs>
          <w:tab w:val="left" w:pos="567"/>
        </w:tabs>
        <w:ind w:left="567" w:hanging="567"/>
        <w:jc w:val="both"/>
        <w:rPr>
          <w:rFonts w:ascii="Book Antiqua" w:hAnsi="Book Antiqua" w:cs="Arial"/>
        </w:rPr>
      </w:pPr>
      <w:r>
        <w:rPr>
          <w:rFonts w:ascii="Book Antiqua" w:hAnsi="Book Antiqua" w:cs="Arial"/>
        </w:rPr>
        <w:t>18</w:t>
      </w:r>
      <w:r w:rsidR="0023168C" w:rsidRPr="008B5901">
        <w:rPr>
          <w:rFonts w:ascii="Book Antiqua" w:hAnsi="Book Antiqua" w:cs="Arial"/>
        </w:rPr>
        <w:t>.</w:t>
      </w:r>
      <w:r w:rsidR="0023168C" w:rsidRPr="008B5901">
        <w:rPr>
          <w:rFonts w:ascii="Book Antiqua" w:hAnsi="Book Antiqua" w:cs="Arial"/>
        </w:rPr>
        <w:tab/>
      </w:r>
      <w:r w:rsidR="0023168C">
        <w:rPr>
          <w:rFonts w:ascii="Book Antiqua" w:hAnsi="Book Antiqua" w:cs="Arial"/>
        </w:rPr>
        <w:t xml:space="preserve">Mr </w:t>
      </w:r>
      <w:proofErr w:type="spellStart"/>
      <w:r w:rsidR="0023168C">
        <w:rPr>
          <w:rFonts w:ascii="Book Antiqua" w:hAnsi="Book Antiqua" w:cs="Arial"/>
        </w:rPr>
        <w:t>Kotas’s</w:t>
      </w:r>
      <w:proofErr w:type="spellEnd"/>
      <w:r w:rsidR="0023168C">
        <w:rPr>
          <w:rFonts w:ascii="Book Antiqua" w:hAnsi="Book Antiqua" w:cs="Arial"/>
        </w:rPr>
        <w:t xml:space="preserve"> objection regarding the judge’s citation of the unreport</w:t>
      </w:r>
      <w:r w:rsidR="000700EC">
        <w:rPr>
          <w:rFonts w:ascii="Book Antiqua" w:hAnsi="Book Antiqua" w:cs="Arial"/>
        </w:rPr>
        <w:t xml:space="preserve">ed case is misplaced </w:t>
      </w:r>
      <w:r w:rsidR="00B57B16">
        <w:rPr>
          <w:rFonts w:ascii="Book Antiqua" w:hAnsi="Book Antiqua" w:cs="Arial"/>
        </w:rPr>
        <w:t>because</w:t>
      </w:r>
      <w:r w:rsidR="00CA1543">
        <w:rPr>
          <w:rFonts w:ascii="Book Antiqua" w:hAnsi="Book Antiqua" w:cs="Arial"/>
        </w:rPr>
        <w:t>,</w:t>
      </w:r>
      <w:r w:rsidR="00B57B16">
        <w:rPr>
          <w:rFonts w:ascii="Book Antiqua" w:hAnsi="Book Antiqua" w:cs="Arial"/>
        </w:rPr>
        <w:t xml:space="preserve"> irrespective</w:t>
      </w:r>
      <w:r w:rsidR="0023168C">
        <w:rPr>
          <w:rFonts w:ascii="Book Antiqua" w:hAnsi="Book Antiqua" w:cs="Arial"/>
        </w:rPr>
        <w:t xml:space="preserve"> of whether the judge a</w:t>
      </w:r>
      <w:r w:rsidR="001D2CFE">
        <w:rPr>
          <w:rFonts w:ascii="Book Antiqua" w:hAnsi="Book Antiqua" w:cs="Arial"/>
        </w:rPr>
        <w:t>dhere</w:t>
      </w:r>
      <w:r w:rsidR="000700EC">
        <w:rPr>
          <w:rFonts w:ascii="Book Antiqua" w:hAnsi="Book Antiqua" w:cs="Arial"/>
        </w:rPr>
        <w:t>d</w:t>
      </w:r>
      <w:r w:rsidR="001D2CFE">
        <w:rPr>
          <w:rFonts w:ascii="Book Antiqua" w:hAnsi="Book Antiqua" w:cs="Arial"/>
        </w:rPr>
        <w:t xml:space="preserve"> strictly to the Practice D</w:t>
      </w:r>
      <w:r w:rsidR="0023168C">
        <w:rPr>
          <w:rFonts w:ascii="Book Antiqua" w:hAnsi="Book Antiqua" w:cs="Arial"/>
        </w:rPr>
        <w:t>irections</w:t>
      </w:r>
      <w:r w:rsidR="00CA1543">
        <w:rPr>
          <w:rFonts w:ascii="Book Antiqua" w:hAnsi="Book Antiqua" w:cs="Arial"/>
        </w:rPr>
        <w:t>,</w:t>
      </w:r>
      <w:r w:rsidR="0023168C">
        <w:rPr>
          <w:rFonts w:ascii="Book Antiqua" w:hAnsi="Book Antiqua" w:cs="Arial"/>
        </w:rPr>
        <w:t xml:space="preserve"> he had cited it.  Furthermore PD 11.3 states that “…the Tribunal will not exclude good arguments from consideration but it will be </w:t>
      </w:r>
      <w:r w:rsidR="000700EC">
        <w:rPr>
          <w:rFonts w:ascii="Book Antiqua" w:hAnsi="Book Antiqua" w:cs="Arial"/>
        </w:rPr>
        <w:t>rare</w:t>
      </w:r>
      <w:r w:rsidR="0023168C">
        <w:rPr>
          <w:rFonts w:ascii="Book Antiqua" w:hAnsi="Book Antiqua" w:cs="Arial"/>
        </w:rPr>
        <w:t xml:space="preserve"> for such an argument to be capable of being made only by </w:t>
      </w:r>
      <w:r w:rsidR="003950EB">
        <w:rPr>
          <w:rFonts w:ascii="Book Antiqua" w:hAnsi="Book Antiqua" w:cs="Arial"/>
        </w:rPr>
        <w:t>reference to an unreported determina</w:t>
      </w:r>
      <w:r w:rsidR="0023168C">
        <w:rPr>
          <w:rFonts w:ascii="Book Antiqua" w:hAnsi="Book Antiqua" w:cs="Arial"/>
        </w:rPr>
        <w:t>tion.”  That is important in re</w:t>
      </w:r>
      <w:r w:rsidR="00224BD9">
        <w:rPr>
          <w:rFonts w:ascii="Book Antiqua" w:hAnsi="Book Antiqua" w:cs="Arial"/>
        </w:rPr>
        <w:t>s</w:t>
      </w:r>
      <w:r w:rsidR="0023168C">
        <w:rPr>
          <w:rFonts w:ascii="Book Antiqua" w:hAnsi="Book Antiqua" w:cs="Arial"/>
        </w:rPr>
        <w:t xml:space="preserve">pect of UTJ Bruce’s determination because it contained not </w:t>
      </w:r>
      <w:r w:rsidR="003950EB">
        <w:rPr>
          <w:rFonts w:ascii="Book Antiqua" w:hAnsi="Book Antiqua" w:cs="Arial"/>
        </w:rPr>
        <w:t>simply her evaluation of the</w:t>
      </w:r>
      <w:r w:rsidR="00CA1543">
        <w:rPr>
          <w:rFonts w:ascii="Book Antiqua" w:hAnsi="Book Antiqua" w:cs="Arial"/>
        </w:rPr>
        <w:t xml:space="preserve"> general </w:t>
      </w:r>
      <w:r w:rsidR="000700EC">
        <w:rPr>
          <w:rFonts w:ascii="Book Antiqua" w:hAnsi="Book Antiqua" w:cs="Arial"/>
        </w:rPr>
        <w:t>“</w:t>
      </w:r>
      <w:r w:rsidR="003950EB">
        <w:rPr>
          <w:rFonts w:ascii="Book Antiqua" w:hAnsi="Book Antiqua" w:cs="Arial"/>
        </w:rPr>
        <w:t>cond</w:t>
      </w:r>
      <w:r w:rsidR="0023168C">
        <w:rPr>
          <w:rFonts w:ascii="Book Antiqua" w:hAnsi="Book Antiqua" w:cs="Arial"/>
        </w:rPr>
        <w:t>ucive to the publ</w:t>
      </w:r>
      <w:r w:rsidR="003950EB">
        <w:rPr>
          <w:rFonts w:ascii="Book Antiqua" w:hAnsi="Book Antiqua" w:cs="Arial"/>
        </w:rPr>
        <w:t>i</w:t>
      </w:r>
      <w:r w:rsidR="0023168C">
        <w:rPr>
          <w:rFonts w:ascii="Book Antiqua" w:hAnsi="Book Antiqua" w:cs="Arial"/>
        </w:rPr>
        <w:t>c good</w:t>
      </w:r>
      <w:r w:rsidR="000700EC">
        <w:rPr>
          <w:rFonts w:ascii="Book Antiqua" w:hAnsi="Book Antiqua" w:cs="Arial"/>
        </w:rPr>
        <w:t>”</w:t>
      </w:r>
      <w:r w:rsidR="0023168C">
        <w:rPr>
          <w:rFonts w:ascii="Book Antiqua" w:hAnsi="Book Antiqua" w:cs="Arial"/>
        </w:rPr>
        <w:t xml:space="preserve"> ground of refusal</w:t>
      </w:r>
      <w:r w:rsidR="000700EC">
        <w:rPr>
          <w:rFonts w:ascii="Book Antiqua" w:hAnsi="Book Antiqua" w:cs="Arial"/>
        </w:rPr>
        <w:t>,</w:t>
      </w:r>
      <w:r w:rsidR="0023168C">
        <w:rPr>
          <w:rFonts w:ascii="Book Antiqua" w:hAnsi="Book Antiqua" w:cs="Arial"/>
        </w:rPr>
        <w:t xml:space="preserve"> but quoted from the Home Office policy, so that it was relevant as a source as well as for evaluation.  </w:t>
      </w:r>
      <w:r w:rsidR="00B57B16">
        <w:rPr>
          <w:rFonts w:ascii="Book Antiqua" w:hAnsi="Book Antiqua" w:cs="Arial"/>
        </w:rPr>
        <w:t>Furthermore,</w:t>
      </w:r>
      <w:r w:rsidR="0023168C">
        <w:rPr>
          <w:rFonts w:ascii="Book Antiqua" w:hAnsi="Book Antiqua" w:cs="Arial"/>
        </w:rPr>
        <w:t xml:space="preserve"> we are not aware that the main propositions made in it </w:t>
      </w:r>
      <w:r w:rsidR="00273E57">
        <w:rPr>
          <w:rFonts w:ascii="Book Antiqua" w:hAnsi="Book Antiqua" w:cs="Arial"/>
        </w:rPr>
        <w:t xml:space="preserve">by UTJ Bruce </w:t>
      </w:r>
      <w:r w:rsidR="000700EC">
        <w:rPr>
          <w:rFonts w:ascii="Book Antiqua" w:hAnsi="Book Antiqua" w:cs="Arial"/>
        </w:rPr>
        <w:t>are</w:t>
      </w:r>
      <w:r w:rsidR="00273E57">
        <w:rPr>
          <w:rFonts w:ascii="Book Antiqua" w:hAnsi="Book Antiqua" w:cs="Arial"/>
        </w:rPr>
        <w:t xml:space="preserve"> to be found in an</w:t>
      </w:r>
      <w:r w:rsidR="0023168C">
        <w:rPr>
          <w:rFonts w:ascii="Book Antiqua" w:hAnsi="Book Antiqua" w:cs="Arial"/>
        </w:rPr>
        <w:t>y reported Tribunal case or higher court authority.  In any event</w:t>
      </w:r>
      <w:r w:rsidR="000700EC">
        <w:rPr>
          <w:rFonts w:ascii="Book Antiqua" w:hAnsi="Book Antiqua" w:cs="Arial"/>
        </w:rPr>
        <w:t>,</w:t>
      </w:r>
      <w:r w:rsidR="0023168C">
        <w:rPr>
          <w:rFonts w:ascii="Book Antiqua" w:hAnsi="Book Antiqua" w:cs="Arial"/>
        </w:rPr>
        <w:t xml:space="preserve"> whether by reference to UTJ</w:t>
      </w:r>
      <w:r w:rsidR="00224BD9">
        <w:rPr>
          <w:rFonts w:ascii="Book Antiqua" w:hAnsi="Book Antiqua" w:cs="Arial"/>
        </w:rPr>
        <w:t xml:space="preserve"> Bruce’s determination or by direct reference to the reasoning therein, it was both appropriate and fair for the </w:t>
      </w:r>
      <w:proofErr w:type="spellStart"/>
      <w:r w:rsidR="00224BD9">
        <w:rPr>
          <w:rFonts w:ascii="Book Antiqua" w:hAnsi="Book Antiqua" w:cs="Arial"/>
        </w:rPr>
        <w:t>FtT</w:t>
      </w:r>
      <w:proofErr w:type="spellEnd"/>
      <w:r w:rsidR="00224BD9">
        <w:rPr>
          <w:rFonts w:ascii="Book Antiqua" w:hAnsi="Book Antiqua" w:cs="Arial"/>
        </w:rPr>
        <w:t xml:space="preserve"> judge to address the underlying argument that her deception was not within the scope of the suitability ground applied by the respondent against the appellant.  It was not therefore </w:t>
      </w:r>
      <w:r w:rsidR="000700EC">
        <w:rPr>
          <w:rFonts w:ascii="Book Antiqua" w:hAnsi="Book Antiqua" w:cs="Arial"/>
        </w:rPr>
        <w:t xml:space="preserve">(as argued by Mr </w:t>
      </w:r>
      <w:proofErr w:type="spellStart"/>
      <w:r w:rsidR="000700EC">
        <w:rPr>
          <w:rFonts w:ascii="Book Antiqua" w:hAnsi="Book Antiqua" w:cs="Arial"/>
        </w:rPr>
        <w:t>Kotas</w:t>
      </w:r>
      <w:proofErr w:type="spellEnd"/>
      <w:r w:rsidR="000700EC">
        <w:rPr>
          <w:rFonts w:ascii="Book Antiqua" w:hAnsi="Book Antiqua" w:cs="Arial"/>
        </w:rPr>
        <w:t xml:space="preserve">) </w:t>
      </w:r>
      <w:r w:rsidR="00224BD9">
        <w:rPr>
          <w:rFonts w:ascii="Book Antiqua" w:hAnsi="Book Antiqua" w:cs="Arial"/>
        </w:rPr>
        <w:t>a question of whether the judge was obliged to attach weight to an unreported decision.</w:t>
      </w:r>
    </w:p>
    <w:p w14:paraId="7127F085" w14:textId="77777777" w:rsidR="00700812" w:rsidRPr="008B5901" w:rsidRDefault="00700812" w:rsidP="00700812">
      <w:pPr>
        <w:tabs>
          <w:tab w:val="left" w:pos="567"/>
        </w:tabs>
        <w:ind w:left="567" w:hanging="567"/>
        <w:jc w:val="both"/>
        <w:rPr>
          <w:rFonts w:ascii="Book Antiqua" w:hAnsi="Book Antiqua" w:cs="Arial"/>
        </w:rPr>
      </w:pPr>
    </w:p>
    <w:p w14:paraId="24430AE4" w14:textId="44840058" w:rsidR="00224BD9" w:rsidRPr="008B5901" w:rsidRDefault="00C26C8F" w:rsidP="00224BD9">
      <w:pPr>
        <w:tabs>
          <w:tab w:val="left" w:pos="567"/>
        </w:tabs>
        <w:ind w:left="567" w:hanging="567"/>
        <w:jc w:val="both"/>
        <w:rPr>
          <w:rFonts w:ascii="Book Antiqua" w:hAnsi="Book Antiqua" w:cs="Arial"/>
        </w:rPr>
      </w:pPr>
      <w:r>
        <w:rPr>
          <w:rFonts w:ascii="Book Antiqua" w:hAnsi="Book Antiqua" w:cs="Arial"/>
        </w:rPr>
        <w:t>19</w:t>
      </w:r>
      <w:r w:rsidR="00224BD9" w:rsidRPr="008B5901">
        <w:rPr>
          <w:rFonts w:ascii="Book Antiqua" w:hAnsi="Book Antiqua" w:cs="Arial"/>
        </w:rPr>
        <w:t>.</w:t>
      </w:r>
      <w:r w:rsidR="00224BD9" w:rsidRPr="008B5901">
        <w:rPr>
          <w:rFonts w:ascii="Book Antiqua" w:hAnsi="Book Antiqua" w:cs="Arial"/>
        </w:rPr>
        <w:tab/>
      </w:r>
      <w:r w:rsidR="009C1045">
        <w:rPr>
          <w:rFonts w:ascii="Book Antiqua" w:hAnsi="Book Antiqua" w:cs="Arial"/>
        </w:rPr>
        <w:t xml:space="preserve">Objection to the </w:t>
      </w:r>
      <w:proofErr w:type="spellStart"/>
      <w:r w:rsidR="009C1045">
        <w:rPr>
          <w:rFonts w:ascii="Book Antiqua" w:hAnsi="Book Antiqua" w:cs="Arial"/>
        </w:rPr>
        <w:t>FtT</w:t>
      </w:r>
      <w:proofErr w:type="spellEnd"/>
      <w:r w:rsidR="009C1045">
        <w:rPr>
          <w:rFonts w:ascii="Book Antiqua" w:hAnsi="Book Antiqua" w:cs="Arial"/>
        </w:rPr>
        <w:t xml:space="preserve"> judge’s citation of UTJ Bruce’s determination does not overcome the fundamental difficulty with the judge’s treatment of the suitability issue.  Having cited the case and made clear at paragraph 48 his awareness of the reasoning within it (the judge recorded the submission of appellant’s Counsel as being that the </w:t>
      </w:r>
      <w:r w:rsidR="009C1045">
        <w:rPr>
          <w:rFonts w:ascii="Book Antiqua" w:hAnsi="Book Antiqua" w:cs="Arial"/>
        </w:rPr>
        <w:lastRenderedPageBreak/>
        <w:t>re</w:t>
      </w:r>
      <w:r w:rsidR="0096335F">
        <w:rPr>
          <w:rFonts w:ascii="Book Antiqua" w:hAnsi="Book Antiqua" w:cs="Arial"/>
        </w:rPr>
        <w:t>spond</w:t>
      </w:r>
      <w:r w:rsidR="009C1045">
        <w:rPr>
          <w:rFonts w:ascii="Book Antiqua" w:hAnsi="Book Antiqua" w:cs="Arial"/>
        </w:rPr>
        <w:t>ent’s own guidance did not demonstrate that dece</w:t>
      </w:r>
      <w:r w:rsidR="000700EC">
        <w:rPr>
          <w:rFonts w:ascii="Book Antiqua" w:hAnsi="Book Antiqua" w:cs="Arial"/>
        </w:rPr>
        <w:t>ption</w:t>
      </w:r>
      <w:r w:rsidR="00506BCE">
        <w:rPr>
          <w:rFonts w:ascii="Book Antiqua" w:hAnsi="Book Antiqua" w:cs="Arial"/>
        </w:rPr>
        <w:t xml:space="preserve"> did not make her</w:t>
      </w:r>
      <w:r w:rsidR="00B44073">
        <w:rPr>
          <w:rFonts w:ascii="Book Antiqua" w:hAnsi="Book Antiqua" w:cs="Arial"/>
        </w:rPr>
        <w:t xml:space="preserve"> presence</w:t>
      </w:r>
      <w:r w:rsidR="0096335F">
        <w:rPr>
          <w:rFonts w:ascii="Book Antiqua" w:hAnsi="Book Antiqua" w:cs="Arial"/>
        </w:rPr>
        <w:t xml:space="preserve"> no</w:t>
      </w:r>
      <w:r w:rsidR="009C1045">
        <w:rPr>
          <w:rFonts w:ascii="Book Antiqua" w:hAnsi="Book Antiqua" w:cs="Arial"/>
        </w:rPr>
        <w:t>t conducive to the public good</w:t>
      </w:r>
      <w:r w:rsidR="00B57B16">
        <w:rPr>
          <w:rFonts w:ascii="Book Antiqua" w:hAnsi="Book Antiqua" w:cs="Arial"/>
        </w:rPr>
        <w:t>), it</w:t>
      </w:r>
      <w:r w:rsidR="000556BF">
        <w:rPr>
          <w:rFonts w:ascii="Book Antiqua" w:hAnsi="Book Antiqua" w:cs="Arial"/>
        </w:rPr>
        <w:t xml:space="preserve"> was incumbent on the judge</w:t>
      </w:r>
      <w:r w:rsidR="009C1045">
        <w:rPr>
          <w:rFonts w:ascii="Book Antiqua" w:hAnsi="Book Antiqua" w:cs="Arial"/>
        </w:rPr>
        <w:t xml:space="preserve"> to address it.  </w:t>
      </w:r>
      <w:r w:rsidR="008108C4">
        <w:rPr>
          <w:rFonts w:ascii="Book Antiqua" w:hAnsi="Book Antiqua" w:cs="Arial"/>
        </w:rPr>
        <w:t>He</w:t>
      </w:r>
      <w:r w:rsidR="00516132">
        <w:rPr>
          <w:rFonts w:ascii="Book Antiqua" w:hAnsi="Book Antiqua" w:cs="Arial"/>
        </w:rPr>
        <w:t xml:space="preserve"> failed to do so.  All he di</w:t>
      </w:r>
      <w:r w:rsidR="008108C4">
        <w:rPr>
          <w:rFonts w:ascii="Book Antiqua" w:hAnsi="Book Antiqua" w:cs="Arial"/>
        </w:rPr>
        <w:t>d in paragraph 70 was to state that “</w:t>
      </w:r>
      <w:r w:rsidR="00D95703">
        <w:rPr>
          <w:rFonts w:ascii="Book Antiqua" w:hAnsi="Book Antiqua" w:cs="Arial"/>
        </w:rPr>
        <w:t>[t]</w:t>
      </w:r>
      <w:r w:rsidR="008108C4">
        <w:rPr>
          <w:rFonts w:ascii="Book Antiqua" w:hAnsi="Book Antiqua" w:cs="Arial"/>
        </w:rPr>
        <w:t>he facts of her case were not comparable to the unr</w:t>
      </w:r>
      <w:r w:rsidR="00781311">
        <w:rPr>
          <w:rFonts w:ascii="Book Antiqua" w:hAnsi="Book Antiqua" w:cs="Arial"/>
        </w:rPr>
        <w:t xml:space="preserve">eported case on which she </w:t>
      </w:r>
      <w:r w:rsidR="000700EC">
        <w:rPr>
          <w:rFonts w:ascii="Book Antiqua" w:hAnsi="Book Antiqua" w:cs="Arial"/>
        </w:rPr>
        <w:t>so</w:t>
      </w:r>
      <w:r w:rsidR="00781311">
        <w:rPr>
          <w:rFonts w:ascii="Book Antiqua" w:hAnsi="Book Antiqua" w:cs="Arial"/>
        </w:rPr>
        <w:t>ugh</w:t>
      </w:r>
      <w:r w:rsidR="009B4E3C">
        <w:rPr>
          <w:rFonts w:ascii="Book Antiqua" w:hAnsi="Book Antiqua" w:cs="Arial"/>
        </w:rPr>
        <w:t>t</w:t>
      </w:r>
      <w:r w:rsidR="00781311">
        <w:rPr>
          <w:rFonts w:ascii="Book Antiqua" w:hAnsi="Book Antiqua" w:cs="Arial"/>
        </w:rPr>
        <w:t xml:space="preserve"> to</w:t>
      </w:r>
      <w:r w:rsidR="009B4E3C">
        <w:rPr>
          <w:rFonts w:ascii="Book Antiqua" w:hAnsi="Book Antiqua" w:cs="Arial"/>
        </w:rPr>
        <w:t xml:space="preserve"> </w:t>
      </w:r>
      <w:r w:rsidR="00516132">
        <w:rPr>
          <w:rFonts w:ascii="Book Antiqua" w:hAnsi="Book Antiqua" w:cs="Arial"/>
        </w:rPr>
        <w:t>rely</w:t>
      </w:r>
      <w:r w:rsidR="00D95703">
        <w:rPr>
          <w:rFonts w:ascii="Book Antiqua" w:hAnsi="Book Antiqua" w:cs="Arial"/>
        </w:rPr>
        <w:t>”</w:t>
      </w:r>
      <w:r w:rsidR="00516132">
        <w:rPr>
          <w:rFonts w:ascii="Book Antiqua" w:hAnsi="Book Antiqua" w:cs="Arial"/>
        </w:rPr>
        <w:t xml:space="preserve"> and to say in terms that the deception was partic</w:t>
      </w:r>
      <w:r w:rsidR="00F70F61">
        <w:rPr>
          <w:rFonts w:ascii="Book Antiqua" w:hAnsi="Book Antiqua" w:cs="Arial"/>
        </w:rPr>
        <w:t>ularly serious.  That analysis</w:t>
      </w:r>
      <w:r w:rsidR="00516132">
        <w:rPr>
          <w:rFonts w:ascii="Book Antiqua" w:hAnsi="Book Antiqua" w:cs="Arial"/>
        </w:rPr>
        <w:t xml:space="preserve"> did not engage with the underlying legal point being advanced which was that deception </w:t>
      </w:r>
      <w:r w:rsidR="003516DD">
        <w:rPr>
          <w:rFonts w:ascii="Book Antiqua" w:hAnsi="Book Antiqua" w:cs="Arial"/>
        </w:rPr>
        <w:t xml:space="preserve">was not the type of conduct </w:t>
      </w:r>
      <w:r w:rsidR="00BA1C75">
        <w:rPr>
          <w:rFonts w:ascii="Book Antiqua" w:hAnsi="Book Antiqua" w:cs="Arial"/>
        </w:rPr>
        <w:t xml:space="preserve">covered by the </w:t>
      </w:r>
      <w:r w:rsidR="000700EC">
        <w:rPr>
          <w:rFonts w:ascii="Book Antiqua" w:hAnsi="Book Antiqua" w:cs="Arial"/>
        </w:rPr>
        <w:t>“</w:t>
      </w:r>
      <w:r w:rsidR="00516132">
        <w:rPr>
          <w:rFonts w:ascii="Book Antiqua" w:hAnsi="Book Antiqua" w:cs="Arial"/>
        </w:rPr>
        <w:t>not conducive to the public good</w:t>
      </w:r>
      <w:r w:rsidR="000700EC">
        <w:rPr>
          <w:rFonts w:ascii="Book Antiqua" w:hAnsi="Book Antiqua" w:cs="Arial"/>
        </w:rPr>
        <w:t>”</w:t>
      </w:r>
      <w:r w:rsidR="00516132">
        <w:rPr>
          <w:rFonts w:ascii="Book Antiqua" w:hAnsi="Book Antiqua" w:cs="Arial"/>
        </w:rPr>
        <w:t xml:space="preserve"> ground.  Whether or not that argument on analysis is legally correct is not a mat</w:t>
      </w:r>
      <w:r w:rsidR="00F4112D">
        <w:rPr>
          <w:rFonts w:ascii="Book Antiqua" w:hAnsi="Book Antiqua" w:cs="Arial"/>
        </w:rPr>
        <w:t>t</w:t>
      </w:r>
      <w:r w:rsidR="00516132">
        <w:rPr>
          <w:rFonts w:ascii="Book Antiqua" w:hAnsi="Book Antiqua" w:cs="Arial"/>
        </w:rPr>
        <w:t xml:space="preserve">er we need to seek to decide here.  The judge’s error </w:t>
      </w:r>
      <w:r w:rsidR="000700EC">
        <w:rPr>
          <w:rFonts w:ascii="Book Antiqua" w:hAnsi="Book Antiqua" w:cs="Arial"/>
        </w:rPr>
        <w:t>resided</w:t>
      </w:r>
      <w:r w:rsidR="00516132">
        <w:rPr>
          <w:rFonts w:ascii="Book Antiqua" w:hAnsi="Book Antiqua" w:cs="Arial"/>
        </w:rPr>
        <w:t xml:space="preserve"> in not engaging with it at all.</w:t>
      </w:r>
      <w:r w:rsidR="000700EC">
        <w:rPr>
          <w:rFonts w:ascii="Book Antiqua" w:hAnsi="Book Antiqua" w:cs="Arial"/>
        </w:rPr>
        <w:t xml:space="preserve"> In our judgment this error of omission constitutes an error of law.</w:t>
      </w:r>
    </w:p>
    <w:p w14:paraId="3B0587F2" w14:textId="77777777" w:rsidR="00996C8F" w:rsidRPr="008B5901" w:rsidRDefault="00996C8F" w:rsidP="00996C8F">
      <w:pPr>
        <w:tabs>
          <w:tab w:val="left" w:pos="567"/>
        </w:tabs>
        <w:ind w:left="567" w:hanging="567"/>
        <w:jc w:val="both"/>
        <w:rPr>
          <w:rFonts w:ascii="Book Antiqua" w:hAnsi="Book Antiqua" w:cs="Arial"/>
        </w:rPr>
      </w:pPr>
    </w:p>
    <w:p w14:paraId="5E3D34D1" w14:textId="11CD4410" w:rsidR="00516132" w:rsidRPr="008B5901" w:rsidRDefault="00C26C8F" w:rsidP="00516132">
      <w:pPr>
        <w:tabs>
          <w:tab w:val="left" w:pos="567"/>
        </w:tabs>
        <w:ind w:left="567" w:hanging="567"/>
        <w:jc w:val="both"/>
        <w:rPr>
          <w:rFonts w:ascii="Book Antiqua" w:hAnsi="Book Antiqua" w:cs="Arial"/>
        </w:rPr>
      </w:pPr>
      <w:r>
        <w:rPr>
          <w:rFonts w:ascii="Book Antiqua" w:hAnsi="Book Antiqua" w:cs="Arial"/>
        </w:rPr>
        <w:t>20</w:t>
      </w:r>
      <w:r w:rsidR="00516132" w:rsidRPr="008B5901">
        <w:rPr>
          <w:rFonts w:ascii="Book Antiqua" w:hAnsi="Book Antiqua" w:cs="Arial"/>
        </w:rPr>
        <w:t>.</w:t>
      </w:r>
      <w:r w:rsidR="00516132" w:rsidRPr="008B5901">
        <w:rPr>
          <w:rFonts w:ascii="Book Antiqua" w:hAnsi="Book Antiqua" w:cs="Arial"/>
        </w:rPr>
        <w:tab/>
      </w:r>
      <w:r w:rsidR="00516132">
        <w:rPr>
          <w:rFonts w:ascii="Book Antiqua" w:hAnsi="Book Antiqua" w:cs="Arial"/>
        </w:rPr>
        <w:t>However, we are not entitled to conclude that the judge was wrong to dismiss the appeal unless satisfied thi</w:t>
      </w:r>
      <w:r w:rsidR="00F958DC">
        <w:rPr>
          <w:rFonts w:ascii="Book Antiqua" w:hAnsi="Book Antiqua" w:cs="Arial"/>
        </w:rPr>
        <w:t>s error was material.  We find it</w:t>
      </w:r>
      <w:r w:rsidR="00516132">
        <w:rPr>
          <w:rFonts w:ascii="Book Antiqua" w:hAnsi="Book Antiqua" w:cs="Arial"/>
        </w:rPr>
        <w:t xml:space="preserve"> was not.  Even if the judge had concluded that the suitability requirement was me</w:t>
      </w:r>
      <w:r w:rsidR="00C421D5">
        <w:rPr>
          <w:rFonts w:ascii="Book Antiqua" w:hAnsi="Book Antiqua" w:cs="Arial"/>
        </w:rPr>
        <w:t>t</w:t>
      </w:r>
      <w:r w:rsidR="00BC493B">
        <w:rPr>
          <w:rFonts w:ascii="Book Antiqua" w:hAnsi="Book Antiqua" w:cs="Arial"/>
        </w:rPr>
        <w:t>,</w:t>
      </w:r>
      <w:r w:rsidR="00C421D5">
        <w:rPr>
          <w:rFonts w:ascii="Book Antiqua" w:hAnsi="Book Antiqua" w:cs="Arial"/>
        </w:rPr>
        <w:t xml:space="preserve"> the appellant was still requir</w:t>
      </w:r>
      <w:r w:rsidR="00516132">
        <w:rPr>
          <w:rFonts w:ascii="Book Antiqua" w:hAnsi="Book Antiqua" w:cs="Arial"/>
        </w:rPr>
        <w:t xml:space="preserve">ed to show that </w:t>
      </w:r>
      <w:r w:rsidR="002424F4">
        <w:rPr>
          <w:rFonts w:ascii="Book Antiqua" w:hAnsi="Book Antiqua" w:cs="Arial"/>
        </w:rPr>
        <w:t>s</w:t>
      </w:r>
      <w:r w:rsidR="00516132">
        <w:rPr>
          <w:rFonts w:ascii="Book Antiqua" w:hAnsi="Book Antiqua" w:cs="Arial"/>
        </w:rPr>
        <w:t xml:space="preserve">he satisfied the substantive requirements of the Immigration Rules or that there were compelling circumstances outside the Rules </w:t>
      </w:r>
      <w:r w:rsidR="00BC493B">
        <w:rPr>
          <w:rFonts w:ascii="Book Antiqua" w:hAnsi="Book Antiqua" w:cs="Arial"/>
        </w:rPr>
        <w:t xml:space="preserve">warranting </w:t>
      </w:r>
      <w:r w:rsidR="00516132">
        <w:rPr>
          <w:rFonts w:ascii="Book Antiqua" w:hAnsi="Book Antiqua" w:cs="Arial"/>
        </w:rPr>
        <w:t>a grant of leave.  In the appellant</w:t>
      </w:r>
      <w:r w:rsidR="00BC493B">
        <w:rPr>
          <w:rFonts w:ascii="Book Antiqua" w:hAnsi="Book Antiqua" w:cs="Arial"/>
        </w:rPr>
        <w:t>’</w:t>
      </w:r>
      <w:r w:rsidR="00516132">
        <w:rPr>
          <w:rFonts w:ascii="Book Antiqua" w:hAnsi="Book Antiqua" w:cs="Arial"/>
        </w:rPr>
        <w:t xml:space="preserve">s grounds the only challenge made </w:t>
      </w:r>
      <w:r w:rsidR="00BC493B">
        <w:rPr>
          <w:rFonts w:ascii="Book Antiqua" w:hAnsi="Book Antiqua" w:cs="Arial"/>
        </w:rPr>
        <w:t xml:space="preserve">as </w:t>
      </w:r>
      <w:r w:rsidR="00B57B16">
        <w:rPr>
          <w:rFonts w:ascii="Book Antiqua" w:hAnsi="Book Antiqua" w:cs="Arial"/>
        </w:rPr>
        <w:t>regards</w:t>
      </w:r>
      <w:r w:rsidR="00BC493B">
        <w:rPr>
          <w:rFonts w:ascii="Book Antiqua" w:hAnsi="Book Antiqua" w:cs="Arial"/>
        </w:rPr>
        <w:t xml:space="preserve"> the </w:t>
      </w:r>
      <w:r w:rsidR="00B57B16">
        <w:rPr>
          <w:rFonts w:ascii="Book Antiqua" w:hAnsi="Book Antiqua" w:cs="Arial"/>
        </w:rPr>
        <w:t>judge’s</w:t>
      </w:r>
      <w:r w:rsidR="00BC493B">
        <w:rPr>
          <w:rFonts w:ascii="Book Antiqua" w:hAnsi="Book Antiqua" w:cs="Arial"/>
        </w:rPr>
        <w:t xml:space="preserve"> treatment of the substantive </w:t>
      </w:r>
      <w:r w:rsidR="00B57B16">
        <w:rPr>
          <w:rFonts w:ascii="Book Antiqua" w:hAnsi="Book Antiqua" w:cs="Arial"/>
        </w:rPr>
        <w:t>requirements</w:t>
      </w:r>
      <w:r w:rsidR="00BC493B">
        <w:rPr>
          <w:rFonts w:ascii="Book Antiqua" w:hAnsi="Book Antiqua" w:cs="Arial"/>
        </w:rPr>
        <w:t xml:space="preserve"> of the Rules </w:t>
      </w:r>
      <w:r w:rsidR="00516132">
        <w:rPr>
          <w:rFonts w:ascii="Book Antiqua" w:hAnsi="Book Antiqua" w:cs="Arial"/>
        </w:rPr>
        <w:t>is to the judge’s treatment of paragraphs 276ADE and we have already found that treatment to be b</w:t>
      </w:r>
      <w:r w:rsidR="00BC493B">
        <w:rPr>
          <w:rFonts w:ascii="Book Antiqua" w:hAnsi="Book Antiqua" w:cs="Arial"/>
        </w:rPr>
        <w:t>oth lawful and reasonable.  Ther</w:t>
      </w:r>
      <w:r w:rsidR="00516132">
        <w:rPr>
          <w:rFonts w:ascii="Book Antiqua" w:hAnsi="Book Antiqua" w:cs="Arial"/>
        </w:rPr>
        <w:t>e is no suggestion that in his assessment of “very significant obstacles” the judge placed any reliance on the appellant’s lack of suitability.  It was not because of anything to do with her character and conduct t</w:t>
      </w:r>
      <w:r w:rsidR="000F4D2F">
        <w:rPr>
          <w:rFonts w:ascii="Book Antiqua" w:hAnsi="Book Antiqua" w:cs="Arial"/>
        </w:rPr>
        <w:t>hat the judge concluded she and</w:t>
      </w:r>
      <w:r w:rsidR="00DD4E0A">
        <w:rPr>
          <w:rFonts w:ascii="Book Antiqua" w:hAnsi="Book Antiqua" w:cs="Arial"/>
        </w:rPr>
        <w:t xml:space="preserve"> her husband c</w:t>
      </w:r>
      <w:r w:rsidR="00516132">
        <w:rPr>
          <w:rFonts w:ascii="Book Antiqua" w:hAnsi="Book Antiqua" w:cs="Arial"/>
        </w:rPr>
        <w:t>ould return to Iraq without any significant difficulties.</w:t>
      </w:r>
    </w:p>
    <w:p w14:paraId="6D2010F6" w14:textId="77777777" w:rsidR="00996C8F" w:rsidRPr="008B5901" w:rsidRDefault="00996C8F" w:rsidP="00996C8F">
      <w:pPr>
        <w:tabs>
          <w:tab w:val="left" w:pos="567"/>
        </w:tabs>
        <w:ind w:left="567" w:hanging="567"/>
        <w:jc w:val="both"/>
        <w:rPr>
          <w:rFonts w:ascii="Book Antiqua" w:hAnsi="Book Antiqua" w:cs="Arial"/>
        </w:rPr>
      </w:pPr>
    </w:p>
    <w:p w14:paraId="0237A1CF" w14:textId="641A7DAB" w:rsidR="00273337" w:rsidRPr="008B5901" w:rsidRDefault="00273337" w:rsidP="00273337">
      <w:pPr>
        <w:tabs>
          <w:tab w:val="left" w:pos="567"/>
        </w:tabs>
        <w:ind w:left="567" w:hanging="567"/>
        <w:jc w:val="both"/>
        <w:rPr>
          <w:rFonts w:ascii="Book Antiqua" w:hAnsi="Book Antiqua" w:cs="Arial"/>
        </w:rPr>
      </w:pPr>
      <w:r w:rsidRPr="008B5901">
        <w:rPr>
          <w:rFonts w:ascii="Book Antiqua" w:hAnsi="Book Antiqua" w:cs="Arial"/>
        </w:rPr>
        <w:t>2</w:t>
      </w:r>
      <w:r w:rsidR="00C26C8F">
        <w:rPr>
          <w:rFonts w:ascii="Book Antiqua" w:hAnsi="Book Antiqua" w:cs="Arial"/>
        </w:rPr>
        <w:t>1</w:t>
      </w:r>
      <w:r w:rsidRPr="008B5901">
        <w:rPr>
          <w:rFonts w:ascii="Book Antiqua" w:hAnsi="Book Antiqua" w:cs="Arial"/>
        </w:rPr>
        <w:t>.</w:t>
      </w:r>
      <w:r w:rsidRPr="008B5901">
        <w:rPr>
          <w:rFonts w:ascii="Book Antiqua" w:hAnsi="Book Antiqua" w:cs="Arial"/>
        </w:rPr>
        <w:tab/>
      </w:r>
      <w:r w:rsidR="001340D3">
        <w:rPr>
          <w:rFonts w:ascii="Book Antiqua" w:hAnsi="Book Antiqua" w:cs="Arial"/>
        </w:rPr>
        <w:t xml:space="preserve">As regards the judge’s assessment that the appellant could not succeed outside the Rules, it must first of all be borne in mind that by virtue </w:t>
      </w:r>
      <w:r w:rsidR="00BC493B">
        <w:rPr>
          <w:rFonts w:ascii="Book Antiqua" w:hAnsi="Book Antiqua" w:cs="Arial"/>
        </w:rPr>
        <w:t xml:space="preserve">of </w:t>
      </w:r>
      <w:r w:rsidR="001340D3">
        <w:rPr>
          <w:rFonts w:ascii="Book Antiqua" w:hAnsi="Book Antiqua" w:cs="Arial"/>
        </w:rPr>
        <w:t>failing t</w:t>
      </w:r>
      <w:r w:rsidR="00743FC6">
        <w:rPr>
          <w:rFonts w:ascii="Book Antiqua" w:hAnsi="Book Antiqua" w:cs="Arial"/>
        </w:rPr>
        <w:t>o meet the requirements of the R</w:t>
      </w:r>
      <w:r w:rsidR="001340D3">
        <w:rPr>
          <w:rFonts w:ascii="Book Antiqua" w:hAnsi="Book Antiqua" w:cs="Arial"/>
        </w:rPr>
        <w:t xml:space="preserve">ules there was also a significant public interest to be weighed against the appellant: see </w:t>
      </w:r>
      <w:r w:rsidR="001340D3" w:rsidRPr="0004378D">
        <w:rPr>
          <w:rFonts w:ascii="Book Antiqua" w:hAnsi="Book Antiqua" w:cs="Arial"/>
          <w:b/>
          <w:u w:val="single"/>
        </w:rPr>
        <w:t>Hesham Ali</w:t>
      </w:r>
      <w:r w:rsidR="001340D3" w:rsidRPr="008B50BD">
        <w:rPr>
          <w:rFonts w:ascii="Book Antiqua" w:hAnsi="Book Antiqua" w:cs="Arial"/>
          <w:b/>
        </w:rPr>
        <w:t xml:space="preserve"> </w:t>
      </w:r>
      <w:r w:rsidR="00BC493B">
        <w:rPr>
          <w:rFonts w:ascii="Book Antiqua" w:hAnsi="Book Antiqua" w:cs="Arial"/>
        </w:rPr>
        <w:t>[2016</w:t>
      </w:r>
      <w:r w:rsidR="001340D3" w:rsidRPr="00BC493B">
        <w:rPr>
          <w:rFonts w:ascii="Book Antiqua" w:hAnsi="Book Antiqua" w:cs="Arial"/>
        </w:rPr>
        <w:t>} UKSC</w:t>
      </w:r>
      <w:r w:rsidR="00BC493B">
        <w:rPr>
          <w:rFonts w:ascii="Book Antiqua" w:hAnsi="Book Antiqua" w:cs="Arial"/>
        </w:rPr>
        <w:t xml:space="preserve"> 60</w:t>
      </w:r>
      <w:r w:rsidR="001340D3">
        <w:rPr>
          <w:rFonts w:ascii="Book Antiqua" w:hAnsi="Book Antiqua" w:cs="Arial"/>
        </w:rPr>
        <w:t>.  Secondly, the grounds failed to mount any effective challenge to the judge’s proportionality assessment at paragraph 71.  Whether or not the judge had found the suitability ground of refusal did not apply</w:t>
      </w:r>
      <w:r w:rsidR="00BC493B">
        <w:rPr>
          <w:rFonts w:ascii="Book Antiqua" w:hAnsi="Book Antiqua" w:cs="Arial"/>
        </w:rPr>
        <w:t>,</w:t>
      </w:r>
      <w:r w:rsidR="001340D3">
        <w:rPr>
          <w:rFonts w:ascii="Book Antiqua" w:hAnsi="Book Antiqua" w:cs="Arial"/>
        </w:rPr>
        <w:t xml:space="preserve"> it remained that the appellant </w:t>
      </w:r>
      <w:r w:rsidR="00BC493B">
        <w:rPr>
          <w:rFonts w:ascii="Book Antiqua" w:hAnsi="Book Antiqua" w:cs="Arial"/>
        </w:rPr>
        <w:t>had not met the Rules and had an adverse</w:t>
      </w:r>
      <w:r w:rsidR="001340D3">
        <w:rPr>
          <w:rFonts w:ascii="Book Antiqua" w:hAnsi="Book Antiqua" w:cs="Arial"/>
        </w:rPr>
        <w:t xml:space="preserve"> immigration history relating to her manner of entry.  </w:t>
      </w:r>
      <w:r w:rsidR="0015057B">
        <w:rPr>
          <w:rFonts w:ascii="Book Antiqua" w:hAnsi="Book Antiqua" w:cs="Arial"/>
        </w:rPr>
        <w:t xml:space="preserve">Regardless of here motives, he had been in the UK unlawfully since 2008 and her private life with her partner was established and maintained when she had wrongly obtained entry clearance and when leave was revoked. She had no </w:t>
      </w:r>
      <w:r w:rsidR="0026086F">
        <w:rPr>
          <w:rFonts w:ascii="Book Antiqua" w:hAnsi="Book Antiqua" w:cs="Arial"/>
        </w:rPr>
        <w:t>lawful</w:t>
      </w:r>
      <w:r w:rsidR="0015057B">
        <w:rPr>
          <w:rFonts w:ascii="Book Antiqua" w:hAnsi="Book Antiqua" w:cs="Arial"/>
        </w:rPr>
        <w:t xml:space="preserve"> basis to stay. </w:t>
      </w:r>
      <w:r w:rsidR="001340D3">
        <w:rPr>
          <w:rFonts w:ascii="Book Antiqua" w:hAnsi="Book Antiqua" w:cs="Arial"/>
        </w:rPr>
        <w:t>Taking a different view about the suitability requirement would have made no difference to the outcome of the appeal.</w:t>
      </w:r>
    </w:p>
    <w:p w14:paraId="2B47402B" w14:textId="77777777" w:rsidR="00C46021" w:rsidRDefault="00C46021" w:rsidP="006970BA">
      <w:pPr>
        <w:tabs>
          <w:tab w:val="left" w:pos="567"/>
        </w:tabs>
        <w:ind w:left="567" w:hanging="567"/>
        <w:jc w:val="both"/>
        <w:rPr>
          <w:rFonts w:ascii="Book Antiqua" w:hAnsi="Book Antiqua" w:cs="Arial"/>
        </w:rPr>
      </w:pPr>
    </w:p>
    <w:p w14:paraId="67756D6A" w14:textId="77777777" w:rsidR="001340D3" w:rsidRPr="008B5901" w:rsidRDefault="001340D3" w:rsidP="001340D3">
      <w:pPr>
        <w:tabs>
          <w:tab w:val="left" w:pos="567"/>
        </w:tabs>
        <w:ind w:left="567" w:hanging="567"/>
        <w:jc w:val="both"/>
        <w:rPr>
          <w:rFonts w:ascii="Book Antiqua" w:hAnsi="Book Antiqua" w:cs="Arial"/>
        </w:rPr>
      </w:pPr>
      <w:r w:rsidRPr="008B5901">
        <w:rPr>
          <w:rFonts w:ascii="Book Antiqua" w:hAnsi="Book Antiqua" w:cs="Arial"/>
        </w:rPr>
        <w:t>2</w:t>
      </w:r>
      <w:r w:rsidR="00C26C8F">
        <w:rPr>
          <w:rFonts w:ascii="Book Antiqua" w:hAnsi="Book Antiqua" w:cs="Arial"/>
        </w:rPr>
        <w:t>2</w:t>
      </w:r>
      <w:r w:rsidRPr="008B5901">
        <w:rPr>
          <w:rFonts w:ascii="Book Antiqua" w:hAnsi="Book Antiqua" w:cs="Arial"/>
        </w:rPr>
        <w:t>.</w:t>
      </w:r>
      <w:r w:rsidRPr="008B5901">
        <w:rPr>
          <w:rFonts w:ascii="Book Antiqua" w:hAnsi="Book Antiqua" w:cs="Arial"/>
        </w:rPr>
        <w:tab/>
      </w:r>
      <w:r>
        <w:rPr>
          <w:rFonts w:ascii="Book Antiqua" w:hAnsi="Book Antiqua" w:cs="Arial"/>
        </w:rPr>
        <w:t>For the above reasons we conclude that although the judge erred in his treatment of the suitability issue this was not a material error and the decision to dismiss the appellant’s appeal was both lawful and reasonable.</w:t>
      </w:r>
    </w:p>
    <w:p w14:paraId="1EF36A67" w14:textId="77777777" w:rsidR="00173CC6" w:rsidRPr="00173CC6" w:rsidRDefault="00173CC6" w:rsidP="00173CC6">
      <w:pPr>
        <w:jc w:val="both"/>
        <w:rPr>
          <w:rFonts w:ascii="Book Antiqua" w:hAnsi="Book Antiqua" w:cs="Arial"/>
        </w:rPr>
      </w:pPr>
    </w:p>
    <w:p w14:paraId="3349E41F" w14:textId="77777777" w:rsidR="00D9527D" w:rsidRDefault="00D9527D" w:rsidP="00173CC6">
      <w:pPr>
        <w:jc w:val="both"/>
        <w:rPr>
          <w:rFonts w:ascii="Book Antiqua" w:hAnsi="Book Antiqua" w:cs="Arial"/>
        </w:rPr>
      </w:pPr>
    </w:p>
    <w:p w14:paraId="6B6C1A4B" w14:textId="77777777" w:rsidR="00D9527D" w:rsidRDefault="00D9527D" w:rsidP="00173CC6">
      <w:pPr>
        <w:jc w:val="both"/>
        <w:rPr>
          <w:rFonts w:ascii="Book Antiqua" w:hAnsi="Book Antiqua" w:cs="Arial"/>
        </w:rPr>
      </w:pPr>
    </w:p>
    <w:p w14:paraId="7D25FD12" w14:textId="77777777" w:rsidR="00D9527D" w:rsidRDefault="00D9527D" w:rsidP="00173CC6">
      <w:pPr>
        <w:jc w:val="both"/>
        <w:rPr>
          <w:rFonts w:ascii="Book Antiqua" w:hAnsi="Book Antiqua" w:cs="Arial"/>
        </w:rPr>
      </w:pPr>
    </w:p>
    <w:p w14:paraId="283206A4" w14:textId="77777777" w:rsidR="00D9527D" w:rsidRDefault="00D9527D" w:rsidP="00173CC6">
      <w:pPr>
        <w:jc w:val="both"/>
        <w:rPr>
          <w:rFonts w:ascii="Book Antiqua" w:hAnsi="Book Antiqua" w:cs="Arial"/>
        </w:rPr>
      </w:pPr>
    </w:p>
    <w:p w14:paraId="5C6A9780" w14:textId="77777777" w:rsidR="00D9527D" w:rsidRDefault="00D9527D" w:rsidP="00173CC6">
      <w:pPr>
        <w:jc w:val="both"/>
        <w:rPr>
          <w:rFonts w:ascii="Book Antiqua" w:hAnsi="Book Antiqua" w:cs="Arial"/>
        </w:rPr>
      </w:pPr>
    </w:p>
    <w:p w14:paraId="7B45C4A9" w14:textId="74B84637" w:rsidR="00173CC6" w:rsidRPr="00173CC6" w:rsidRDefault="00173CC6" w:rsidP="00173CC6">
      <w:pPr>
        <w:jc w:val="both"/>
        <w:rPr>
          <w:rFonts w:ascii="Book Antiqua" w:hAnsi="Book Antiqua" w:cs="Arial"/>
        </w:rPr>
      </w:pPr>
      <w:r w:rsidRPr="00173CC6">
        <w:rPr>
          <w:rFonts w:ascii="Book Antiqua" w:hAnsi="Book Antiqua" w:cs="Arial"/>
        </w:rPr>
        <w:lastRenderedPageBreak/>
        <w:t>No anonymity direction is made.</w:t>
      </w:r>
    </w:p>
    <w:p w14:paraId="3E968008" w14:textId="77777777" w:rsidR="00173CC6" w:rsidRPr="00173CC6" w:rsidRDefault="00173CC6" w:rsidP="00173CC6">
      <w:pPr>
        <w:jc w:val="both"/>
        <w:rPr>
          <w:rFonts w:ascii="Book Antiqua" w:hAnsi="Book Antiqua" w:cs="Arial"/>
        </w:rPr>
      </w:pPr>
    </w:p>
    <w:p w14:paraId="3B7DE4A3" w14:textId="77777777" w:rsidR="008D07A5" w:rsidRPr="00B57D66" w:rsidRDefault="008D07A5" w:rsidP="00335AC6">
      <w:pPr>
        <w:jc w:val="both"/>
        <w:rPr>
          <w:rFonts w:ascii="Book Antiqua" w:hAnsi="Book Antiqua" w:cs="Arial"/>
        </w:rPr>
      </w:pPr>
      <w:bookmarkStart w:id="0" w:name="_GoBack"/>
      <w:bookmarkEnd w:id="0"/>
    </w:p>
    <w:p w14:paraId="67B90938" w14:textId="7367513B" w:rsidR="001F2716" w:rsidRPr="00B57D66" w:rsidRDefault="00780F86" w:rsidP="00780F86">
      <w:pPr>
        <w:ind w:left="540" w:hanging="540"/>
        <w:jc w:val="both"/>
        <w:rPr>
          <w:rFonts w:ascii="Book Antiqua" w:hAnsi="Book Antiqua" w:cs="Arial"/>
        </w:rPr>
      </w:pPr>
      <w:r w:rsidRPr="00B57D66">
        <w:rPr>
          <w:rFonts w:ascii="Book Antiqua" w:hAnsi="Book Antiqua" w:cs="Arial"/>
        </w:rPr>
        <w:t>Signed</w:t>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001F2716" w:rsidRPr="00B57D66">
        <w:rPr>
          <w:rFonts w:ascii="Book Antiqua" w:hAnsi="Book Antiqua" w:cs="Arial"/>
        </w:rPr>
        <w:t>Date</w:t>
      </w:r>
      <w:r w:rsidR="0026086F">
        <w:rPr>
          <w:rFonts w:ascii="Book Antiqua" w:hAnsi="Book Antiqua" w:cs="Arial"/>
        </w:rPr>
        <w:t>: 9</w:t>
      </w:r>
      <w:r w:rsidR="00BC493B">
        <w:rPr>
          <w:rFonts w:ascii="Book Antiqua" w:hAnsi="Book Antiqua" w:cs="Arial"/>
        </w:rPr>
        <w:t xml:space="preserve"> July 2018</w:t>
      </w:r>
    </w:p>
    <w:p w14:paraId="40A3988A" w14:textId="68C9534F" w:rsidR="001F2716" w:rsidRPr="00B57D66" w:rsidRDefault="0026086F" w:rsidP="00402B9E">
      <w:pPr>
        <w:tabs>
          <w:tab w:val="left" w:pos="2520"/>
        </w:tabs>
        <w:ind w:left="540" w:hanging="540"/>
        <w:jc w:val="both"/>
        <w:rPr>
          <w:rFonts w:ascii="Book Antiqua" w:hAnsi="Book Antiqua" w:cs="Arial"/>
        </w:rPr>
      </w:pPr>
      <w:r>
        <w:rPr>
          <w:rFonts w:ascii="Book Antiqua" w:hAnsi="Book Antiqua" w:cs="Arial"/>
        </w:rPr>
        <w:t xml:space="preserve">              </w:t>
      </w:r>
      <w:r w:rsidRPr="00B35E85">
        <w:rPr>
          <w:noProof/>
        </w:rPr>
        <w:drawing>
          <wp:inline distT="0" distB="0" distL="0" distR="0" wp14:anchorId="5F82BF41" wp14:editId="67B012AD">
            <wp:extent cx="1713865" cy="511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3865" cy="511175"/>
                    </a:xfrm>
                    <a:prstGeom prst="rect">
                      <a:avLst/>
                    </a:prstGeom>
                    <a:noFill/>
                    <a:ln>
                      <a:noFill/>
                    </a:ln>
                  </pic:spPr>
                </pic:pic>
              </a:graphicData>
            </a:graphic>
          </wp:inline>
        </w:drawing>
      </w:r>
    </w:p>
    <w:p w14:paraId="5F1FAEE3" w14:textId="77777777" w:rsidR="001F2716" w:rsidRPr="00B57D66" w:rsidRDefault="001F2716" w:rsidP="00402B9E">
      <w:pPr>
        <w:tabs>
          <w:tab w:val="left" w:pos="2520"/>
        </w:tabs>
        <w:ind w:left="540" w:hanging="540"/>
        <w:jc w:val="both"/>
        <w:rPr>
          <w:rFonts w:ascii="Book Antiqua" w:hAnsi="Book Antiqua" w:cs="Arial"/>
        </w:rPr>
      </w:pPr>
    </w:p>
    <w:p w14:paraId="5D85229D" w14:textId="77777777" w:rsidR="00A9409A" w:rsidRDefault="00A9409A" w:rsidP="007702DD">
      <w:pPr>
        <w:tabs>
          <w:tab w:val="left" w:pos="2520"/>
        </w:tabs>
        <w:ind w:left="540" w:hanging="540"/>
        <w:jc w:val="both"/>
        <w:rPr>
          <w:rFonts w:ascii="Book Antiqua" w:hAnsi="Book Antiqua" w:cs="Arial"/>
          <w:color w:val="000000"/>
        </w:rPr>
      </w:pPr>
      <w:r>
        <w:rPr>
          <w:rFonts w:ascii="Book Antiqua" w:hAnsi="Book Antiqua" w:cs="Arial"/>
          <w:color w:val="000000"/>
        </w:rPr>
        <w:t xml:space="preserve">Dr H </w:t>
      </w:r>
      <w:proofErr w:type="spellStart"/>
      <w:r>
        <w:rPr>
          <w:rFonts w:ascii="Book Antiqua" w:hAnsi="Book Antiqua" w:cs="Arial"/>
          <w:color w:val="000000"/>
        </w:rPr>
        <w:t>H</w:t>
      </w:r>
      <w:proofErr w:type="spellEnd"/>
      <w:r>
        <w:rPr>
          <w:rFonts w:ascii="Book Antiqua" w:hAnsi="Book Antiqua" w:cs="Arial"/>
          <w:color w:val="000000"/>
        </w:rPr>
        <w:t xml:space="preserve"> Storey</w:t>
      </w:r>
    </w:p>
    <w:p w14:paraId="578DCD4E" w14:textId="77777777" w:rsidR="00B95326" w:rsidRDefault="00A9409A" w:rsidP="007702DD">
      <w:pPr>
        <w:tabs>
          <w:tab w:val="left" w:pos="2520"/>
        </w:tabs>
        <w:ind w:left="540" w:hanging="540"/>
        <w:jc w:val="both"/>
        <w:rPr>
          <w:rFonts w:ascii="Book Antiqua" w:hAnsi="Book Antiqua" w:cs="Arial"/>
          <w:color w:val="000000"/>
        </w:rPr>
      </w:pPr>
      <w:r>
        <w:rPr>
          <w:rFonts w:ascii="Book Antiqua" w:hAnsi="Book Antiqua" w:cs="Arial"/>
          <w:color w:val="000000"/>
        </w:rPr>
        <w:t xml:space="preserve">Judge of the </w:t>
      </w:r>
      <w:r w:rsidR="003F367D">
        <w:rPr>
          <w:rFonts w:ascii="Book Antiqua" w:hAnsi="Book Antiqua" w:cs="Arial"/>
          <w:color w:val="000000"/>
        </w:rPr>
        <w:t>Upper Tribunal</w:t>
      </w:r>
      <w:r>
        <w:rPr>
          <w:rFonts w:ascii="Book Antiqua" w:hAnsi="Book Antiqua" w:cs="Arial"/>
          <w:color w:val="000000"/>
        </w:rPr>
        <w:t xml:space="preserve"> </w:t>
      </w:r>
    </w:p>
    <w:p w14:paraId="36162CC7" w14:textId="77777777" w:rsidR="00BC493B" w:rsidRDefault="00BC493B" w:rsidP="007702DD">
      <w:pPr>
        <w:tabs>
          <w:tab w:val="left" w:pos="2520"/>
        </w:tabs>
        <w:ind w:left="540" w:hanging="540"/>
        <w:jc w:val="both"/>
        <w:rPr>
          <w:rFonts w:ascii="Book Antiqua" w:hAnsi="Book Antiqua" w:cs="Arial"/>
          <w:color w:val="000000"/>
        </w:rPr>
      </w:pPr>
    </w:p>
    <w:sectPr w:rsidR="00BC493B" w:rsidSect="00AC2D73">
      <w:headerReference w:type="default" r:id="rId9"/>
      <w:footerReference w:type="default" r:id="rId10"/>
      <w:headerReference w:type="first" r:id="rId11"/>
      <w:footerReference w:type="first" r:id="rId12"/>
      <w:pgSz w:w="11906" w:h="16838"/>
      <w:pgMar w:top="426"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2B1202" w14:textId="77777777" w:rsidR="009342B7" w:rsidRDefault="009342B7">
      <w:r>
        <w:separator/>
      </w:r>
    </w:p>
  </w:endnote>
  <w:endnote w:type="continuationSeparator" w:id="0">
    <w:p w14:paraId="253EA3AA" w14:textId="77777777" w:rsidR="009342B7" w:rsidRDefault="009342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954835" w14:textId="048D852C" w:rsidR="0023168C" w:rsidRPr="00AC2D73" w:rsidRDefault="0023168C" w:rsidP="00593795">
    <w:pPr>
      <w:pStyle w:val="Footer"/>
      <w:jc w:val="center"/>
      <w:rPr>
        <w:rFonts w:ascii="Book Antiqua" w:hAnsi="Book Antiqua" w:cs="Arial"/>
      </w:rPr>
    </w:pPr>
    <w:r w:rsidRPr="00AC2D73">
      <w:rPr>
        <w:rStyle w:val="PageNumber"/>
        <w:rFonts w:ascii="Book Antiqua" w:hAnsi="Book Antiqua" w:cs="Arial"/>
      </w:rPr>
      <w:fldChar w:fldCharType="begin"/>
    </w:r>
    <w:r w:rsidRPr="00AC2D73">
      <w:rPr>
        <w:rStyle w:val="PageNumber"/>
        <w:rFonts w:ascii="Book Antiqua" w:hAnsi="Book Antiqua" w:cs="Arial"/>
      </w:rPr>
      <w:instrText xml:space="preserve"> PAGE </w:instrText>
    </w:r>
    <w:r w:rsidRPr="00AC2D73">
      <w:rPr>
        <w:rStyle w:val="PageNumber"/>
        <w:rFonts w:ascii="Book Antiqua" w:hAnsi="Book Antiqua" w:cs="Arial"/>
      </w:rPr>
      <w:fldChar w:fldCharType="separate"/>
    </w:r>
    <w:r w:rsidR="004B38D1">
      <w:rPr>
        <w:rStyle w:val="PageNumber"/>
        <w:rFonts w:ascii="Book Antiqua" w:hAnsi="Book Antiqua" w:cs="Arial"/>
        <w:noProof/>
      </w:rPr>
      <w:t>9</w:t>
    </w:r>
    <w:r w:rsidRPr="00AC2D73">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5C80F6" w14:textId="77777777" w:rsidR="0023168C" w:rsidRPr="00B57D66" w:rsidRDefault="0023168C" w:rsidP="007702DD">
    <w:pPr>
      <w:jc w:val="center"/>
      <w:rPr>
        <w:rFonts w:ascii="Book Antiqua" w:hAnsi="Book Antiqua" w:cs="Arial"/>
        <w:b/>
      </w:rPr>
    </w:pPr>
    <w:r w:rsidRPr="00B57D66">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17186F" w14:textId="77777777" w:rsidR="009342B7" w:rsidRDefault="009342B7">
      <w:r>
        <w:separator/>
      </w:r>
    </w:p>
  </w:footnote>
  <w:footnote w:type="continuationSeparator" w:id="0">
    <w:p w14:paraId="205BD455" w14:textId="77777777" w:rsidR="009342B7" w:rsidRDefault="009342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B50CFC" w14:textId="0719C773" w:rsidR="0023168C" w:rsidRDefault="0023168C" w:rsidP="00593795">
    <w:pPr>
      <w:pStyle w:val="Header"/>
      <w:jc w:val="right"/>
      <w:rPr>
        <w:rFonts w:ascii="Book Antiqua" w:hAnsi="Book Antiqua" w:cs="Arial"/>
        <w:sz w:val="16"/>
        <w:szCs w:val="16"/>
      </w:rPr>
    </w:pPr>
    <w:r w:rsidRPr="00B57D66">
      <w:rPr>
        <w:rFonts w:ascii="Book Antiqua" w:hAnsi="Book Antiqua" w:cs="Arial"/>
        <w:sz w:val="16"/>
        <w:szCs w:val="16"/>
      </w:rPr>
      <w:t xml:space="preserve">Appeal Number: </w:t>
    </w:r>
    <w:r>
      <w:rPr>
        <w:rFonts w:ascii="Book Antiqua" w:hAnsi="Book Antiqua" w:cs="Arial"/>
        <w:sz w:val="16"/>
        <w:szCs w:val="16"/>
      </w:rPr>
      <w:t>IA/30857/2015</w:t>
    </w:r>
  </w:p>
  <w:p w14:paraId="030529EC" w14:textId="77777777" w:rsidR="00AC2D73" w:rsidRPr="00B57D66" w:rsidRDefault="00AC2D73"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74F292" w14:textId="77777777" w:rsidR="0023168C" w:rsidRPr="00B57D66" w:rsidRDefault="0023168C">
    <w:pPr>
      <w:pStyle w:val="Header"/>
      <w:rPr>
        <w:rFonts w:ascii="Book Antiqua" w:hAnsi="Book Antiqua"/>
      </w:rPr>
    </w:pPr>
    <w:r w:rsidRPr="00B57D66">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802856"/>
    <w:multiLevelType w:val="hybridMultilevel"/>
    <w:tmpl w:val="458A1B96"/>
    <w:lvl w:ilvl="0" w:tplc="59822E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7D0"/>
    <w:rsid w:val="00000621"/>
    <w:rsid w:val="000036C2"/>
    <w:rsid w:val="00032C32"/>
    <w:rsid w:val="00033D3D"/>
    <w:rsid w:val="00041A05"/>
    <w:rsid w:val="0004378D"/>
    <w:rsid w:val="00054D2C"/>
    <w:rsid w:val="000556BF"/>
    <w:rsid w:val="00062F02"/>
    <w:rsid w:val="000700EC"/>
    <w:rsid w:val="00071A7E"/>
    <w:rsid w:val="000746C0"/>
    <w:rsid w:val="00074D1D"/>
    <w:rsid w:val="00082E32"/>
    <w:rsid w:val="00092580"/>
    <w:rsid w:val="00093D4D"/>
    <w:rsid w:val="000A2421"/>
    <w:rsid w:val="000A2820"/>
    <w:rsid w:val="000A383D"/>
    <w:rsid w:val="000D326A"/>
    <w:rsid w:val="000D44D7"/>
    <w:rsid w:val="000D5D94"/>
    <w:rsid w:val="000F1A0E"/>
    <w:rsid w:val="000F4D2F"/>
    <w:rsid w:val="00110D44"/>
    <w:rsid w:val="001165A7"/>
    <w:rsid w:val="00120837"/>
    <w:rsid w:val="001340D3"/>
    <w:rsid w:val="0015057B"/>
    <w:rsid w:val="00152059"/>
    <w:rsid w:val="00152597"/>
    <w:rsid w:val="00167687"/>
    <w:rsid w:val="00167D3A"/>
    <w:rsid w:val="00173CC6"/>
    <w:rsid w:val="00180FD8"/>
    <w:rsid w:val="00193178"/>
    <w:rsid w:val="001A3082"/>
    <w:rsid w:val="001B186A"/>
    <w:rsid w:val="001B2F75"/>
    <w:rsid w:val="001D2CFE"/>
    <w:rsid w:val="001D4DD2"/>
    <w:rsid w:val="001E3521"/>
    <w:rsid w:val="001F2716"/>
    <w:rsid w:val="00200F1B"/>
    <w:rsid w:val="00207617"/>
    <w:rsid w:val="00224BD9"/>
    <w:rsid w:val="0023134B"/>
    <w:rsid w:val="0023168C"/>
    <w:rsid w:val="002417C9"/>
    <w:rsid w:val="002424F4"/>
    <w:rsid w:val="00257787"/>
    <w:rsid w:val="0026086F"/>
    <w:rsid w:val="00273337"/>
    <w:rsid w:val="00273E57"/>
    <w:rsid w:val="00277CB5"/>
    <w:rsid w:val="00283659"/>
    <w:rsid w:val="002C0B50"/>
    <w:rsid w:val="002C6BD4"/>
    <w:rsid w:val="002D68BF"/>
    <w:rsid w:val="002E03A8"/>
    <w:rsid w:val="002E476B"/>
    <w:rsid w:val="002F5B65"/>
    <w:rsid w:val="002F6B98"/>
    <w:rsid w:val="00302220"/>
    <w:rsid w:val="00307FF9"/>
    <w:rsid w:val="00327658"/>
    <w:rsid w:val="00335AC6"/>
    <w:rsid w:val="00336CBF"/>
    <w:rsid w:val="00343FE3"/>
    <w:rsid w:val="00347EA0"/>
    <w:rsid w:val="003516DD"/>
    <w:rsid w:val="00352DA0"/>
    <w:rsid w:val="00353351"/>
    <w:rsid w:val="003546C8"/>
    <w:rsid w:val="00366C9E"/>
    <w:rsid w:val="0039374D"/>
    <w:rsid w:val="003950EB"/>
    <w:rsid w:val="003A7CF2"/>
    <w:rsid w:val="003B0B66"/>
    <w:rsid w:val="003C5CE5"/>
    <w:rsid w:val="003E267B"/>
    <w:rsid w:val="003E7CD1"/>
    <w:rsid w:val="003F367D"/>
    <w:rsid w:val="003F77D0"/>
    <w:rsid w:val="00402B9E"/>
    <w:rsid w:val="004201CD"/>
    <w:rsid w:val="00422175"/>
    <w:rsid w:val="004249CB"/>
    <w:rsid w:val="00426616"/>
    <w:rsid w:val="0044127D"/>
    <w:rsid w:val="004448DB"/>
    <w:rsid w:val="00446C9A"/>
    <w:rsid w:val="00452F2B"/>
    <w:rsid w:val="00454ABA"/>
    <w:rsid w:val="0046454F"/>
    <w:rsid w:val="00471B09"/>
    <w:rsid w:val="00477193"/>
    <w:rsid w:val="0048169D"/>
    <w:rsid w:val="004A1848"/>
    <w:rsid w:val="004A41C9"/>
    <w:rsid w:val="004A6F4A"/>
    <w:rsid w:val="004B38D1"/>
    <w:rsid w:val="004B5AEF"/>
    <w:rsid w:val="004B6B17"/>
    <w:rsid w:val="004E4717"/>
    <w:rsid w:val="00500E0C"/>
    <w:rsid w:val="00506BCE"/>
    <w:rsid w:val="005076C0"/>
    <w:rsid w:val="00507FEC"/>
    <w:rsid w:val="00510F0E"/>
    <w:rsid w:val="00516132"/>
    <w:rsid w:val="00531ADC"/>
    <w:rsid w:val="005339AD"/>
    <w:rsid w:val="005426C3"/>
    <w:rsid w:val="00546E25"/>
    <w:rsid w:val="005479E1"/>
    <w:rsid w:val="00553E0A"/>
    <w:rsid w:val="005570FD"/>
    <w:rsid w:val="005575E7"/>
    <w:rsid w:val="005575EA"/>
    <w:rsid w:val="005665A9"/>
    <w:rsid w:val="005672D1"/>
    <w:rsid w:val="00567817"/>
    <w:rsid w:val="0057790C"/>
    <w:rsid w:val="00592479"/>
    <w:rsid w:val="00593795"/>
    <w:rsid w:val="005A13AD"/>
    <w:rsid w:val="005A487B"/>
    <w:rsid w:val="005A75FF"/>
    <w:rsid w:val="005D10AB"/>
    <w:rsid w:val="005D5BC5"/>
    <w:rsid w:val="005F7FA2"/>
    <w:rsid w:val="00601D8F"/>
    <w:rsid w:val="0061371C"/>
    <w:rsid w:val="006215B3"/>
    <w:rsid w:val="00640993"/>
    <w:rsid w:val="00653E97"/>
    <w:rsid w:val="00673B89"/>
    <w:rsid w:val="00684A74"/>
    <w:rsid w:val="00690B8A"/>
    <w:rsid w:val="00695404"/>
    <w:rsid w:val="00696873"/>
    <w:rsid w:val="006970BA"/>
    <w:rsid w:val="006B2B73"/>
    <w:rsid w:val="006C5560"/>
    <w:rsid w:val="006F2CF1"/>
    <w:rsid w:val="00700812"/>
    <w:rsid w:val="00700CB3"/>
    <w:rsid w:val="007038ED"/>
    <w:rsid w:val="00703BC3"/>
    <w:rsid w:val="00704B61"/>
    <w:rsid w:val="00720D28"/>
    <w:rsid w:val="007319C2"/>
    <w:rsid w:val="00743FC6"/>
    <w:rsid w:val="0074439E"/>
    <w:rsid w:val="007552A9"/>
    <w:rsid w:val="00761858"/>
    <w:rsid w:val="00761DDA"/>
    <w:rsid w:val="00767D59"/>
    <w:rsid w:val="007702DD"/>
    <w:rsid w:val="00776E97"/>
    <w:rsid w:val="00780F86"/>
    <w:rsid w:val="00781311"/>
    <w:rsid w:val="007912AD"/>
    <w:rsid w:val="00792144"/>
    <w:rsid w:val="007A3C56"/>
    <w:rsid w:val="007A4FEE"/>
    <w:rsid w:val="007B0824"/>
    <w:rsid w:val="007B5D3C"/>
    <w:rsid w:val="007C1919"/>
    <w:rsid w:val="008108C4"/>
    <w:rsid w:val="00816B01"/>
    <w:rsid w:val="00821B72"/>
    <w:rsid w:val="00823EF2"/>
    <w:rsid w:val="008303B8"/>
    <w:rsid w:val="00833DCE"/>
    <w:rsid w:val="008346A5"/>
    <w:rsid w:val="00837FE4"/>
    <w:rsid w:val="008426F2"/>
    <w:rsid w:val="00842F3A"/>
    <w:rsid w:val="00851A45"/>
    <w:rsid w:val="0085473A"/>
    <w:rsid w:val="00871D34"/>
    <w:rsid w:val="00872D99"/>
    <w:rsid w:val="00887A8B"/>
    <w:rsid w:val="00887DA7"/>
    <w:rsid w:val="008A01DD"/>
    <w:rsid w:val="008A151B"/>
    <w:rsid w:val="008A737C"/>
    <w:rsid w:val="008B270C"/>
    <w:rsid w:val="008B4F43"/>
    <w:rsid w:val="008B5078"/>
    <w:rsid w:val="008B50BD"/>
    <w:rsid w:val="008C3D3D"/>
    <w:rsid w:val="008D07A5"/>
    <w:rsid w:val="008D1689"/>
    <w:rsid w:val="008D4131"/>
    <w:rsid w:val="008F0203"/>
    <w:rsid w:val="008F17CC"/>
    <w:rsid w:val="008F1932"/>
    <w:rsid w:val="008F1BC2"/>
    <w:rsid w:val="00901B48"/>
    <w:rsid w:val="00916AFB"/>
    <w:rsid w:val="00921062"/>
    <w:rsid w:val="00922AF6"/>
    <w:rsid w:val="009342B7"/>
    <w:rsid w:val="009407F7"/>
    <w:rsid w:val="00962DEA"/>
    <w:rsid w:val="0096335F"/>
    <w:rsid w:val="009722BC"/>
    <w:rsid w:val="009727A3"/>
    <w:rsid w:val="00975893"/>
    <w:rsid w:val="00975DBD"/>
    <w:rsid w:val="00987774"/>
    <w:rsid w:val="00996C8F"/>
    <w:rsid w:val="009A11E8"/>
    <w:rsid w:val="009B4673"/>
    <w:rsid w:val="009B4E3C"/>
    <w:rsid w:val="009B6BF5"/>
    <w:rsid w:val="009C1045"/>
    <w:rsid w:val="009D341E"/>
    <w:rsid w:val="009F5220"/>
    <w:rsid w:val="00A15234"/>
    <w:rsid w:val="00A201AB"/>
    <w:rsid w:val="00A2306E"/>
    <w:rsid w:val="00A31C8B"/>
    <w:rsid w:val="00A50368"/>
    <w:rsid w:val="00A509FA"/>
    <w:rsid w:val="00A57BBB"/>
    <w:rsid w:val="00A716D6"/>
    <w:rsid w:val="00A845DC"/>
    <w:rsid w:val="00A84862"/>
    <w:rsid w:val="00A9409A"/>
    <w:rsid w:val="00AC2D73"/>
    <w:rsid w:val="00AD17CF"/>
    <w:rsid w:val="00AF07E8"/>
    <w:rsid w:val="00B259CF"/>
    <w:rsid w:val="00B26AA2"/>
    <w:rsid w:val="00B30250"/>
    <w:rsid w:val="00B34268"/>
    <w:rsid w:val="00B3524D"/>
    <w:rsid w:val="00B40F69"/>
    <w:rsid w:val="00B44073"/>
    <w:rsid w:val="00B448D5"/>
    <w:rsid w:val="00B46616"/>
    <w:rsid w:val="00B57B16"/>
    <w:rsid w:val="00B57D66"/>
    <w:rsid w:val="00B6262F"/>
    <w:rsid w:val="00B644F7"/>
    <w:rsid w:val="00B7040A"/>
    <w:rsid w:val="00B72803"/>
    <w:rsid w:val="00B83391"/>
    <w:rsid w:val="00B95326"/>
    <w:rsid w:val="00B968C7"/>
    <w:rsid w:val="00BA1C75"/>
    <w:rsid w:val="00BB45A9"/>
    <w:rsid w:val="00BB5BB3"/>
    <w:rsid w:val="00BC493B"/>
    <w:rsid w:val="00BC4F90"/>
    <w:rsid w:val="00BD4196"/>
    <w:rsid w:val="00BD5B26"/>
    <w:rsid w:val="00BE2F3A"/>
    <w:rsid w:val="00BF189D"/>
    <w:rsid w:val="00BF22CA"/>
    <w:rsid w:val="00BF23BB"/>
    <w:rsid w:val="00C01D1E"/>
    <w:rsid w:val="00C26032"/>
    <w:rsid w:val="00C26C8F"/>
    <w:rsid w:val="00C345E1"/>
    <w:rsid w:val="00C40DB5"/>
    <w:rsid w:val="00C421D5"/>
    <w:rsid w:val="00C4295C"/>
    <w:rsid w:val="00C43BFD"/>
    <w:rsid w:val="00C46021"/>
    <w:rsid w:val="00C63F10"/>
    <w:rsid w:val="00C7082D"/>
    <w:rsid w:val="00C740D3"/>
    <w:rsid w:val="00C74E89"/>
    <w:rsid w:val="00C816AD"/>
    <w:rsid w:val="00CA1543"/>
    <w:rsid w:val="00CB2C56"/>
    <w:rsid w:val="00CB6E35"/>
    <w:rsid w:val="00CC26E8"/>
    <w:rsid w:val="00CD4CBE"/>
    <w:rsid w:val="00CE1A46"/>
    <w:rsid w:val="00CE7550"/>
    <w:rsid w:val="00CE795B"/>
    <w:rsid w:val="00CE7F1E"/>
    <w:rsid w:val="00D015C1"/>
    <w:rsid w:val="00D1097F"/>
    <w:rsid w:val="00D20757"/>
    <w:rsid w:val="00D20894"/>
    <w:rsid w:val="00D21FE1"/>
    <w:rsid w:val="00D22636"/>
    <w:rsid w:val="00D40FD9"/>
    <w:rsid w:val="00D46B86"/>
    <w:rsid w:val="00D53769"/>
    <w:rsid w:val="00D7040C"/>
    <w:rsid w:val="00D843A7"/>
    <w:rsid w:val="00D85C13"/>
    <w:rsid w:val="00D9111A"/>
    <w:rsid w:val="00D91BE3"/>
    <w:rsid w:val="00D94AFC"/>
    <w:rsid w:val="00D9527D"/>
    <w:rsid w:val="00D95703"/>
    <w:rsid w:val="00D97B17"/>
    <w:rsid w:val="00DA1880"/>
    <w:rsid w:val="00DA7642"/>
    <w:rsid w:val="00DB70AE"/>
    <w:rsid w:val="00DC375C"/>
    <w:rsid w:val="00DC3EB2"/>
    <w:rsid w:val="00DC58A9"/>
    <w:rsid w:val="00DD4E0A"/>
    <w:rsid w:val="00DD5071"/>
    <w:rsid w:val="00DD5C39"/>
    <w:rsid w:val="00DE7DB7"/>
    <w:rsid w:val="00DF6B71"/>
    <w:rsid w:val="00E00A0A"/>
    <w:rsid w:val="00E01592"/>
    <w:rsid w:val="00E066DE"/>
    <w:rsid w:val="00E07F57"/>
    <w:rsid w:val="00E154F9"/>
    <w:rsid w:val="00E20E58"/>
    <w:rsid w:val="00E24E82"/>
    <w:rsid w:val="00E30683"/>
    <w:rsid w:val="00E3588C"/>
    <w:rsid w:val="00E4074F"/>
    <w:rsid w:val="00E453D8"/>
    <w:rsid w:val="00E500B2"/>
    <w:rsid w:val="00E50BCE"/>
    <w:rsid w:val="00E5109F"/>
    <w:rsid w:val="00E556B8"/>
    <w:rsid w:val="00E574BF"/>
    <w:rsid w:val="00E61292"/>
    <w:rsid w:val="00E77C4D"/>
    <w:rsid w:val="00E81D01"/>
    <w:rsid w:val="00E82519"/>
    <w:rsid w:val="00E93338"/>
    <w:rsid w:val="00EA5947"/>
    <w:rsid w:val="00ED6E0E"/>
    <w:rsid w:val="00EE1F4D"/>
    <w:rsid w:val="00EE45D8"/>
    <w:rsid w:val="00EF1E65"/>
    <w:rsid w:val="00F17123"/>
    <w:rsid w:val="00F22EDA"/>
    <w:rsid w:val="00F27619"/>
    <w:rsid w:val="00F35C16"/>
    <w:rsid w:val="00F4112D"/>
    <w:rsid w:val="00F465D5"/>
    <w:rsid w:val="00F475B8"/>
    <w:rsid w:val="00F47952"/>
    <w:rsid w:val="00F70F61"/>
    <w:rsid w:val="00F76356"/>
    <w:rsid w:val="00F77F5B"/>
    <w:rsid w:val="00F8473E"/>
    <w:rsid w:val="00F93ABB"/>
    <w:rsid w:val="00F958DC"/>
    <w:rsid w:val="00F95BB7"/>
    <w:rsid w:val="00FA1CD2"/>
    <w:rsid w:val="00FA1EF0"/>
    <w:rsid w:val="00FA6FCD"/>
    <w:rsid w:val="00FC45FD"/>
    <w:rsid w:val="00FC52B4"/>
    <w:rsid w:val="00FD1A3A"/>
    <w:rsid w:val="00FD6A2E"/>
    <w:rsid w:val="00FD7A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029B54B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A848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3888</Words>
  <Characters>19449</Characters>
  <Application>Microsoft Office Word</Application>
  <DocSecurity>0</DocSecurity>
  <Lines>162</Lines>
  <Paragraphs>46</Paragraphs>
  <ScaleCrop>false</ScaleCrop>
  <Company/>
  <LinksUpToDate>false</LinksUpToDate>
  <CharactersWithSpaces>23291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2018-10-08T16:44:00Z</dcterms:created>
  <dcterms:modified xsi:type="dcterms:W3CDTF">2018-10-08T16:44:00Z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