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292C7" w14:textId="77777777" w:rsidR="008A6059" w:rsidRPr="00FF5448" w:rsidRDefault="0081537C" w:rsidP="008A6059">
      <w:pPr>
        <w:jc w:val="center"/>
        <w:rPr>
          <w:rFonts w:ascii="Book Antiqua" w:hAnsi="Book Antiqua" w:cs="Arial"/>
          <w:caps/>
          <w:color w:val="000000"/>
          <w:sz w:val="16"/>
          <w:szCs w:val="16"/>
        </w:rPr>
      </w:pPr>
      <w:r w:rsidRPr="00FF5448">
        <w:rPr>
          <w:noProof/>
          <w:sz w:val="16"/>
          <w:szCs w:val="16"/>
          <w:lang w:val="en-US" w:eastAsia="en-US"/>
        </w:rPr>
        <w:drawing>
          <wp:inline distT="0" distB="0" distL="0" distR="0" wp14:anchorId="6EDCD468" wp14:editId="28CD93D7">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541592EA" w14:textId="13C2E604" w:rsidR="00D94AFC" w:rsidRPr="00FF5448" w:rsidRDefault="00D94AFC">
      <w:pPr>
        <w:rPr>
          <w:rFonts w:ascii="Book Antiqua" w:hAnsi="Book Antiqua" w:cs="Arial"/>
          <w:color w:val="000000"/>
          <w:sz w:val="16"/>
          <w:szCs w:val="16"/>
        </w:rPr>
      </w:pPr>
    </w:p>
    <w:p w14:paraId="7A6F3EF4" w14:textId="1A681F89" w:rsidR="008A6059" w:rsidRPr="000118BB" w:rsidRDefault="008A6059" w:rsidP="00780F86">
      <w:pPr>
        <w:tabs>
          <w:tab w:val="right" w:pos="9720"/>
        </w:tabs>
        <w:ind w:right="-82"/>
        <w:rPr>
          <w:rFonts w:ascii="Book Antiqua" w:hAnsi="Book Antiqua" w:cs="Arial"/>
          <w:b/>
          <w:color w:val="000000"/>
        </w:rPr>
      </w:pPr>
      <w:r w:rsidRPr="000118BB">
        <w:rPr>
          <w:rFonts w:ascii="Book Antiqua" w:hAnsi="Book Antiqua" w:cs="Arial"/>
          <w:b/>
          <w:color w:val="000000"/>
        </w:rPr>
        <w:t xml:space="preserve">Upper Tribunal </w:t>
      </w:r>
      <w:r w:rsidR="00DC0486" w:rsidRPr="000118BB">
        <w:rPr>
          <w:rFonts w:ascii="Book Antiqua" w:hAnsi="Book Antiqua" w:cs="Arial"/>
          <w:b/>
          <w:color w:val="000000"/>
        </w:rPr>
        <w:t xml:space="preserve"> </w:t>
      </w:r>
    </w:p>
    <w:p w14:paraId="18CF1AF7" w14:textId="4A43E5C3" w:rsidR="007B0824" w:rsidRPr="000118BB" w:rsidRDefault="008A6059" w:rsidP="00780F86">
      <w:pPr>
        <w:tabs>
          <w:tab w:val="right" w:pos="9720"/>
        </w:tabs>
        <w:ind w:right="-82"/>
        <w:rPr>
          <w:rFonts w:ascii="Book Antiqua" w:hAnsi="Book Antiqua" w:cs="Arial"/>
          <w:color w:val="000000"/>
        </w:rPr>
      </w:pPr>
      <w:r w:rsidRPr="000118BB">
        <w:rPr>
          <w:rFonts w:ascii="Book Antiqua" w:hAnsi="Book Antiqua" w:cs="Arial"/>
          <w:b/>
          <w:color w:val="000000"/>
        </w:rPr>
        <w:t>(Immigration and Asylum Chamber)</w:t>
      </w:r>
      <w:r w:rsidR="00DB70AE" w:rsidRPr="000118BB">
        <w:rPr>
          <w:rFonts w:ascii="Book Antiqua" w:hAnsi="Book Antiqua" w:cs="Arial"/>
          <w:b/>
          <w:color w:val="000000"/>
        </w:rPr>
        <w:tab/>
      </w:r>
      <w:r w:rsidR="00B3524D" w:rsidRPr="000118BB">
        <w:rPr>
          <w:rFonts w:ascii="Book Antiqua" w:hAnsi="Book Antiqua" w:cs="Arial"/>
          <w:color w:val="000000"/>
        </w:rPr>
        <w:t>Appeal Number</w:t>
      </w:r>
      <w:r w:rsidR="00D53769" w:rsidRPr="000118BB">
        <w:rPr>
          <w:rFonts w:ascii="Book Antiqua" w:hAnsi="Book Antiqua" w:cs="Arial"/>
          <w:color w:val="000000"/>
        </w:rPr>
        <w:t>:</w:t>
      </w:r>
      <w:r w:rsidR="001C4786" w:rsidRPr="000118BB">
        <w:rPr>
          <w:rFonts w:ascii="Book Antiqua" w:hAnsi="Book Antiqua" w:cs="Arial"/>
          <w:color w:val="000000"/>
        </w:rPr>
        <w:t xml:space="preserve"> </w:t>
      </w:r>
      <w:bookmarkStart w:id="0" w:name="_GoBack"/>
      <w:r w:rsidR="001C4786" w:rsidRPr="000118BB">
        <w:rPr>
          <w:rFonts w:ascii="Book Antiqua" w:hAnsi="Book Antiqua" w:cs="Arial"/>
          <w:color w:val="000000"/>
        </w:rPr>
        <w:t>IA/30985/2015</w:t>
      </w:r>
      <w:r w:rsidR="002F520D" w:rsidRPr="000118BB">
        <w:rPr>
          <w:rFonts w:ascii="Book Antiqua" w:hAnsi="Book Antiqua" w:cs="Arial"/>
          <w:color w:val="000000"/>
        </w:rPr>
        <w:t xml:space="preserve">  </w:t>
      </w:r>
      <w:bookmarkEnd w:id="0"/>
    </w:p>
    <w:p w14:paraId="5C4A472D" w14:textId="77777777" w:rsidR="00C345E1" w:rsidRPr="000118BB" w:rsidRDefault="00C345E1" w:rsidP="00C345E1">
      <w:pPr>
        <w:jc w:val="center"/>
        <w:rPr>
          <w:rFonts w:ascii="Book Antiqua" w:hAnsi="Book Antiqua" w:cs="Arial"/>
          <w:color w:val="000000"/>
        </w:rPr>
      </w:pPr>
    </w:p>
    <w:p w14:paraId="28997432" w14:textId="77777777" w:rsidR="00C345E1" w:rsidRPr="000118BB" w:rsidRDefault="00C345E1" w:rsidP="00C345E1">
      <w:pPr>
        <w:jc w:val="center"/>
        <w:rPr>
          <w:rFonts w:ascii="Book Antiqua" w:hAnsi="Book Antiqua" w:cs="Arial"/>
          <w:color w:val="000000"/>
        </w:rPr>
      </w:pPr>
    </w:p>
    <w:p w14:paraId="220B7CC1" w14:textId="77777777" w:rsidR="00C345E1" w:rsidRPr="000118BB" w:rsidRDefault="00C345E1" w:rsidP="00C345E1">
      <w:pPr>
        <w:jc w:val="center"/>
        <w:rPr>
          <w:rFonts w:ascii="Book Antiqua" w:hAnsi="Book Antiqua" w:cs="Arial"/>
          <w:b/>
          <w:color w:val="000000"/>
          <w:u w:val="single"/>
        </w:rPr>
      </w:pPr>
      <w:r w:rsidRPr="000118BB">
        <w:rPr>
          <w:rFonts w:ascii="Book Antiqua" w:hAnsi="Book Antiqua" w:cs="Arial"/>
          <w:b/>
          <w:color w:val="000000"/>
          <w:u w:val="single"/>
        </w:rPr>
        <w:t>THE IMMIGRATION ACTS</w:t>
      </w:r>
    </w:p>
    <w:p w14:paraId="2DBDC2BE" w14:textId="77777777" w:rsidR="00C345E1" w:rsidRPr="000118BB" w:rsidRDefault="00C345E1" w:rsidP="00C345E1">
      <w:pPr>
        <w:jc w:val="center"/>
        <w:rPr>
          <w:rFonts w:ascii="Book Antiqua" w:hAnsi="Book Antiqua" w:cs="Arial"/>
          <w:b/>
          <w:u w:val="single"/>
        </w:rPr>
      </w:pPr>
    </w:p>
    <w:p w14:paraId="63E4C990" w14:textId="77777777" w:rsidR="00C345E1" w:rsidRPr="000118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118BB" w14:paraId="2EBB1AFF" w14:textId="77777777" w:rsidTr="00D949B7">
        <w:tc>
          <w:tcPr>
            <w:tcW w:w="6048" w:type="dxa"/>
          </w:tcPr>
          <w:p w14:paraId="5B1591A5" w14:textId="444FDAA3" w:rsidR="00D22636" w:rsidRPr="000118BB" w:rsidRDefault="00D22636" w:rsidP="004A1848">
            <w:pPr>
              <w:jc w:val="both"/>
              <w:rPr>
                <w:rFonts w:ascii="Book Antiqua" w:hAnsi="Book Antiqua" w:cs="Arial"/>
                <w:b/>
              </w:rPr>
            </w:pPr>
            <w:r w:rsidRPr="000118BB">
              <w:rPr>
                <w:rFonts w:ascii="Book Antiqua" w:hAnsi="Book Antiqua" w:cs="Arial"/>
                <w:b/>
              </w:rPr>
              <w:t xml:space="preserve">Heard at </w:t>
            </w:r>
            <w:r w:rsidR="0081537C" w:rsidRPr="000118BB">
              <w:rPr>
                <w:rFonts w:ascii="Book Antiqua" w:hAnsi="Book Antiqua" w:cs="Arial"/>
                <w:b/>
              </w:rPr>
              <w:t>Field House</w:t>
            </w:r>
            <w:r w:rsidR="002B3118" w:rsidRPr="000118BB">
              <w:rPr>
                <w:rFonts w:ascii="Book Antiqua" w:hAnsi="Book Antiqua" w:cs="Arial"/>
                <w:b/>
              </w:rPr>
              <w:t xml:space="preserve"> </w:t>
            </w:r>
          </w:p>
        </w:tc>
        <w:tc>
          <w:tcPr>
            <w:tcW w:w="3960" w:type="dxa"/>
          </w:tcPr>
          <w:p w14:paraId="65815C34" w14:textId="77777777" w:rsidR="00D22636" w:rsidRPr="000118BB" w:rsidRDefault="00D949B7" w:rsidP="00093D4D">
            <w:pPr>
              <w:jc w:val="both"/>
              <w:rPr>
                <w:rFonts w:ascii="Book Antiqua" w:hAnsi="Book Antiqua" w:cs="Arial"/>
                <w:b/>
                <w:color w:val="000000"/>
              </w:rPr>
            </w:pPr>
            <w:r w:rsidRPr="000118BB">
              <w:rPr>
                <w:rFonts w:ascii="Book Antiqua" w:hAnsi="Book Antiqua" w:cs="Arial"/>
                <w:b/>
                <w:color w:val="000000"/>
              </w:rPr>
              <w:t>Decision &amp; Reasons</w:t>
            </w:r>
            <w:r w:rsidR="00283659" w:rsidRPr="000118BB">
              <w:rPr>
                <w:rFonts w:ascii="Book Antiqua" w:hAnsi="Book Antiqua" w:cs="Arial"/>
                <w:b/>
                <w:color w:val="000000"/>
              </w:rPr>
              <w:t xml:space="preserve"> Promulgated</w:t>
            </w:r>
          </w:p>
        </w:tc>
      </w:tr>
      <w:tr w:rsidR="00D22636" w:rsidRPr="000118BB" w14:paraId="36DE9308" w14:textId="77777777" w:rsidTr="00D949B7">
        <w:tc>
          <w:tcPr>
            <w:tcW w:w="6048" w:type="dxa"/>
          </w:tcPr>
          <w:p w14:paraId="5B0775E3" w14:textId="5A98BF3E" w:rsidR="00D22636" w:rsidRPr="000118BB" w:rsidRDefault="00D22636" w:rsidP="004A1848">
            <w:pPr>
              <w:jc w:val="both"/>
              <w:rPr>
                <w:rFonts w:ascii="Book Antiqua" w:hAnsi="Book Antiqua" w:cs="Arial"/>
                <w:b/>
              </w:rPr>
            </w:pPr>
            <w:r w:rsidRPr="000118BB">
              <w:rPr>
                <w:rFonts w:ascii="Book Antiqua" w:hAnsi="Book Antiqua" w:cs="Arial"/>
                <w:b/>
              </w:rPr>
              <w:t xml:space="preserve">On </w:t>
            </w:r>
            <w:r w:rsidR="00D716B1" w:rsidRPr="000118BB">
              <w:rPr>
                <w:rFonts w:ascii="Book Antiqua" w:hAnsi="Book Antiqua" w:cs="Arial"/>
                <w:b/>
              </w:rPr>
              <w:t>13</w:t>
            </w:r>
            <w:r w:rsidR="00D716B1" w:rsidRPr="000118BB">
              <w:rPr>
                <w:rFonts w:ascii="Book Antiqua" w:hAnsi="Book Antiqua" w:cs="Arial"/>
                <w:b/>
                <w:vertAlign w:val="superscript"/>
              </w:rPr>
              <w:t>th</w:t>
            </w:r>
            <w:r w:rsidR="00D716B1" w:rsidRPr="000118BB">
              <w:rPr>
                <w:rFonts w:ascii="Book Antiqua" w:hAnsi="Book Antiqua" w:cs="Arial"/>
                <w:b/>
              </w:rPr>
              <w:t xml:space="preserve"> July </w:t>
            </w:r>
            <w:r w:rsidR="0081537C" w:rsidRPr="000118BB">
              <w:rPr>
                <w:rFonts w:ascii="Book Antiqua" w:hAnsi="Book Antiqua" w:cs="Arial"/>
                <w:b/>
              </w:rPr>
              <w:t>2018</w:t>
            </w:r>
            <w:r w:rsidR="002B3118" w:rsidRPr="000118BB">
              <w:rPr>
                <w:rFonts w:ascii="Book Antiqua" w:hAnsi="Book Antiqua" w:cs="Arial"/>
                <w:b/>
              </w:rPr>
              <w:t xml:space="preserve"> </w:t>
            </w:r>
          </w:p>
        </w:tc>
        <w:tc>
          <w:tcPr>
            <w:tcW w:w="3960" w:type="dxa"/>
          </w:tcPr>
          <w:p w14:paraId="484269B8" w14:textId="48857F6F" w:rsidR="00D22636" w:rsidRPr="000118BB" w:rsidRDefault="00B47ACC" w:rsidP="004A1848">
            <w:pPr>
              <w:jc w:val="both"/>
              <w:rPr>
                <w:rFonts w:ascii="Book Antiqua" w:hAnsi="Book Antiqua" w:cs="Arial"/>
                <w:b/>
              </w:rPr>
            </w:pPr>
            <w:r>
              <w:rPr>
                <w:rFonts w:ascii="Book Antiqua" w:hAnsi="Book Antiqua" w:cs="Arial"/>
                <w:b/>
              </w:rPr>
              <w:t>On 1</w:t>
            </w:r>
            <w:r w:rsidRPr="00B47ACC">
              <w:rPr>
                <w:rFonts w:ascii="Book Antiqua" w:hAnsi="Book Antiqua" w:cs="Arial"/>
                <w:b/>
                <w:vertAlign w:val="superscript"/>
              </w:rPr>
              <w:t>st</w:t>
            </w:r>
            <w:r>
              <w:rPr>
                <w:rFonts w:ascii="Book Antiqua" w:hAnsi="Book Antiqua" w:cs="Arial"/>
                <w:b/>
              </w:rPr>
              <w:t xml:space="preserve"> August 2018  </w:t>
            </w:r>
          </w:p>
        </w:tc>
      </w:tr>
      <w:tr w:rsidR="00D22636" w:rsidRPr="000118BB" w14:paraId="4CF16FAB" w14:textId="77777777" w:rsidTr="00D949B7">
        <w:tc>
          <w:tcPr>
            <w:tcW w:w="6048" w:type="dxa"/>
          </w:tcPr>
          <w:p w14:paraId="13BB75EC" w14:textId="77777777" w:rsidR="00D22636" w:rsidRPr="000118BB" w:rsidRDefault="00D22636" w:rsidP="004A1848">
            <w:pPr>
              <w:jc w:val="both"/>
              <w:rPr>
                <w:rFonts w:ascii="Book Antiqua" w:hAnsi="Book Antiqua" w:cs="Arial"/>
                <w:b/>
              </w:rPr>
            </w:pPr>
          </w:p>
        </w:tc>
        <w:tc>
          <w:tcPr>
            <w:tcW w:w="3960" w:type="dxa"/>
          </w:tcPr>
          <w:p w14:paraId="19A79450" w14:textId="3B350379" w:rsidR="00D22636" w:rsidRPr="000118BB" w:rsidRDefault="00D22636" w:rsidP="004A1848">
            <w:pPr>
              <w:jc w:val="both"/>
              <w:rPr>
                <w:rFonts w:ascii="Book Antiqua" w:hAnsi="Book Antiqua" w:cs="Arial"/>
                <w:b/>
              </w:rPr>
            </w:pPr>
          </w:p>
        </w:tc>
      </w:tr>
    </w:tbl>
    <w:p w14:paraId="6555CC35" w14:textId="77777777" w:rsidR="00A15234" w:rsidRPr="000118BB" w:rsidRDefault="00A15234" w:rsidP="00A15234">
      <w:pPr>
        <w:jc w:val="center"/>
        <w:rPr>
          <w:rFonts w:ascii="Book Antiqua" w:hAnsi="Book Antiqua" w:cs="Arial"/>
        </w:rPr>
      </w:pPr>
    </w:p>
    <w:p w14:paraId="294DF51E" w14:textId="77777777" w:rsidR="00A15234" w:rsidRPr="000118BB" w:rsidRDefault="00207617" w:rsidP="00A15234">
      <w:pPr>
        <w:jc w:val="center"/>
        <w:rPr>
          <w:rFonts w:ascii="Book Antiqua" w:hAnsi="Book Antiqua" w:cs="Arial"/>
          <w:b/>
        </w:rPr>
      </w:pPr>
      <w:r w:rsidRPr="000118BB">
        <w:rPr>
          <w:rFonts w:ascii="Book Antiqua" w:hAnsi="Book Antiqua" w:cs="Arial"/>
          <w:b/>
        </w:rPr>
        <w:t>Befo</w:t>
      </w:r>
      <w:r w:rsidR="00A15234" w:rsidRPr="000118BB">
        <w:rPr>
          <w:rFonts w:ascii="Book Antiqua" w:hAnsi="Book Antiqua" w:cs="Arial"/>
          <w:b/>
        </w:rPr>
        <w:t>re</w:t>
      </w:r>
    </w:p>
    <w:p w14:paraId="2EC14A61" w14:textId="77777777" w:rsidR="00A15234" w:rsidRPr="000118BB" w:rsidRDefault="00A15234" w:rsidP="00A15234">
      <w:pPr>
        <w:jc w:val="center"/>
        <w:rPr>
          <w:rFonts w:ascii="Book Antiqua" w:hAnsi="Book Antiqua" w:cs="Arial"/>
          <w:b/>
        </w:rPr>
      </w:pPr>
    </w:p>
    <w:p w14:paraId="484F33D8" w14:textId="77777777" w:rsidR="004A2D15" w:rsidRPr="000118BB" w:rsidRDefault="000C40FF" w:rsidP="004A2D15">
      <w:pPr>
        <w:jc w:val="center"/>
        <w:rPr>
          <w:rFonts w:ascii="Book Antiqua" w:hAnsi="Book Antiqua" w:cs="Arial"/>
          <w:b/>
          <w:color w:val="000000"/>
        </w:rPr>
      </w:pPr>
      <w:r w:rsidRPr="000118BB">
        <w:rPr>
          <w:rFonts w:ascii="Book Antiqua" w:hAnsi="Book Antiqua" w:cs="Arial"/>
          <w:b/>
          <w:color w:val="000000"/>
        </w:rPr>
        <w:t>DEPUTY UPPER TRIBUNAL JUDGE SAINI</w:t>
      </w:r>
    </w:p>
    <w:p w14:paraId="2184BFAF" w14:textId="77777777" w:rsidR="001B186A" w:rsidRPr="000118BB" w:rsidRDefault="001B186A" w:rsidP="00A15234">
      <w:pPr>
        <w:jc w:val="center"/>
        <w:rPr>
          <w:rFonts w:ascii="Book Antiqua" w:hAnsi="Book Antiqua" w:cs="Arial"/>
          <w:b/>
          <w:color w:val="000000"/>
        </w:rPr>
      </w:pPr>
    </w:p>
    <w:p w14:paraId="7CBA6AB9" w14:textId="77777777" w:rsidR="00D20757" w:rsidRPr="000118BB" w:rsidRDefault="00D20757" w:rsidP="00A15234">
      <w:pPr>
        <w:jc w:val="center"/>
        <w:rPr>
          <w:rFonts w:ascii="Book Antiqua" w:hAnsi="Book Antiqua" w:cs="Arial"/>
          <w:b/>
        </w:rPr>
      </w:pPr>
    </w:p>
    <w:p w14:paraId="169D265B" w14:textId="77777777" w:rsidR="00A845DC" w:rsidRPr="000118BB" w:rsidRDefault="00A845DC" w:rsidP="00A15234">
      <w:pPr>
        <w:jc w:val="center"/>
        <w:rPr>
          <w:rFonts w:ascii="Book Antiqua" w:hAnsi="Book Antiqua" w:cs="Arial"/>
          <w:b/>
        </w:rPr>
      </w:pPr>
      <w:r w:rsidRPr="000118BB">
        <w:rPr>
          <w:rFonts w:ascii="Book Antiqua" w:hAnsi="Book Antiqua" w:cs="Arial"/>
          <w:b/>
        </w:rPr>
        <w:t>Between</w:t>
      </w:r>
    </w:p>
    <w:p w14:paraId="25D5414F" w14:textId="77777777" w:rsidR="00A845DC" w:rsidRPr="000118BB" w:rsidRDefault="00A845DC" w:rsidP="00A15234">
      <w:pPr>
        <w:jc w:val="center"/>
        <w:rPr>
          <w:rFonts w:ascii="Book Antiqua" w:hAnsi="Book Antiqua" w:cs="Arial"/>
          <w:b/>
        </w:rPr>
      </w:pPr>
    </w:p>
    <w:p w14:paraId="01373BC9" w14:textId="265037F8" w:rsidR="00A845DC" w:rsidRPr="000118BB" w:rsidRDefault="001C4786" w:rsidP="00A15234">
      <w:pPr>
        <w:jc w:val="center"/>
        <w:rPr>
          <w:rFonts w:ascii="Book Antiqua" w:hAnsi="Book Antiqua" w:cs="Arial"/>
          <w:b/>
          <w:caps/>
        </w:rPr>
      </w:pPr>
      <w:r w:rsidRPr="000118BB">
        <w:rPr>
          <w:rFonts w:ascii="Book Antiqua" w:hAnsi="Book Antiqua" w:cs="Arial"/>
          <w:b/>
          <w:caps/>
        </w:rPr>
        <w:t xml:space="preserve">MR Thabani Michael Kainga  </w:t>
      </w:r>
    </w:p>
    <w:p w14:paraId="13454824" w14:textId="5B1A9D7A" w:rsidR="00704B61" w:rsidRPr="000118BB" w:rsidRDefault="00D949B7" w:rsidP="00FD5B31">
      <w:pPr>
        <w:jc w:val="center"/>
        <w:rPr>
          <w:rFonts w:ascii="Book Antiqua" w:hAnsi="Book Antiqua" w:cs="Arial"/>
          <w:b/>
          <w:caps/>
        </w:rPr>
      </w:pPr>
      <w:r w:rsidRPr="000118BB">
        <w:rPr>
          <w:rFonts w:ascii="Book Antiqua" w:hAnsi="Book Antiqua" w:cs="Arial"/>
          <w:b/>
          <w:caps/>
        </w:rPr>
        <w:t xml:space="preserve">(ANONYMITY DIRECTION </w:t>
      </w:r>
      <w:r w:rsidR="0081537C" w:rsidRPr="000118BB">
        <w:rPr>
          <w:rFonts w:ascii="Book Antiqua" w:hAnsi="Book Antiqua" w:cs="Arial"/>
          <w:b/>
          <w:caps/>
        </w:rPr>
        <w:t>NOT MADE</w:t>
      </w:r>
      <w:r w:rsidRPr="000118BB">
        <w:rPr>
          <w:rFonts w:ascii="Book Antiqua" w:hAnsi="Book Antiqua" w:cs="Arial"/>
          <w:b/>
          <w:caps/>
        </w:rPr>
        <w:t>)</w:t>
      </w:r>
      <w:r w:rsidR="002F520D" w:rsidRPr="000118BB">
        <w:rPr>
          <w:rFonts w:ascii="Book Antiqua" w:hAnsi="Book Antiqua" w:cs="Arial"/>
          <w:b/>
          <w:caps/>
        </w:rPr>
        <w:t xml:space="preserve">  </w:t>
      </w:r>
    </w:p>
    <w:p w14:paraId="63ED5AB4" w14:textId="77777777" w:rsidR="00704B61" w:rsidRPr="000118BB" w:rsidRDefault="00704B61" w:rsidP="00704B61">
      <w:pPr>
        <w:jc w:val="right"/>
        <w:rPr>
          <w:rFonts w:ascii="Book Antiqua" w:hAnsi="Book Antiqua" w:cs="Arial"/>
          <w:u w:val="single"/>
        </w:rPr>
      </w:pPr>
      <w:r w:rsidRPr="000118BB">
        <w:rPr>
          <w:rFonts w:ascii="Book Antiqua" w:hAnsi="Book Antiqua" w:cs="Arial"/>
          <w:u w:val="single"/>
        </w:rPr>
        <w:t>Appellant</w:t>
      </w:r>
    </w:p>
    <w:p w14:paraId="23BD8C20" w14:textId="77777777" w:rsidR="00704B61" w:rsidRPr="000118BB" w:rsidRDefault="00DD5071" w:rsidP="00704B61">
      <w:pPr>
        <w:jc w:val="center"/>
        <w:rPr>
          <w:rFonts w:ascii="Book Antiqua" w:hAnsi="Book Antiqua" w:cs="Arial"/>
          <w:b/>
        </w:rPr>
      </w:pPr>
      <w:r w:rsidRPr="000118BB">
        <w:rPr>
          <w:rFonts w:ascii="Book Antiqua" w:hAnsi="Book Antiqua" w:cs="Arial"/>
          <w:b/>
        </w:rPr>
        <w:t>and</w:t>
      </w:r>
    </w:p>
    <w:p w14:paraId="39B56E35" w14:textId="77777777" w:rsidR="00DD5071" w:rsidRPr="000118BB" w:rsidRDefault="00DD5071" w:rsidP="00704B61">
      <w:pPr>
        <w:jc w:val="center"/>
        <w:rPr>
          <w:rFonts w:ascii="Book Antiqua" w:hAnsi="Book Antiqua" w:cs="Arial"/>
          <w:b/>
        </w:rPr>
      </w:pPr>
    </w:p>
    <w:p w14:paraId="0051C525" w14:textId="20C4BD0C" w:rsidR="00DD5071" w:rsidRPr="000118BB" w:rsidRDefault="00DD5071" w:rsidP="00704B61">
      <w:pPr>
        <w:jc w:val="center"/>
        <w:rPr>
          <w:rFonts w:ascii="Book Antiqua" w:hAnsi="Book Antiqua" w:cs="Arial"/>
          <w:b/>
        </w:rPr>
      </w:pPr>
      <w:bookmarkStart w:id="1" w:name="Text7"/>
      <w:r w:rsidRPr="000118BB">
        <w:rPr>
          <w:rFonts w:ascii="Book Antiqua" w:hAnsi="Book Antiqua" w:cs="Arial"/>
          <w:b/>
          <w:noProof/>
        </w:rPr>
        <w:t>THE SECRETARY OF STATE FOR THE HOME DEPARTMENT</w:t>
      </w:r>
      <w:bookmarkEnd w:id="1"/>
      <w:r w:rsidR="002F520D" w:rsidRPr="000118BB">
        <w:rPr>
          <w:rFonts w:ascii="Book Antiqua" w:hAnsi="Book Antiqua" w:cs="Arial"/>
          <w:b/>
          <w:noProof/>
        </w:rPr>
        <w:t xml:space="preserve">  </w:t>
      </w:r>
    </w:p>
    <w:p w14:paraId="3D5636D1" w14:textId="77777777" w:rsidR="00DD5071" w:rsidRPr="000118BB" w:rsidRDefault="00DD5071" w:rsidP="00DD5071">
      <w:pPr>
        <w:jc w:val="right"/>
        <w:rPr>
          <w:rFonts w:ascii="Book Antiqua" w:hAnsi="Book Antiqua" w:cs="Arial"/>
          <w:u w:val="single"/>
        </w:rPr>
      </w:pPr>
      <w:r w:rsidRPr="000118BB">
        <w:rPr>
          <w:rFonts w:ascii="Book Antiqua" w:hAnsi="Book Antiqua" w:cs="Arial"/>
          <w:u w:val="single"/>
        </w:rPr>
        <w:t>Respondent</w:t>
      </w:r>
    </w:p>
    <w:p w14:paraId="2F81BA68" w14:textId="77777777" w:rsidR="00DD5071" w:rsidRPr="000118BB" w:rsidRDefault="00DD5071" w:rsidP="00DD5071">
      <w:pPr>
        <w:rPr>
          <w:rFonts w:ascii="Book Antiqua" w:hAnsi="Book Antiqua" w:cs="Arial"/>
          <w:u w:val="single"/>
        </w:rPr>
      </w:pPr>
    </w:p>
    <w:p w14:paraId="1ED8F064" w14:textId="77777777" w:rsidR="00DD5071" w:rsidRPr="000118BB" w:rsidRDefault="00DD5071" w:rsidP="00DD5071">
      <w:pPr>
        <w:rPr>
          <w:rFonts w:ascii="Book Antiqua" w:hAnsi="Book Antiqua" w:cs="Arial"/>
          <w:u w:val="single"/>
        </w:rPr>
      </w:pPr>
    </w:p>
    <w:p w14:paraId="038AE02F" w14:textId="77777777" w:rsidR="00DD5071" w:rsidRPr="000118BB" w:rsidRDefault="00DE7DB7" w:rsidP="00DD5071">
      <w:pPr>
        <w:rPr>
          <w:rFonts w:ascii="Book Antiqua" w:hAnsi="Book Antiqua" w:cs="Arial"/>
        </w:rPr>
      </w:pPr>
      <w:r w:rsidRPr="000118BB">
        <w:rPr>
          <w:rFonts w:ascii="Book Antiqua" w:hAnsi="Book Antiqua" w:cs="Arial"/>
          <w:b/>
          <w:u w:val="single"/>
        </w:rPr>
        <w:t>Representation</w:t>
      </w:r>
      <w:r w:rsidRPr="000118BB">
        <w:rPr>
          <w:rFonts w:ascii="Book Antiqua" w:hAnsi="Book Antiqua" w:cs="Arial"/>
          <w:b/>
        </w:rPr>
        <w:t>:</w:t>
      </w:r>
    </w:p>
    <w:p w14:paraId="4D2B6D12" w14:textId="3C8C47D9" w:rsidR="00DE7DB7" w:rsidRPr="000118BB" w:rsidRDefault="00DE7DB7" w:rsidP="00DE7DB7">
      <w:pPr>
        <w:tabs>
          <w:tab w:val="left" w:pos="2520"/>
        </w:tabs>
        <w:rPr>
          <w:rFonts w:ascii="Book Antiqua" w:hAnsi="Book Antiqua" w:cs="Arial"/>
        </w:rPr>
      </w:pPr>
      <w:r w:rsidRPr="000118BB">
        <w:rPr>
          <w:rFonts w:ascii="Book Antiqua" w:hAnsi="Book Antiqua" w:cs="Arial"/>
        </w:rPr>
        <w:t>For the Appellant:</w:t>
      </w:r>
      <w:r w:rsidRPr="000118BB">
        <w:rPr>
          <w:rFonts w:ascii="Book Antiqua" w:hAnsi="Book Antiqua" w:cs="Arial"/>
        </w:rPr>
        <w:tab/>
      </w:r>
      <w:r w:rsidR="00875627">
        <w:rPr>
          <w:rFonts w:ascii="Book Antiqua" w:hAnsi="Book Antiqua" w:cs="Arial"/>
        </w:rPr>
        <w:t>No Representative, L</w:t>
      </w:r>
      <w:r w:rsidR="002F520D" w:rsidRPr="000118BB">
        <w:rPr>
          <w:rFonts w:ascii="Book Antiqua" w:hAnsi="Book Antiqua" w:cs="Arial"/>
        </w:rPr>
        <w:t xml:space="preserve">itigant in person  </w:t>
      </w:r>
    </w:p>
    <w:p w14:paraId="16041BA5" w14:textId="74A5BE61" w:rsidR="00DE7DB7" w:rsidRPr="000118BB" w:rsidRDefault="00DE7DB7" w:rsidP="00DE7DB7">
      <w:pPr>
        <w:tabs>
          <w:tab w:val="left" w:pos="2520"/>
        </w:tabs>
        <w:rPr>
          <w:rFonts w:ascii="Book Antiqua" w:hAnsi="Book Antiqua" w:cs="Arial"/>
        </w:rPr>
      </w:pPr>
      <w:r w:rsidRPr="000118BB">
        <w:rPr>
          <w:rFonts w:ascii="Book Antiqua" w:hAnsi="Book Antiqua" w:cs="Arial"/>
        </w:rPr>
        <w:t>For the Respondent:</w:t>
      </w:r>
      <w:r w:rsidR="00875627">
        <w:rPr>
          <w:rFonts w:ascii="Book Antiqua" w:hAnsi="Book Antiqua" w:cs="Arial"/>
        </w:rPr>
        <w:tab/>
        <w:t>M</w:t>
      </w:r>
      <w:r w:rsidR="002F520D" w:rsidRPr="000118BB">
        <w:rPr>
          <w:rFonts w:ascii="Book Antiqua" w:hAnsi="Book Antiqua" w:cs="Arial"/>
        </w:rPr>
        <w:t xml:space="preserve">s L Kenny, Senior Presenting Officer  </w:t>
      </w:r>
    </w:p>
    <w:p w14:paraId="36A533BA" w14:textId="77777777" w:rsidR="00DE7DB7" w:rsidRPr="000118BB" w:rsidRDefault="00DE7DB7" w:rsidP="00402B9E">
      <w:pPr>
        <w:tabs>
          <w:tab w:val="left" w:pos="2520"/>
        </w:tabs>
        <w:jc w:val="center"/>
        <w:rPr>
          <w:rFonts w:ascii="Book Antiqua" w:hAnsi="Book Antiqua" w:cs="Arial"/>
        </w:rPr>
      </w:pPr>
    </w:p>
    <w:p w14:paraId="7ABE358B" w14:textId="77777777" w:rsidR="00DE7DB7" w:rsidRPr="000118BB" w:rsidRDefault="00DE7DB7" w:rsidP="000A0743">
      <w:pPr>
        <w:jc w:val="center"/>
        <w:rPr>
          <w:rFonts w:ascii="Book Antiqua" w:hAnsi="Book Antiqua" w:cs="Arial"/>
        </w:rPr>
      </w:pPr>
    </w:p>
    <w:p w14:paraId="6E190091" w14:textId="4A673F9F" w:rsidR="00402B9E" w:rsidRPr="000118BB" w:rsidRDefault="00D949B7" w:rsidP="004D6B45">
      <w:pPr>
        <w:tabs>
          <w:tab w:val="left" w:pos="2520"/>
        </w:tabs>
        <w:jc w:val="center"/>
        <w:rPr>
          <w:rFonts w:ascii="Book Antiqua" w:hAnsi="Book Antiqua" w:cs="Arial"/>
        </w:rPr>
      </w:pPr>
      <w:r w:rsidRPr="000118BB">
        <w:rPr>
          <w:rFonts w:ascii="Book Antiqua" w:hAnsi="Book Antiqua" w:cs="Arial"/>
          <w:b/>
          <w:u w:val="single"/>
        </w:rPr>
        <w:t xml:space="preserve">DECISION </w:t>
      </w:r>
      <w:r w:rsidR="00402B9E" w:rsidRPr="000118BB">
        <w:rPr>
          <w:rFonts w:ascii="Book Antiqua" w:hAnsi="Book Antiqua" w:cs="Arial"/>
          <w:b/>
          <w:u w:val="single"/>
        </w:rPr>
        <w:t>AND REASONS</w:t>
      </w:r>
      <w:r w:rsidR="00C520E2" w:rsidRPr="000118BB">
        <w:rPr>
          <w:rFonts w:ascii="Book Antiqua" w:hAnsi="Book Antiqua" w:cs="Arial"/>
          <w:b/>
          <w:u w:val="single"/>
        </w:rPr>
        <w:t xml:space="preserve">  </w:t>
      </w:r>
    </w:p>
    <w:p w14:paraId="73453B29" w14:textId="58CE560C" w:rsidR="00175624" w:rsidRPr="000118BB" w:rsidRDefault="00FC5456"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The Appellant appeals against the decision of First-tier Tribunal Judge Ross promulgated on 29</w:t>
      </w:r>
      <w:r w:rsidRPr="000118BB">
        <w:rPr>
          <w:rFonts w:ascii="Book Antiqua" w:hAnsi="Book Antiqua" w:cs="Arial"/>
          <w:vertAlign w:val="superscript"/>
        </w:rPr>
        <w:t>th</w:t>
      </w:r>
      <w:r w:rsidRPr="000118BB">
        <w:rPr>
          <w:rFonts w:ascii="Book Antiqua" w:hAnsi="Book Antiqua" w:cs="Arial"/>
        </w:rPr>
        <w:t xml:space="preserve"> January 2018 dismissing his appeal against a further application for leave to remain on the basis of his partnership </w:t>
      </w:r>
      <w:r w:rsidR="003F5DD3" w:rsidRPr="000118BB">
        <w:rPr>
          <w:rFonts w:ascii="Book Antiqua" w:hAnsi="Book Antiqua" w:cs="Arial"/>
        </w:rPr>
        <w:t>with a British citizen and his being a parent of a British child as well as a stepfather to other British children</w:t>
      </w:r>
      <w:r w:rsidR="00952AC4" w:rsidRPr="000118BB">
        <w:rPr>
          <w:rFonts w:ascii="Book Antiqua" w:hAnsi="Book Antiqua" w:cs="Arial"/>
        </w:rPr>
        <w:t>.</w:t>
      </w:r>
    </w:p>
    <w:p w14:paraId="367092EF" w14:textId="2F7935F6" w:rsidR="00C520E2" w:rsidRPr="000118BB" w:rsidRDefault="00175624"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 xml:space="preserve">The Appellant appealed against this decision and was granted permission to appeal by First-tier Tribunal Judge Doyle </w:t>
      </w:r>
      <w:r w:rsidR="009419B6" w:rsidRPr="000118BB">
        <w:rPr>
          <w:rFonts w:ascii="Book Antiqua" w:hAnsi="Book Antiqua" w:cs="Arial"/>
        </w:rPr>
        <w:t xml:space="preserve">in the following terms:  </w:t>
      </w:r>
    </w:p>
    <w:p w14:paraId="32BA8120" w14:textId="33C81690" w:rsidR="004160E6" w:rsidRPr="000118BB" w:rsidRDefault="009419B6" w:rsidP="009419B6">
      <w:pPr>
        <w:spacing w:before="240"/>
        <w:ind w:left="1134"/>
        <w:jc w:val="both"/>
        <w:rPr>
          <w:rFonts w:ascii="Book Antiqua" w:hAnsi="Book Antiqua" w:cs="Arial"/>
        </w:rPr>
      </w:pPr>
      <w:r w:rsidRPr="000118BB">
        <w:rPr>
          <w:rFonts w:ascii="Book Antiqua" w:hAnsi="Book Antiqua" w:cs="Arial"/>
        </w:rPr>
        <w:lastRenderedPageBreak/>
        <w:t>“</w:t>
      </w:r>
      <w:r w:rsidR="00A64C8A" w:rsidRPr="000118BB">
        <w:rPr>
          <w:rFonts w:ascii="Book Antiqua" w:hAnsi="Book Antiqua" w:cs="Arial"/>
        </w:rPr>
        <w:t xml:space="preserve">The </w:t>
      </w:r>
      <w:r w:rsidRPr="000118BB">
        <w:rPr>
          <w:rFonts w:ascii="Book Antiqua" w:hAnsi="Book Antiqua" w:cs="Arial"/>
        </w:rPr>
        <w:t xml:space="preserve">Grounds of Appeal argue that the judge failed to take account of </w:t>
      </w:r>
      <w:r w:rsidR="00A64C8A" w:rsidRPr="000118BB">
        <w:rPr>
          <w:rFonts w:ascii="Book Antiqua" w:hAnsi="Book Antiqua" w:cs="Arial"/>
        </w:rPr>
        <w:t>relevant matters; that the proceedings were tainted by unfairness</w:t>
      </w:r>
      <w:r w:rsidR="004160E6" w:rsidRPr="000118BB">
        <w:rPr>
          <w:rFonts w:ascii="Book Antiqua" w:hAnsi="Book Antiqua" w:cs="Arial"/>
        </w:rPr>
        <w:t xml:space="preserve"> </w:t>
      </w:r>
      <w:r w:rsidR="00A64C8A" w:rsidRPr="000118BB">
        <w:rPr>
          <w:rFonts w:ascii="Book Antiqua" w:hAnsi="Book Antiqua" w:cs="Arial"/>
        </w:rPr>
        <w:t xml:space="preserve">that the judge reached irrational </w:t>
      </w:r>
      <w:r w:rsidR="004160E6" w:rsidRPr="000118BB">
        <w:rPr>
          <w:rFonts w:ascii="Book Antiqua" w:hAnsi="Book Antiqua" w:cs="Arial"/>
        </w:rPr>
        <w:t>conclusions.</w:t>
      </w:r>
    </w:p>
    <w:p w14:paraId="379D74A7" w14:textId="531518E6" w:rsidR="004160E6" w:rsidRPr="000118BB" w:rsidRDefault="00A64C8A" w:rsidP="009419B6">
      <w:pPr>
        <w:spacing w:before="240"/>
        <w:ind w:left="1134"/>
        <w:jc w:val="both"/>
        <w:rPr>
          <w:rFonts w:ascii="Book Antiqua" w:hAnsi="Book Antiqua" w:cs="Arial"/>
        </w:rPr>
      </w:pPr>
      <w:r w:rsidRPr="000118BB">
        <w:rPr>
          <w:rFonts w:ascii="Book Antiqua" w:hAnsi="Book Antiqua" w:cs="Arial"/>
        </w:rPr>
        <w:t>It is arguable that the decision that the Appellant is not in a relationship with his partner and is not the father of his partner’s youngest child are crucial matters which were not put to the Appellant.  It is arguable that the judge does not give adequate reasons for dismissing the evidence contained in the birth certificate of the Appellant’</w:t>
      </w:r>
      <w:r w:rsidR="004160E6" w:rsidRPr="000118BB">
        <w:rPr>
          <w:rFonts w:ascii="Book Antiqua" w:hAnsi="Book Antiqua" w:cs="Arial"/>
        </w:rPr>
        <w:t>s partner’s youngest child.</w:t>
      </w:r>
    </w:p>
    <w:p w14:paraId="5817DDFB" w14:textId="0E4CE943" w:rsidR="009419B6" w:rsidRPr="000118BB" w:rsidRDefault="00A64C8A" w:rsidP="009419B6">
      <w:pPr>
        <w:spacing w:before="240"/>
        <w:ind w:left="1134"/>
        <w:jc w:val="both"/>
        <w:rPr>
          <w:rFonts w:ascii="Book Antiqua" w:hAnsi="Book Antiqua" w:cs="Arial"/>
        </w:rPr>
      </w:pPr>
      <w:r w:rsidRPr="000118BB">
        <w:rPr>
          <w:rFonts w:ascii="Book Antiqua" w:hAnsi="Book Antiqua" w:cs="Arial"/>
        </w:rPr>
        <w:t xml:space="preserve">If established, the Grounds of Appeal could undermine the judge’s finding that family life does not exist.  The Grounds of Appeal raise arguable errors of law.  Permission to appeal is granted.”    </w:t>
      </w:r>
    </w:p>
    <w:p w14:paraId="327280C7" w14:textId="77688F06" w:rsidR="00C520E2" w:rsidRPr="000118BB" w:rsidRDefault="00393CAA"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 xml:space="preserve">I was not provided with a Rule 24 reply from the Secretary of State </w:t>
      </w:r>
      <w:r w:rsidR="0052475A" w:rsidRPr="000118BB">
        <w:rPr>
          <w:rFonts w:ascii="Book Antiqua" w:hAnsi="Book Antiqua" w:cs="Arial"/>
        </w:rPr>
        <w:t xml:space="preserve">however was given the indication that the appeal was resisted.  </w:t>
      </w:r>
    </w:p>
    <w:p w14:paraId="0143BF16" w14:textId="7275CEAC" w:rsidR="0052475A" w:rsidRPr="000118BB" w:rsidRDefault="0052475A" w:rsidP="0052475A">
      <w:pPr>
        <w:spacing w:before="240"/>
        <w:jc w:val="both"/>
        <w:rPr>
          <w:rFonts w:ascii="Book Antiqua" w:hAnsi="Book Antiqua" w:cs="Arial"/>
          <w:b/>
          <w:u w:val="single"/>
        </w:rPr>
      </w:pPr>
      <w:r w:rsidRPr="000118BB">
        <w:rPr>
          <w:rFonts w:ascii="Book Antiqua" w:hAnsi="Book Antiqua" w:cs="Arial"/>
          <w:b/>
          <w:u w:val="single"/>
        </w:rPr>
        <w:t xml:space="preserve">Error of Law  </w:t>
      </w:r>
    </w:p>
    <w:p w14:paraId="2C868E87" w14:textId="43C5B344" w:rsidR="0052475A" w:rsidRPr="000118BB" w:rsidRDefault="0052475A"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 xml:space="preserve">At the close of </w:t>
      </w:r>
      <w:proofErr w:type="gramStart"/>
      <w:r w:rsidRPr="000118BB">
        <w:rPr>
          <w:rFonts w:ascii="Book Antiqua" w:hAnsi="Book Antiqua" w:cs="Arial"/>
        </w:rPr>
        <w:t>submissions</w:t>
      </w:r>
      <w:proofErr w:type="gramEnd"/>
      <w:r w:rsidRPr="000118BB">
        <w:rPr>
          <w:rFonts w:ascii="Book Antiqua" w:hAnsi="Book Antiqua" w:cs="Arial"/>
        </w:rPr>
        <w:t xml:space="preserve"> I indicated that I did consider there was an error of law in the decision of the First-tier Tribunal but that my reasons would follow.  My reasons for so finding are as follows</w:t>
      </w:r>
      <w:r w:rsidR="00CF20EE" w:rsidRPr="000118BB">
        <w:rPr>
          <w:rFonts w:ascii="Book Antiqua" w:hAnsi="Book Antiqua" w:cs="Arial"/>
        </w:rPr>
        <w:t xml:space="preserve">.  </w:t>
      </w:r>
    </w:p>
    <w:p w14:paraId="1CA66D09" w14:textId="136DFC89" w:rsidR="009A4CD1" w:rsidRPr="000118BB" w:rsidRDefault="00CF20EE"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 xml:space="preserve">In respect of the first </w:t>
      </w:r>
      <w:r w:rsidR="0031427A" w:rsidRPr="000118BB">
        <w:rPr>
          <w:rFonts w:ascii="Book Antiqua" w:hAnsi="Book Antiqua" w:cs="Arial"/>
        </w:rPr>
        <w:t xml:space="preserve">ground </w:t>
      </w:r>
      <w:r w:rsidRPr="000118BB">
        <w:rPr>
          <w:rFonts w:ascii="Book Antiqua" w:hAnsi="Book Antiqua" w:cs="Arial"/>
        </w:rPr>
        <w:t xml:space="preserve">(which I note </w:t>
      </w:r>
      <w:r w:rsidR="00875627">
        <w:rPr>
          <w:rFonts w:ascii="Book Antiqua" w:hAnsi="Book Antiqua" w:cs="Arial"/>
        </w:rPr>
        <w:t>was</w:t>
      </w:r>
      <w:r w:rsidRPr="000118BB">
        <w:rPr>
          <w:rFonts w:ascii="Book Antiqua" w:hAnsi="Book Antiqua" w:cs="Arial"/>
        </w:rPr>
        <w:t xml:space="preserve"> drafted by Counsel previously instructed in this matter, but whom was not instructed to attend this hearing due to the Appellant’s financial difficulties)</w:t>
      </w:r>
      <w:r w:rsidR="00875627">
        <w:rPr>
          <w:rFonts w:ascii="Book Antiqua" w:hAnsi="Book Antiqua" w:cs="Arial"/>
        </w:rPr>
        <w:t>,</w:t>
      </w:r>
      <w:r w:rsidR="00322C1A" w:rsidRPr="000118BB">
        <w:rPr>
          <w:rFonts w:ascii="Book Antiqua" w:hAnsi="Book Antiqua" w:cs="Arial"/>
        </w:rPr>
        <w:t xml:space="preserve"> the </w:t>
      </w:r>
      <w:r w:rsidR="009A4CD1" w:rsidRPr="000118BB">
        <w:rPr>
          <w:rFonts w:ascii="Book Antiqua" w:hAnsi="Book Antiqua" w:cs="Arial"/>
        </w:rPr>
        <w:t xml:space="preserve">Appellant alleges </w:t>
      </w:r>
      <w:r w:rsidR="004841CA" w:rsidRPr="000118BB">
        <w:rPr>
          <w:rFonts w:ascii="Book Antiqua" w:hAnsi="Book Antiqua" w:cs="Arial"/>
        </w:rPr>
        <w:t xml:space="preserve">that the Tribunal gave inadequate consideration to the allocation of his inability to meet the suitability criteria of Appendix FM in relation to his failure to mark on his current SET(O) application form that he had received a previous criminal conviction and a sentence of nine </w:t>
      </w:r>
      <w:r w:rsidR="00FD699C" w:rsidRPr="000118BB">
        <w:rPr>
          <w:rFonts w:ascii="Book Antiqua" w:hAnsi="Book Antiqua" w:cs="Arial"/>
        </w:rPr>
        <w:t>months.</w:t>
      </w:r>
    </w:p>
    <w:p w14:paraId="5CD13507" w14:textId="77A9FFD2" w:rsidR="00797D66" w:rsidRPr="000118BB" w:rsidRDefault="004F777B"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The judge does consider the issue at paragraphs 30 to 31 and does discuss in part the Appellant’s case that his previous legal advisor was negligent</w:t>
      </w:r>
      <w:r w:rsidR="00A8618F" w:rsidRPr="000118BB">
        <w:rPr>
          <w:rFonts w:ascii="Book Antiqua" w:hAnsi="Book Antiqua" w:cs="Arial"/>
        </w:rPr>
        <w:t xml:space="preserve"> </w:t>
      </w:r>
      <w:r w:rsidRPr="000118BB">
        <w:rPr>
          <w:rFonts w:ascii="Book Antiqua" w:hAnsi="Book Antiqua" w:cs="Arial"/>
        </w:rPr>
        <w:t xml:space="preserve">in completing the application form on his behalf and did not complete the form in accordance with the instructions given by the Appellant.  </w:t>
      </w:r>
      <w:r w:rsidR="00875627">
        <w:rPr>
          <w:rFonts w:ascii="Book Antiqua" w:hAnsi="Book Antiqua" w:cs="Arial"/>
        </w:rPr>
        <w:t>However, w</w:t>
      </w:r>
      <w:r w:rsidRPr="000118BB">
        <w:rPr>
          <w:rFonts w:ascii="Book Antiqua" w:hAnsi="Book Antiqua" w:cs="Arial"/>
        </w:rPr>
        <w:t xml:space="preserve">hilst the judge notes that the previous </w:t>
      </w:r>
      <w:r w:rsidR="00A43FBA" w:rsidRPr="000118BB">
        <w:rPr>
          <w:rFonts w:ascii="Book Antiqua" w:hAnsi="Book Antiqua" w:cs="Arial"/>
        </w:rPr>
        <w:t>representative</w:t>
      </w:r>
      <w:r w:rsidR="00FC7FCF" w:rsidRPr="000118BB">
        <w:rPr>
          <w:rFonts w:ascii="Book Antiqua" w:hAnsi="Book Antiqua" w:cs="Arial"/>
        </w:rPr>
        <w:t>s</w:t>
      </w:r>
      <w:r w:rsidR="00A43FBA" w:rsidRPr="000118BB">
        <w:rPr>
          <w:rFonts w:ascii="Book Antiqua" w:hAnsi="Book Antiqua" w:cs="Arial"/>
        </w:rPr>
        <w:t xml:space="preserve"> were no longer able to work in immigration given that the OI</w:t>
      </w:r>
      <w:r w:rsidR="00875627">
        <w:rPr>
          <w:rFonts w:ascii="Book Antiqua" w:hAnsi="Book Antiqua" w:cs="Arial"/>
        </w:rPr>
        <w:t>S</w:t>
      </w:r>
      <w:r w:rsidR="00A43FBA" w:rsidRPr="000118BB">
        <w:rPr>
          <w:rFonts w:ascii="Book Antiqua" w:hAnsi="Book Antiqua" w:cs="Arial"/>
        </w:rPr>
        <w:t>C</w:t>
      </w:r>
      <w:r w:rsidR="00C96C94" w:rsidRPr="000118BB">
        <w:rPr>
          <w:rFonts w:ascii="Book Antiqua" w:hAnsi="Book Antiqua" w:cs="Arial"/>
        </w:rPr>
        <w:t xml:space="preserve"> </w:t>
      </w:r>
      <w:r w:rsidR="00844916" w:rsidRPr="000118BB">
        <w:rPr>
          <w:rFonts w:ascii="Book Antiqua" w:hAnsi="Book Antiqua" w:cs="Arial"/>
        </w:rPr>
        <w:t>had cancelled the company’s registration with themselves since 6</w:t>
      </w:r>
      <w:r w:rsidR="00844916" w:rsidRPr="000118BB">
        <w:rPr>
          <w:rFonts w:ascii="Book Antiqua" w:hAnsi="Book Antiqua" w:cs="Arial"/>
          <w:vertAlign w:val="superscript"/>
        </w:rPr>
        <w:t>th</w:t>
      </w:r>
      <w:r w:rsidR="00844916" w:rsidRPr="000118BB">
        <w:rPr>
          <w:rFonts w:ascii="Book Antiqua" w:hAnsi="Book Antiqua" w:cs="Arial"/>
        </w:rPr>
        <w:t xml:space="preserve"> December 2017</w:t>
      </w:r>
      <w:r w:rsidR="00875627">
        <w:rPr>
          <w:rFonts w:ascii="Book Antiqua" w:hAnsi="Book Antiqua" w:cs="Arial"/>
        </w:rPr>
        <w:t>,</w:t>
      </w:r>
      <w:r w:rsidR="00844916" w:rsidRPr="000118BB">
        <w:rPr>
          <w:rFonts w:ascii="Book Antiqua" w:hAnsi="Book Antiqua" w:cs="Arial"/>
        </w:rPr>
        <w:t xml:space="preserve"> albeit the judge noted</w:t>
      </w:r>
      <w:r w:rsidR="002F03C6" w:rsidRPr="000118BB">
        <w:rPr>
          <w:rFonts w:ascii="Book Antiqua" w:hAnsi="Book Antiqua" w:cs="Arial"/>
        </w:rPr>
        <w:t xml:space="preserve"> </w:t>
      </w:r>
      <w:r w:rsidR="00A63DAB" w:rsidRPr="000118BB">
        <w:rPr>
          <w:rFonts w:ascii="Book Antiqua" w:hAnsi="Book Antiqua" w:cs="Arial"/>
        </w:rPr>
        <w:t>the Appellant’s case that he had merely signed the form and his advisor was left</w:t>
      </w:r>
      <w:r w:rsidR="00875627">
        <w:rPr>
          <w:rFonts w:ascii="Book Antiqua" w:hAnsi="Book Antiqua" w:cs="Arial"/>
        </w:rPr>
        <w:t xml:space="preserve"> to complete it on instruction, </w:t>
      </w:r>
      <w:r w:rsidR="00A63DAB" w:rsidRPr="000118BB">
        <w:rPr>
          <w:rFonts w:ascii="Book Antiqua" w:hAnsi="Book Antiqua" w:cs="Arial"/>
        </w:rPr>
        <w:t xml:space="preserve">the judge did not </w:t>
      </w:r>
      <w:r w:rsidR="00875627">
        <w:rPr>
          <w:rFonts w:ascii="Book Antiqua" w:hAnsi="Book Antiqua" w:cs="Arial"/>
        </w:rPr>
        <w:t xml:space="preserve">seemingly </w:t>
      </w:r>
      <w:r w:rsidR="00A63DAB" w:rsidRPr="000118BB">
        <w:rPr>
          <w:rFonts w:ascii="Book Antiqua" w:hAnsi="Book Antiqua" w:cs="Arial"/>
        </w:rPr>
        <w:t>consider a great deal of the evidence provided by the Appellant</w:t>
      </w:r>
      <w:r w:rsidR="00BD7344" w:rsidRPr="000118BB">
        <w:rPr>
          <w:rFonts w:ascii="Book Antiqua" w:hAnsi="Book Antiqua" w:cs="Arial"/>
        </w:rPr>
        <w:t>,</w:t>
      </w:r>
      <w:r w:rsidR="00F96D0B" w:rsidRPr="000118BB">
        <w:rPr>
          <w:rFonts w:ascii="Book Antiqua" w:hAnsi="Book Antiqua" w:cs="Arial"/>
        </w:rPr>
        <w:t xml:space="preserve"> which </w:t>
      </w:r>
      <w:r w:rsidR="008F7911" w:rsidRPr="000118BB">
        <w:rPr>
          <w:rFonts w:ascii="Book Antiqua" w:hAnsi="Book Antiqua" w:cs="Arial"/>
        </w:rPr>
        <w:t xml:space="preserve">was </w:t>
      </w:r>
      <w:r w:rsidR="00F96D0B" w:rsidRPr="000118BB">
        <w:rPr>
          <w:rFonts w:ascii="Book Antiqua" w:hAnsi="Book Antiqua" w:cs="Arial"/>
        </w:rPr>
        <w:t>contained in the Appellant’s First-tier Tribunal bundle at pages 128 to 156</w:t>
      </w:r>
      <w:r w:rsidR="00875627">
        <w:rPr>
          <w:rFonts w:ascii="Book Antiqua" w:hAnsi="Book Antiqua" w:cs="Arial"/>
        </w:rPr>
        <w:t xml:space="preserve"> when reaching his decision.  S</w:t>
      </w:r>
      <w:r w:rsidR="00F96D0B" w:rsidRPr="000118BB">
        <w:rPr>
          <w:rFonts w:ascii="Book Antiqua" w:hAnsi="Book Antiqua" w:cs="Arial"/>
        </w:rPr>
        <w:t>pecifically</w:t>
      </w:r>
      <w:r w:rsidR="00875627">
        <w:rPr>
          <w:rFonts w:ascii="Book Antiqua" w:hAnsi="Book Antiqua" w:cs="Arial"/>
        </w:rPr>
        <w:t>,</w:t>
      </w:r>
      <w:r w:rsidR="00F96D0B" w:rsidRPr="000118BB">
        <w:rPr>
          <w:rFonts w:ascii="Book Antiqua" w:hAnsi="Book Antiqua" w:cs="Arial"/>
        </w:rPr>
        <w:t xml:space="preserve"> the judge failed to consider or have regard to the article in the Law Gazette at page 182</w:t>
      </w:r>
      <w:r w:rsidR="00D61FE4" w:rsidRPr="000118BB">
        <w:rPr>
          <w:rFonts w:ascii="Book Antiqua" w:hAnsi="Book Antiqua" w:cs="Arial"/>
        </w:rPr>
        <w:t xml:space="preserve"> which discussed the competency of the firm in question and also crucially failed to consider page 142 of the bundle which contains </w:t>
      </w:r>
      <w:r w:rsidR="00EB6F52" w:rsidRPr="000118BB">
        <w:rPr>
          <w:rFonts w:ascii="Book Antiqua" w:hAnsi="Book Antiqua" w:cs="Arial"/>
        </w:rPr>
        <w:t xml:space="preserve">notes </w:t>
      </w:r>
      <w:r w:rsidR="00875627">
        <w:rPr>
          <w:rFonts w:ascii="Book Antiqua" w:hAnsi="Book Antiqua" w:cs="Arial"/>
        </w:rPr>
        <w:t>(</w:t>
      </w:r>
      <w:r w:rsidR="00FF5448">
        <w:rPr>
          <w:rFonts w:ascii="Book Antiqua" w:hAnsi="Book Antiqua" w:cs="Arial"/>
        </w:rPr>
        <w:t>purportedly</w:t>
      </w:r>
      <w:r w:rsidR="00875627">
        <w:rPr>
          <w:rFonts w:ascii="Book Antiqua" w:hAnsi="Book Antiqua" w:cs="Arial"/>
        </w:rPr>
        <w:t xml:space="preserve">) </w:t>
      </w:r>
      <w:r w:rsidR="00EB6F52" w:rsidRPr="000118BB">
        <w:rPr>
          <w:rFonts w:ascii="Book Antiqua" w:hAnsi="Book Antiqua" w:cs="Arial"/>
        </w:rPr>
        <w:t xml:space="preserve">written in the handwriting of an employee </w:t>
      </w:r>
      <w:r w:rsidR="00B72038" w:rsidRPr="000118BB">
        <w:rPr>
          <w:rFonts w:ascii="Book Antiqua" w:hAnsi="Book Antiqua" w:cs="Arial"/>
        </w:rPr>
        <w:t xml:space="preserve">of </w:t>
      </w:r>
      <w:r w:rsidR="00EB6F52" w:rsidRPr="000118BB">
        <w:rPr>
          <w:rFonts w:ascii="Book Antiqua" w:hAnsi="Book Antiqua" w:cs="Arial"/>
        </w:rPr>
        <w:t xml:space="preserve">the firm which confirms that the firm’s </w:t>
      </w:r>
      <w:r w:rsidR="00875627">
        <w:rPr>
          <w:rFonts w:ascii="Book Antiqua" w:hAnsi="Book Antiqua" w:cs="Arial"/>
        </w:rPr>
        <w:t>‘</w:t>
      </w:r>
      <w:r w:rsidR="00EB6F52" w:rsidRPr="000118BB">
        <w:rPr>
          <w:rFonts w:ascii="Book Antiqua" w:hAnsi="Book Antiqua" w:cs="Arial"/>
        </w:rPr>
        <w:t>file note</w:t>
      </w:r>
      <w:r w:rsidR="00875627">
        <w:rPr>
          <w:rFonts w:ascii="Book Antiqua" w:hAnsi="Book Antiqua" w:cs="Arial"/>
        </w:rPr>
        <w:t>’</w:t>
      </w:r>
      <w:r w:rsidR="00EB6F52" w:rsidRPr="000118BB">
        <w:rPr>
          <w:rFonts w:ascii="Book Antiqua" w:hAnsi="Book Antiqua" w:cs="Arial"/>
        </w:rPr>
        <w:t xml:space="preserve"> did </w:t>
      </w:r>
      <w:r w:rsidR="00875627">
        <w:rPr>
          <w:rFonts w:ascii="Book Antiqua" w:hAnsi="Book Antiqua" w:cs="Arial"/>
        </w:rPr>
        <w:t xml:space="preserve">in fact </w:t>
      </w:r>
      <w:r w:rsidR="00EB6F52" w:rsidRPr="000118BB">
        <w:rPr>
          <w:rFonts w:ascii="Book Antiqua" w:hAnsi="Book Antiqua" w:cs="Arial"/>
        </w:rPr>
        <w:t xml:space="preserve">show that the Appellant </w:t>
      </w:r>
      <w:r w:rsidR="00875627">
        <w:rPr>
          <w:rFonts w:ascii="Book Antiqua" w:hAnsi="Book Antiqua" w:cs="Arial"/>
        </w:rPr>
        <w:t xml:space="preserve">had </w:t>
      </w:r>
      <w:r w:rsidR="00EB6F52" w:rsidRPr="000118BB">
        <w:rPr>
          <w:rFonts w:ascii="Book Antiqua" w:hAnsi="Book Antiqua" w:cs="Arial"/>
        </w:rPr>
        <w:t xml:space="preserve">provided instructions in relation to his previous conviction and the fact that there was no recommendation for deportation, </w:t>
      </w:r>
      <w:r w:rsidR="00EB6F52" w:rsidRPr="000118BB">
        <w:rPr>
          <w:rFonts w:ascii="Book Antiqua" w:hAnsi="Book Antiqua" w:cs="Arial"/>
        </w:rPr>
        <w:lastRenderedPageBreak/>
        <w:t>etc.</w:t>
      </w:r>
      <w:r w:rsidR="00875627">
        <w:rPr>
          <w:rFonts w:ascii="Book Antiqua" w:hAnsi="Book Antiqua" w:cs="Arial"/>
        </w:rPr>
        <w:t xml:space="preserve"> and thus the solicitors were apprised of this conviction and were under an obligation to disclose it to the Secretary of State. </w:t>
      </w:r>
    </w:p>
    <w:p w14:paraId="3911CE2B" w14:textId="77777777" w:rsidR="00875627" w:rsidRDefault="00797D66"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Further</w:t>
      </w:r>
      <w:r w:rsidR="00716350" w:rsidRPr="000118BB">
        <w:rPr>
          <w:rFonts w:ascii="Book Antiqua" w:hAnsi="Book Antiqua" w:cs="Arial"/>
        </w:rPr>
        <w:t>more</w:t>
      </w:r>
      <w:r w:rsidR="00875627">
        <w:rPr>
          <w:rFonts w:ascii="Book Antiqua" w:hAnsi="Book Antiqua" w:cs="Arial"/>
        </w:rPr>
        <w:t>,</w:t>
      </w:r>
      <w:r w:rsidRPr="000118BB">
        <w:rPr>
          <w:rFonts w:ascii="Book Antiqua" w:hAnsi="Book Antiqua" w:cs="Arial"/>
        </w:rPr>
        <w:t xml:space="preserve"> the Appellant highlighted that his bundle before the First-tier Tribunal also contained a copy of the relevant pages of his previous FLR(O) application form of 4</w:t>
      </w:r>
      <w:r w:rsidRPr="000118BB">
        <w:rPr>
          <w:rFonts w:ascii="Book Antiqua" w:hAnsi="Book Antiqua" w:cs="Arial"/>
          <w:vertAlign w:val="superscript"/>
        </w:rPr>
        <w:t>th</w:t>
      </w:r>
      <w:r w:rsidRPr="000118BB">
        <w:rPr>
          <w:rFonts w:ascii="Book Antiqua" w:hAnsi="Book Antiqua" w:cs="Arial"/>
        </w:rPr>
        <w:t> November 2013 (see pages 79 to 80 of the Appellant’</w:t>
      </w:r>
      <w:r w:rsidR="00505C66" w:rsidRPr="000118BB">
        <w:rPr>
          <w:rFonts w:ascii="Book Antiqua" w:hAnsi="Book Antiqua" w:cs="Arial"/>
        </w:rPr>
        <w:t xml:space="preserve">s bundle) which showed that when he made his previous application himself he had disclosed his </w:t>
      </w:r>
      <w:proofErr w:type="gramStart"/>
      <w:r w:rsidR="00505C66" w:rsidRPr="000118BB">
        <w:rPr>
          <w:rFonts w:ascii="Book Antiqua" w:hAnsi="Book Antiqua" w:cs="Arial"/>
        </w:rPr>
        <w:t>nine month</w:t>
      </w:r>
      <w:proofErr w:type="gramEnd"/>
      <w:r w:rsidR="00505C66" w:rsidRPr="000118BB">
        <w:rPr>
          <w:rFonts w:ascii="Book Antiqua" w:hAnsi="Book Antiqua" w:cs="Arial"/>
        </w:rPr>
        <w:t xml:space="preserve"> conviction in that form</w:t>
      </w:r>
      <w:r w:rsidR="00875627">
        <w:rPr>
          <w:rFonts w:ascii="Book Antiqua" w:hAnsi="Book Antiqua" w:cs="Arial"/>
        </w:rPr>
        <w:t>.</w:t>
      </w:r>
      <w:r w:rsidR="00505C66" w:rsidRPr="000118BB">
        <w:rPr>
          <w:rFonts w:ascii="Book Antiqua" w:hAnsi="Book Antiqua" w:cs="Arial"/>
        </w:rPr>
        <w:t xml:space="preserve"> </w:t>
      </w:r>
      <w:r w:rsidR="00875627">
        <w:rPr>
          <w:rFonts w:ascii="Book Antiqua" w:hAnsi="Book Antiqua" w:cs="Arial"/>
        </w:rPr>
        <w:t xml:space="preserve"> This also was omitted from consideration by the First-tier Tribunal. </w:t>
      </w:r>
    </w:p>
    <w:p w14:paraId="422BD834" w14:textId="466D4A42" w:rsidR="00F752FC" w:rsidRPr="000118BB" w:rsidRDefault="00875627" w:rsidP="009D348A">
      <w:pPr>
        <w:numPr>
          <w:ilvl w:val="0"/>
          <w:numId w:val="1"/>
        </w:numPr>
        <w:tabs>
          <w:tab w:val="clear" w:pos="567"/>
        </w:tabs>
        <w:spacing w:before="240"/>
        <w:jc w:val="both"/>
        <w:rPr>
          <w:rFonts w:ascii="Book Antiqua" w:hAnsi="Book Antiqua" w:cs="Arial"/>
        </w:rPr>
      </w:pPr>
      <w:r>
        <w:rPr>
          <w:rFonts w:ascii="Book Antiqua" w:hAnsi="Book Antiqua" w:cs="Arial"/>
        </w:rPr>
        <w:t>T</w:t>
      </w:r>
      <w:r w:rsidR="00505C66" w:rsidRPr="000118BB">
        <w:rPr>
          <w:rFonts w:ascii="Book Antiqua" w:hAnsi="Book Antiqua" w:cs="Arial"/>
        </w:rPr>
        <w:t>herefore in my view</w:t>
      </w:r>
      <w:r>
        <w:rPr>
          <w:rFonts w:ascii="Book Antiqua" w:hAnsi="Book Antiqua" w:cs="Arial"/>
        </w:rPr>
        <w:t>,</w:t>
      </w:r>
      <w:r w:rsidR="00505C66" w:rsidRPr="000118BB">
        <w:rPr>
          <w:rFonts w:ascii="Book Antiqua" w:hAnsi="Book Antiqua" w:cs="Arial"/>
        </w:rPr>
        <w:t xml:space="preserve"> the judge cannot have reached a full and informed decision as to whether it is likely on the balance of probabilities that the Appellant is of unsuitable character</w:t>
      </w:r>
      <w:r w:rsidR="00A53FFE" w:rsidRPr="000118BB">
        <w:rPr>
          <w:rFonts w:ascii="Book Antiqua" w:hAnsi="Book Antiqua" w:cs="Arial"/>
        </w:rPr>
        <w:t>,</w:t>
      </w:r>
      <w:r w:rsidR="00505C66" w:rsidRPr="000118BB">
        <w:rPr>
          <w:rFonts w:ascii="Book Antiqua" w:hAnsi="Book Antiqua" w:cs="Arial"/>
        </w:rPr>
        <w:t xml:space="preserve"> unless the judge gave consideration to all of the evidence which told as to whether he had previously </w:t>
      </w:r>
      <w:r w:rsidR="00512D20" w:rsidRPr="000118BB">
        <w:rPr>
          <w:rFonts w:ascii="Book Antiqua" w:hAnsi="Book Antiqua" w:cs="Arial"/>
        </w:rPr>
        <w:t>disclosed a conviction or not</w:t>
      </w:r>
      <w:r w:rsidR="00DC1D82" w:rsidRPr="000118BB">
        <w:rPr>
          <w:rFonts w:ascii="Book Antiqua" w:hAnsi="Book Antiqua" w:cs="Arial"/>
        </w:rPr>
        <w:t xml:space="preserve"> and as to whether he had provided instructions on the matter or not as to the competency of the firm and as to whether or not the Appellant stood to gain anything by failing to disclose that matter on this further application</w:t>
      </w:r>
      <w:r w:rsidR="000B1927" w:rsidRPr="000118BB">
        <w:rPr>
          <w:rFonts w:ascii="Book Antiqua" w:hAnsi="Book Antiqua" w:cs="Arial"/>
        </w:rPr>
        <w:t>.</w:t>
      </w:r>
    </w:p>
    <w:p w14:paraId="6B5B37F4" w14:textId="69C6AF8C" w:rsidR="004F777B" w:rsidRPr="000118BB" w:rsidRDefault="002E2BCB"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Consequently</w:t>
      </w:r>
      <w:r w:rsidR="00875627">
        <w:rPr>
          <w:rFonts w:ascii="Book Antiqua" w:hAnsi="Book Antiqua" w:cs="Arial"/>
        </w:rPr>
        <w:t>,</w:t>
      </w:r>
      <w:r w:rsidRPr="000118BB">
        <w:rPr>
          <w:rFonts w:ascii="Book Antiqua" w:hAnsi="Book Antiqua" w:cs="Arial"/>
        </w:rPr>
        <w:t xml:space="preserve"> I do find that the error alleged in Ground 1 has been made out.  </w:t>
      </w:r>
    </w:p>
    <w:p w14:paraId="2F62716A" w14:textId="2CEE3B0C" w:rsidR="00326F0A" w:rsidRPr="000118BB" w:rsidRDefault="00326F0A" w:rsidP="009D348A">
      <w:pPr>
        <w:numPr>
          <w:ilvl w:val="0"/>
          <w:numId w:val="1"/>
        </w:numPr>
        <w:tabs>
          <w:tab w:val="clear" w:pos="567"/>
        </w:tabs>
        <w:spacing w:before="240"/>
        <w:jc w:val="both"/>
        <w:rPr>
          <w:rFonts w:ascii="Book Antiqua" w:hAnsi="Book Antiqua" w:cs="Arial"/>
        </w:rPr>
      </w:pPr>
      <w:r w:rsidRPr="000118BB">
        <w:rPr>
          <w:rFonts w:ascii="Book Antiqua" w:hAnsi="Book Antiqua" w:cs="Arial"/>
        </w:rPr>
        <w:t>Turning to Ground 2</w:t>
      </w:r>
      <w:r w:rsidR="00875627">
        <w:rPr>
          <w:rFonts w:ascii="Book Antiqua" w:hAnsi="Book Antiqua" w:cs="Arial"/>
        </w:rPr>
        <w:t>,</w:t>
      </w:r>
      <w:r w:rsidRPr="000118BB">
        <w:rPr>
          <w:rFonts w:ascii="Book Antiqua" w:hAnsi="Book Antiqua" w:cs="Arial"/>
        </w:rPr>
        <w:t xml:space="preserve"> the </w:t>
      </w:r>
      <w:r w:rsidR="001111BF" w:rsidRPr="000118BB">
        <w:rPr>
          <w:rFonts w:ascii="Book Antiqua" w:hAnsi="Book Antiqua" w:cs="Arial"/>
        </w:rPr>
        <w:t xml:space="preserve">argument put in summary is that the judge made various findings on the </w:t>
      </w:r>
      <w:r w:rsidR="00FE07E1" w:rsidRPr="000118BB">
        <w:rPr>
          <w:rFonts w:ascii="Book Antiqua" w:hAnsi="Book Antiqua" w:cs="Arial"/>
        </w:rPr>
        <w:t>Appellant’s alleged partner’s previous relationship and whether his relationship with his partner was genuine or not which were born</w:t>
      </w:r>
      <w:r w:rsidR="009136A3" w:rsidRPr="000118BB">
        <w:rPr>
          <w:rFonts w:ascii="Book Antiqua" w:hAnsi="Book Antiqua" w:cs="Arial"/>
        </w:rPr>
        <w:t xml:space="preserve"> </w:t>
      </w:r>
      <w:r w:rsidR="00FE07E1" w:rsidRPr="000118BB">
        <w:rPr>
          <w:rFonts w:ascii="Book Antiqua" w:hAnsi="Book Antiqua" w:cs="Arial"/>
        </w:rPr>
        <w:t xml:space="preserve">of questions and unanswered questions that the judge had in his mind and which consequently should have been put to the </w:t>
      </w:r>
      <w:r w:rsidR="00307EE2" w:rsidRPr="000118BB">
        <w:rPr>
          <w:rFonts w:ascii="Book Antiqua" w:hAnsi="Book Antiqua" w:cs="Arial"/>
        </w:rPr>
        <w:t xml:space="preserve">Appellant </w:t>
      </w:r>
      <w:r w:rsidR="00FE07E1" w:rsidRPr="000118BB">
        <w:rPr>
          <w:rFonts w:ascii="Book Antiqua" w:hAnsi="Book Antiqua" w:cs="Arial"/>
        </w:rPr>
        <w:t xml:space="preserve">one way or another </w:t>
      </w:r>
      <w:r w:rsidR="00AF4A24" w:rsidRPr="000118BB">
        <w:rPr>
          <w:rFonts w:ascii="Book Antiqua" w:hAnsi="Book Antiqua" w:cs="Arial"/>
        </w:rPr>
        <w:t xml:space="preserve">in order that the Appellant or </w:t>
      </w:r>
      <w:r w:rsidR="001F6752">
        <w:rPr>
          <w:rFonts w:ascii="Book Antiqua" w:hAnsi="Book Antiqua" w:cs="Arial"/>
        </w:rPr>
        <w:t xml:space="preserve">indeed </w:t>
      </w:r>
      <w:r w:rsidR="00AF4A24" w:rsidRPr="000118BB">
        <w:rPr>
          <w:rFonts w:ascii="Book Antiqua" w:hAnsi="Book Antiqua" w:cs="Arial"/>
        </w:rPr>
        <w:t xml:space="preserve">his partner, had a fair opportunity to resolve any </w:t>
      </w:r>
      <w:r w:rsidR="00A66B2D" w:rsidRPr="000118BB">
        <w:rPr>
          <w:rFonts w:ascii="Book Antiqua" w:hAnsi="Book Antiqua" w:cs="Arial"/>
        </w:rPr>
        <w:t xml:space="preserve">doubts that may have lingered </w:t>
      </w:r>
      <w:r w:rsidR="00A07BC4" w:rsidRPr="000118BB">
        <w:rPr>
          <w:rFonts w:ascii="Book Antiqua" w:hAnsi="Book Antiqua" w:cs="Arial"/>
        </w:rPr>
        <w:t>in the judge’s mind as to whether or n</w:t>
      </w:r>
      <w:r w:rsidR="001F6752">
        <w:rPr>
          <w:rFonts w:ascii="Book Antiqua" w:hAnsi="Book Antiqua" w:cs="Arial"/>
        </w:rPr>
        <w:t>ot the relationship was genuine.  This</w:t>
      </w:r>
      <w:r w:rsidR="00A07BC4" w:rsidRPr="000118BB">
        <w:rPr>
          <w:rFonts w:ascii="Book Antiqua" w:hAnsi="Book Antiqua" w:cs="Arial"/>
        </w:rPr>
        <w:t xml:space="preserve"> </w:t>
      </w:r>
      <w:r w:rsidR="001F6752">
        <w:rPr>
          <w:rFonts w:ascii="Book Antiqua" w:hAnsi="Book Antiqua" w:cs="Arial"/>
        </w:rPr>
        <w:t xml:space="preserve">must follow </w:t>
      </w:r>
      <w:r w:rsidR="00A07BC4" w:rsidRPr="000118BB">
        <w:rPr>
          <w:rFonts w:ascii="Book Antiqua" w:hAnsi="Book Antiqua" w:cs="Arial"/>
        </w:rPr>
        <w:t>as I am told</w:t>
      </w:r>
      <w:r w:rsidR="001F6752">
        <w:rPr>
          <w:rFonts w:ascii="Book Antiqua" w:hAnsi="Book Antiqua" w:cs="Arial"/>
        </w:rPr>
        <w:t xml:space="preserve"> </w:t>
      </w:r>
      <w:r w:rsidR="00A07BC4" w:rsidRPr="000118BB">
        <w:rPr>
          <w:rFonts w:ascii="Book Antiqua" w:hAnsi="Book Antiqua" w:cs="Arial"/>
        </w:rPr>
        <w:t>that these matters were not relied upon by the Respondent in her closing submissions</w:t>
      </w:r>
      <w:r w:rsidR="00FA007C" w:rsidRPr="000118BB">
        <w:rPr>
          <w:rFonts w:ascii="Book Antiqua" w:hAnsi="Book Antiqua" w:cs="Arial"/>
        </w:rPr>
        <w:t xml:space="preserve"> </w:t>
      </w:r>
      <w:r w:rsidR="001F6752">
        <w:rPr>
          <w:rFonts w:ascii="Book Antiqua" w:hAnsi="Book Antiqua" w:cs="Arial"/>
        </w:rPr>
        <w:t>before the First-tier Tribunal</w:t>
      </w:r>
      <w:r w:rsidR="00542CA7" w:rsidRPr="000118BB">
        <w:rPr>
          <w:rFonts w:ascii="Book Antiqua" w:hAnsi="Book Antiqua" w:cs="Arial"/>
        </w:rPr>
        <w:t>.</w:t>
      </w:r>
    </w:p>
    <w:p w14:paraId="1E7F80AB" w14:textId="468E24DF" w:rsidR="00971D4A" w:rsidRPr="00875627" w:rsidRDefault="00971D4A" w:rsidP="00875627">
      <w:pPr>
        <w:numPr>
          <w:ilvl w:val="0"/>
          <w:numId w:val="1"/>
        </w:numPr>
        <w:tabs>
          <w:tab w:val="clear" w:pos="567"/>
        </w:tabs>
        <w:spacing w:before="240"/>
        <w:jc w:val="both"/>
        <w:rPr>
          <w:rFonts w:ascii="Book Antiqua" w:hAnsi="Book Antiqua" w:cs="Arial"/>
        </w:rPr>
      </w:pPr>
      <w:r w:rsidRPr="000118BB">
        <w:rPr>
          <w:rFonts w:ascii="Book Antiqua" w:hAnsi="Book Antiqua" w:cs="Arial"/>
        </w:rPr>
        <w:t xml:space="preserve">In that respect by way of example I was told that there </w:t>
      </w:r>
      <w:proofErr w:type="gramStart"/>
      <w:r w:rsidRPr="000118BB">
        <w:rPr>
          <w:rFonts w:ascii="Book Antiqua" w:hAnsi="Book Antiqua" w:cs="Arial"/>
        </w:rPr>
        <w:t>was</w:t>
      </w:r>
      <w:proofErr w:type="gramEnd"/>
      <w:r w:rsidRPr="000118BB">
        <w:rPr>
          <w:rFonts w:ascii="Book Antiqua" w:hAnsi="Book Antiqua" w:cs="Arial"/>
        </w:rPr>
        <w:t xml:space="preserve"> various pieces of evidence that the Appellant and his partner would have given had the opportunity been provided</w:t>
      </w:r>
      <w:r w:rsidR="001F6752">
        <w:rPr>
          <w:rFonts w:ascii="Book Antiqua" w:hAnsi="Book Antiqua" w:cs="Arial"/>
        </w:rPr>
        <w:t>.</w:t>
      </w:r>
      <w:r w:rsidRPr="000118BB">
        <w:rPr>
          <w:rFonts w:ascii="Book Antiqua" w:hAnsi="Book Antiqua" w:cs="Arial"/>
        </w:rPr>
        <w:t xml:space="preserve"> </w:t>
      </w:r>
      <w:r w:rsidR="001F6752">
        <w:rPr>
          <w:rFonts w:ascii="Book Antiqua" w:hAnsi="Book Antiqua" w:cs="Arial"/>
        </w:rPr>
        <w:t xml:space="preserve"> </w:t>
      </w:r>
      <w:r w:rsidRPr="000118BB">
        <w:rPr>
          <w:rFonts w:ascii="Book Antiqua" w:hAnsi="Book Antiqua" w:cs="Arial"/>
        </w:rPr>
        <w:t xml:space="preserve">I will not </w:t>
      </w:r>
      <w:r w:rsidR="001F6752">
        <w:rPr>
          <w:rFonts w:ascii="Book Antiqua" w:hAnsi="Book Antiqua" w:cs="Arial"/>
        </w:rPr>
        <w:t xml:space="preserve">rehearse all of these matters </w:t>
      </w:r>
      <w:r w:rsidRPr="000118BB">
        <w:rPr>
          <w:rFonts w:ascii="Book Antiqua" w:hAnsi="Book Antiqua" w:cs="Arial"/>
        </w:rPr>
        <w:t>herein but suffice to say that these matters</w:t>
      </w:r>
      <w:r w:rsidR="003A08EF" w:rsidRPr="000118BB">
        <w:rPr>
          <w:rFonts w:ascii="Book Antiqua" w:hAnsi="Book Antiqua" w:cs="Arial"/>
        </w:rPr>
        <w:t xml:space="preserve"> </w:t>
      </w:r>
      <w:r w:rsidR="001F6752">
        <w:rPr>
          <w:rFonts w:ascii="Book Antiqua" w:hAnsi="Book Antiqua" w:cs="Arial"/>
        </w:rPr>
        <w:t>(</w:t>
      </w:r>
      <w:r w:rsidR="003A08EF" w:rsidRPr="000118BB">
        <w:rPr>
          <w:rFonts w:ascii="Book Antiqua" w:hAnsi="Book Antiqua" w:cs="Arial"/>
        </w:rPr>
        <w:t xml:space="preserve">such as whether </w:t>
      </w:r>
      <w:r w:rsidR="00205C2A" w:rsidRPr="000118BB">
        <w:rPr>
          <w:rFonts w:ascii="Book Antiqua" w:hAnsi="Book Antiqua" w:cs="Arial"/>
        </w:rPr>
        <w:t>the</w:t>
      </w:r>
      <w:r w:rsidR="003A08EF" w:rsidRPr="000118BB">
        <w:rPr>
          <w:rFonts w:ascii="Book Antiqua" w:hAnsi="Book Antiqua" w:cs="Arial"/>
        </w:rPr>
        <w:t xml:space="preserve"> </w:t>
      </w:r>
      <w:r w:rsidR="00205C2A" w:rsidRPr="000118BB">
        <w:rPr>
          <w:rFonts w:ascii="Book Antiqua" w:hAnsi="Book Antiqua" w:cs="Arial"/>
        </w:rPr>
        <w:t>partner would have been able to stay with the Appellant following her flight from the domestic violence she was enduring and/or whether she would have been placed in a refuge by the police</w:t>
      </w:r>
      <w:r w:rsidR="001F6752">
        <w:rPr>
          <w:rFonts w:ascii="Book Antiqua" w:hAnsi="Book Antiqua" w:cs="Arial"/>
        </w:rPr>
        <w:t>)</w:t>
      </w:r>
      <w:r w:rsidR="00245B8A" w:rsidRPr="000118BB">
        <w:rPr>
          <w:rFonts w:ascii="Book Antiqua" w:hAnsi="Book Antiqua" w:cs="Arial"/>
        </w:rPr>
        <w:t xml:space="preserve"> may have had a material difference upon the judge’s assessment of the relationship and </w:t>
      </w:r>
      <w:r w:rsidR="00F752FC" w:rsidRPr="000118BB">
        <w:rPr>
          <w:rFonts w:ascii="Book Antiqua" w:hAnsi="Book Antiqua" w:cs="Arial"/>
        </w:rPr>
        <w:t>whether it was genuine or not.</w:t>
      </w:r>
      <w:r w:rsidR="00875627">
        <w:rPr>
          <w:rFonts w:ascii="Book Antiqua" w:hAnsi="Book Antiqua" w:cs="Arial"/>
        </w:rPr>
        <w:t xml:space="preserve"> </w:t>
      </w:r>
      <w:r w:rsidR="001F6752">
        <w:rPr>
          <w:rFonts w:ascii="Book Antiqua" w:hAnsi="Book Antiqua" w:cs="Arial"/>
        </w:rPr>
        <w:t xml:space="preserve"> </w:t>
      </w:r>
      <w:r w:rsidR="00FF5448">
        <w:rPr>
          <w:rFonts w:ascii="Book Antiqua" w:hAnsi="Book Antiqua" w:cstheme="minorHAnsi"/>
          <w:noProof/>
        </w:rPr>
        <w:t>Thus</w:t>
      </w:r>
      <w:r w:rsidR="00875627" w:rsidRPr="00875627">
        <w:rPr>
          <w:rFonts w:ascii="Book Antiqua" w:hAnsi="Book Antiqua" w:cstheme="minorHAnsi"/>
        </w:rPr>
        <w:t>,</w:t>
      </w:r>
      <w:r w:rsidR="00F97CDC" w:rsidRPr="00875627">
        <w:rPr>
          <w:rFonts w:ascii="Book Antiqua" w:hAnsi="Book Antiqua" w:cstheme="minorHAnsi"/>
        </w:rPr>
        <w:t xml:space="preserve"> I find that there is an error revealed in Ground 2 also.  </w:t>
      </w:r>
    </w:p>
    <w:p w14:paraId="59409490" w14:textId="4D7F4E8F" w:rsidR="00710982" w:rsidRPr="000118BB" w:rsidRDefault="00710982" w:rsidP="009D348A">
      <w:pPr>
        <w:numPr>
          <w:ilvl w:val="0"/>
          <w:numId w:val="1"/>
        </w:numPr>
        <w:tabs>
          <w:tab w:val="clear" w:pos="567"/>
        </w:tabs>
        <w:spacing w:before="240"/>
        <w:jc w:val="both"/>
        <w:rPr>
          <w:rFonts w:ascii="Book Antiqua" w:hAnsi="Book Antiqua" w:cs="Arial"/>
        </w:rPr>
      </w:pPr>
      <w:r w:rsidRPr="000118BB">
        <w:rPr>
          <w:rFonts w:ascii="Book Antiqua" w:hAnsi="Book Antiqua" w:cstheme="minorHAnsi"/>
        </w:rPr>
        <w:t xml:space="preserve">Turning then to Ground 3 and the paternity of the Appellant and his partner’s child, I was told that if the issue of the lack of DNA evidence had been put to them they both would have explained that they were </w:t>
      </w:r>
      <w:r w:rsidR="001F6752">
        <w:rPr>
          <w:rFonts w:ascii="Book Antiqua" w:hAnsi="Book Antiqua" w:cstheme="minorHAnsi"/>
        </w:rPr>
        <w:t xml:space="preserve">(wrongly) </w:t>
      </w:r>
      <w:r w:rsidRPr="000118BB">
        <w:rPr>
          <w:rFonts w:ascii="Book Antiqua" w:hAnsi="Book Antiqua" w:cstheme="minorHAnsi"/>
        </w:rPr>
        <w:t xml:space="preserve">advised by their </w:t>
      </w:r>
      <w:r w:rsidR="001F6752">
        <w:rPr>
          <w:rFonts w:ascii="Book Antiqua" w:hAnsi="Book Antiqua" w:cstheme="minorHAnsi"/>
        </w:rPr>
        <w:t xml:space="preserve">previous </w:t>
      </w:r>
      <w:r w:rsidRPr="000118BB">
        <w:rPr>
          <w:rFonts w:ascii="Book Antiqua" w:hAnsi="Book Antiqua" w:cstheme="minorHAnsi"/>
        </w:rPr>
        <w:t xml:space="preserve">legal representative that the burden of proving the child was not theirs fell upon the Home Office </w:t>
      </w:r>
      <w:r w:rsidR="001F6752">
        <w:rPr>
          <w:rFonts w:ascii="Book Antiqua" w:hAnsi="Book Antiqua" w:cstheme="minorHAnsi"/>
        </w:rPr>
        <w:t xml:space="preserve">and not themselves at all. </w:t>
      </w:r>
      <w:r w:rsidR="00CF6EAD">
        <w:rPr>
          <w:rFonts w:ascii="Book Antiqua" w:hAnsi="Book Antiqua" w:cstheme="minorHAnsi"/>
        </w:rPr>
        <w:t xml:space="preserve"> </w:t>
      </w:r>
      <w:r w:rsidRPr="000118BB">
        <w:rPr>
          <w:rFonts w:ascii="Book Antiqua" w:hAnsi="Book Antiqua" w:cstheme="minorHAnsi"/>
        </w:rPr>
        <w:t xml:space="preserve">I was told by the couple that they </w:t>
      </w:r>
      <w:r w:rsidR="009F7BEA" w:rsidRPr="000118BB">
        <w:rPr>
          <w:rFonts w:ascii="Book Antiqua" w:hAnsi="Book Antiqua" w:cstheme="minorHAnsi"/>
        </w:rPr>
        <w:t>would put forward DNA evidence in the future to establish that the child was indeed theirs</w:t>
      </w:r>
      <w:r w:rsidR="00CF6EAD">
        <w:rPr>
          <w:rFonts w:ascii="Book Antiqua" w:hAnsi="Book Antiqua" w:cstheme="minorHAnsi"/>
        </w:rPr>
        <w:t xml:space="preserve"> a</w:t>
      </w:r>
      <w:r w:rsidR="00CF6EAD" w:rsidRPr="000118BB">
        <w:rPr>
          <w:rFonts w:ascii="Book Antiqua" w:hAnsi="Book Antiqua" w:cstheme="minorHAnsi"/>
        </w:rPr>
        <w:t>s they were (ill)-advised</w:t>
      </w:r>
      <w:r w:rsidR="00CF6EAD">
        <w:rPr>
          <w:rFonts w:ascii="Book Antiqua" w:hAnsi="Book Antiqua" w:cstheme="minorHAnsi"/>
        </w:rPr>
        <w:t xml:space="preserve"> by their former representative.</w:t>
      </w:r>
      <w:r w:rsidR="00CF6EAD" w:rsidRPr="000118BB">
        <w:rPr>
          <w:rFonts w:ascii="Book Antiqua" w:hAnsi="Book Antiqua" w:cstheme="minorHAnsi"/>
        </w:rPr>
        <w:t xml:space="preserve"> </w:t>
      </w:r>
      <w:r w:rsidR="00CF6EAD">
        <w:rPr>
          <w:rFonts w:ascii="Book Antiqua" w:hAnsi="Book Antiqua" w:cstheme="minorHAnsi"/>
        </w:rPr>
        <w:t xml:space="preserve"> I note this statement, but do not take it </w:t>
      </w:r>
      <w:r w:rsidR="00CF6EAD">
        <w:rPr>
          <w:rFonts w:ascii="Book Antiqua" w:hAnsi="Book Antiqua" w:cstheme="minorHAnsi"/>
        </w:rPr>
        <w:lastRenderedPageBreak/>
        <w:t>into account as it is not a matter before me and thus cannot have, and has not had, any bearing upon my decision</w:t>
      </w:r>
      <w:r w:rsidR="009F7BEA" w:rsidRPr="000118BB">
        <w:rPr>
          <w:rFonts w:ascii="Book Antiqua" w:hAnsi="Book Antiqua" w:cstheme="minorHAnsi"/>
        </w:rPr>
        <w:t>.</w:t>
      </w:r>
    </w:p>
    <w:p w14:paraId="650CB3B5" w14:textId="74C73C68" w:rsidR="005E6432" w:rsidRPr="000118BB" w:rsidRDefault="005E6432" w:rsidP="009D348A">
      <w:pPr>
        <w:numPr>
          <w:ilvl w:val="0"/>
          <w:numId w:val="1"/>
        </w:numPr>
        <w:tabs>
          <w:tab w:val="clear" w:pos="567"/>
        </w:tabs>
        <w:spacing w:before="240"/>
        <w:jc w:val="both"/>
        <w:rPr>
          <w:rFonts w:ascii="Book Antiqua" w:hAnsi="Book Antiqua" w:cs="Arial"/>
        </w:rPr>
      </w:pPr>
      <w:r w:rsidRPr="000118BB">
        <w:rPr>
          <w:rFonts w:ascii="Book Antiqua" w:hAnsi="Book Antiqua" w:cstheme="minorHAnsi"/>
        </w:rPr>
        <w:t>Thus</w:t>
      </w:r>
      <w:r w:rsidR="00CF6EAD">
        <w:rPr>
          <w:rFonts w:ascii="Book Antiqua" w:hAnsi="Book Antiqua" w:cstheme="minorHAnsi"/>
        </w:rPr>
        <w:t>,</w:t>
      </w:r>
      <w:r w:rsidRPr="000118BB">
        <w:rPr>
          <w:rFonts w:ascii="Book Antiqua" w:hAnsi="Book Antiqua" w:cstheme="minorHAnsi"/>
        </w:rPr>
        <w:t xml:space="preserve"> </w:t>
      </w:r>
      <w:r w:rsidR="00CF6EAD">
        <w:rPr>
          <w:rFonts w:ascii="Book Antiqua" w:hAnsi="Book Antiqua" w:cstheme="minorHAnsi"/>
        </w:rPr>
        <w:t xml:space="preserve">in summary, </w:t>
      </w:r>
      <w:r w:rsidRPr="000118BB">
        <w:rPr>
          <w:rFonts w:ascii="Book Antiqua" w:hAnsi="Book Antiqua" w:cstheme="minorHAnsi"/>
        </w:rPr>
        <w:t>I do find tha</w:t>
      </w:r>
      <w:r w:rsidR="00CF6EAD">
        <w:rPr>
          <w:rFonts w:ascii="Book Antiqua" w:hAnsi="Book Antiqua" w:cstheme="minorHAnsi"/>
        </w:rPr>
        <w:t xml:space="preserve">t the judge’s observations are </w:t>
      </w:r>
      <w:r w:rsidRPr="000118BB">
        <w:rPr>
          <w:rFonts w:ascii="Book Antiqua" w:hAnsi="Book Antiqua" w:cstheme="minorHAnsi"/>
        </w:rPr>
        <w:t>point</w:t>
      </w:r>
      <w:r w:rsidR="00CF6EAD">
        <w:rPr>
          <w:rFonts w:ascii="Book Antiqua" w:hAnsi="Book Antiqua" w:cstheme="minorHAnsi"/>
        </w:rPr>
        <w:t>s</w:t>
      </w:r>
      <w:r w:rsidRPr="000118BB">
        <w:rPr>
          <w:rFonts w:ascii="Book Antiqua" w:hAnsi="Book Antiqua" w:cstheme="minorHAnsi"/>
        </w:rPr>
        <w:t xml:space="preserve"> which should have been put to the Appellant so as to provide a fair opportunity for him to explain </w:t>
      </w:r>
      <w:r w:rsidR="00FE76A3" w:rsidRPr="000118BB">
        <w:rPr>
          <w:rFonts w:ascii="Book Antiqua" w:hAnsi="Book Antiqua" w:cstheme="minorHAnsi"/>
        </w:rPr>
        <w:t xml:space="preserve">or resolve the doubts that may have lingered over the paternity of his </w:t>
      </w:r>
      <w:r w:rsidR="00CF6EAD">
        <w:rPr>
          <w:rFonts w:ascii="Book Antiqua" w:hAnsi="Book Antiqua" w:cstheme="minorHAnsi"/>
        </w:rPr>
        <w:t>(</w:t>
      </w:r>
      <w:r w:rsidR="00FE76A3" w:rsidRPr="000118BB">
        <w:rPr>
          <w:rFonts w:ascii="Book Antiqua" w:hAnsi="Book Antiqua" w:cstheme="minorHAnsi"/>
        </w:rPr>
        <w:t>alleged</w:t>
      </w:r>
      <w:r w:rsidR="00CF6EAD">
        <w:rPr>
          <w:rFonts w:ascii="Book Antiqua" w:hAnsi="Book Antiqua" w:cstheme="minorHAnsi"/>
        </w:rPr>
        <w:t>)</w:t>
      </w:r>
      <w:r w:rsidR="00FE76A3" w:rsidRPr="000118BB">
        <w:rPr>
          <w:rFonts w:ascii="Book Antiqua" w:hAnsi="Book Antiqua" w:cstheme="minorHAnsi"/>
        </w:rPr>
        <w:t xml:space="preserve"> child.</w:t>
      </w:r>
    </w:p>
    <w:p w14:paraId="17670285" w14:textId="187F3886" w:rsidR="006558D8" w:rsidRPr="000118BB" w:rsidRDefault="006558D8" w:rsidP="009D348A">
      <w:pPr>
        <w:numPr>
          <w:ilvl w:val="0"/>
          <w:numId w:val="1"/>
        </w:numPr>
        <w:tabs>
          <w:tab w:val="clear" w:pos="567"/>
        </w:tabs>
        <w:spacing w:before="240"/>
        <w:jc w:val="both"/>
        <w:rPr>
          <w:rFonts w:ascii="Book Antiqua" w:hAnsi="Book Antiqua" w:cs="Arial"/>
        </w:rPr>
      </w:pPr>
      <w:r w:rsidRPr="000118BB">
        <w:rPr>
          <w:rFonts w:ascii="Book Antiqua" w:hAnsi="Book Antiqua" w:cstheme="minorHAnsi"/>
        </w:rPr>
        <w:t>Finally</w:t>
      </w:r>
      <w:r w:rsidR="00CF6EAD">
        <w:rPr>
          <w:rFonts w:ascii="Book Antiqua" w:hAnsi="Book Antiqua" w:cstheme="minorHAnsi"/>
        </w:rPr>
        <w:t>,</w:t>
      </w:r>
      <w:r w:rsidRPr="000118BB">
        <w:rPr>
          <w:rFonts w:ascii="Book Antiqua" w:hAnsi="Book Antiqua" w:cstheme="minorHAnsi"/>
        </w:rPr>
        <w:t xml:space="preserve"> turning to Ground 4 </w:t>
      </w:r>
      <w:r w:rsidR="00A6743F" w:rsidRPr="000118BB">
        <w:rPr>
          <w:rFonts w:ascii="Book Antiqua" w:hAnsi="Book Antiqua" w:cstheme="minorHAnsi"/>
        </w:rPr>
        <w:t xml:space="preserve">and the complaint that the judge erred in finding that the Appellant and his partner were able to dupe the registrar of births, the health visitor and the schools which their children and stepchildren attended, in order to fabricate </w:t>
      </w:r>
      <w:r w:rsidR="0009542F" w:rsidRPr="000118BB">
        <w:rPr>
          <w:rFonts w:ascii="Book Antiqua" w:hAnsi="Book Antiqua" w:cstheme="minorHAnsi"/>
        </w:rPr>
        <w:t xml:space="preserve">the appearance of a paternal relationship which allegedly may not </w:t>
      </w:r>
      <w:r w:rsidR="00CF6EAD">
        <w:rPr>
          <w:rFonts w:ascii="Book Antiqua" w:hAnsi="Book Antiqua" w:cstheme="minorHAnsi"/>
        </w:rPr>
        <w:t>exist;</w:t>
      </w:r>
      <w:r w:rsidR="00847E3A" w:rsidRPr="000118BB">
        <w:rPr>
          <w:rFonts w:ascii="Book Antiqua" w:hAnsi="Book Antiqua" w:cstheme="minorHAnsi"/>
        </w:rPr>
        <w:t xml:space="preserve"> I find looking at the health visitor’s letter at B8 of the second bundle and looking at the letters from the school teachers at pages 10 and 11 of the second bundle that this finding is perverse.  For example</w:t>
      </w:r>
      <w:r w:rsidR="00CF6EAD">
        <w:rPr>
          <w:rFonts w:ascii="Book Antiqua" w:hAnsi="Book Antiqua" w:cstheme="minorHAnsi"/>
        </w:rPr>
        <w:t>,</w:t>
      </w:r>
      <w:r w:rsidR="00847E3A" w:rsidRPr="000118BB">
        <w:rPr>
          <w:rFonts w:ascii="Book Antiqua" w:hAnsi="Book Antiqua" w:cstheme="minorHAnsi"/>
        </w:rPr>
        <w:t xml:space="preserve"> I note the head teacher’s letter reveals that she has talked to </w:t>
      </w:r>
      <w:r w:rsidR="009456EC" w:rsidRPr="000118BB">
        <w:rPr>
          <w:rFonts w:ascii="Book Antiqua" w:hAnsi="Book Antiqua" w:cstheme="minorHAnsi"/>
        </w:rPr>
        <w:t>staff who have personally observed the Appellant dropping off and collecting the children from school which does give legitimacy to the basis of the letter and does not suggest that</w:t>
      </w:r>
      <w:r w:rsidR="00DD0F95" w:rsidRPr="000118BB">
        <w:rPr>
          <w:rFonts w:ascii="Book Antiqua" w:hAnsi="Book Antiqua" w:cstheme="minorHAnsi"/>
        </w:rPr>
        <w:t xml:space="preserve"> the school was </w:t>
      </w:r>
      <w:r w:rsidR="00CF6EAD">
        <w:rPr>
          <w:rFonts w:ascii="Book Antiqua" w:hAnsi="Book Antiqua" w:cstheme="minorHAnsi"/>
        </w:rPr>
        <w:t>‘</w:t>
      </w:r>
      <w:r w:rsidR="00DD0F95" w:rsidRPr="000118BB">
        <w:rPr>
          <w:rFonts w:ascii="Book Antiqua" w:hAnsi="Book Antiqua" w:cstheme="minorHAnsi"/>
        </w:rPr>
        <w:t>duped</w:t>
      </w:r>
      <w:r w:rsidR="00CF6EAD">
        <w:rPr>
          <w:rFonts w:ascii="Book Antiqua" w:hAnsi="Book Antiqua" w:cstheme="minorHAnsi"/>
        </w:rPr>
        <w:t>’</w:t>
      </w:r>
      <w:r w:rsidR="00DD0F95" w:rsidRPr="000118BB">
        <w:rPr>
          <w:rFonts w:ascii="Book Antiqua" w:hAnsi="Book Antiqua" w:cstheme="minorHAnsi"/>
        </w:rPr>
        <w:t xml:space="preserve"> into wr</w:t>
      </w:r>
      <w:r w:rsidR="00CF6EAD">
        <w:rPr>
          <w:rFonts w:ascii="Book Antiqua" w:hAnsi="Book Antiqua" w:cstheme="minorHAnsi"/>
        </w:rPr>
        <w:t>iting a letter for which there wa</w:t>
      </w:r>
      <w:r w:rsidR="00DD0F95" w:rsidRPr="000118BB">
        <w:rPr>
          <w:rFonts w:ascii="Book Antiqua" w:hAnsi="Book Antiqua" w:cstheme="minorHAnsi"/>
        </w:rPr>
        <w:t>s no factual basis.</w:t>
      </w:r>
    </w:p>
    <w:p w14:paraId="4007D1B8" w14:textId="7F884622" w:rsidR="00805577" w:rsidRPr="000118BB" w:rsidRDefault="00DD0F95" w:rsidP="009D348A">
      <w:pPr>
        <w:numPr>
          <w:ilvl w:val="0"/>
          <w:numId w:val="1"/>
        </w:numPr>
        <w:tabs>
          <w:tab w:val="clear" w:pos="567"/>
        </w:tabs>
        <w:spacing w:before="240"/>
        <w:jc w:val="both"/>
        <w:rPr>
          <w:rFonts w:ascii="Book Antiqua" w:hAnsi="Book Antiqua" w:cs="Arial"/>
        </w:rPr>
      </w:pPr>
      <w:proofErr w:type="gramStart"/>
      <w:r w:rsidRPr="000118BB">
        <w:rPr>
          <w:rFonts w:ascii="Book Antiqua" w:hAnsi="Book Antiqua" w:cstheme="minorHAnsi"/>
        </w:rPr>
        <w:t>Similarly</w:t>
      </w:r>
      <w:proofErr w:type="gramEnd"/>
      <w:r w:rsidRPr="000118BB">
        <w:rPr>
          <w:rFonts w:ascii="Book Antiqua" w:hAnsi="Book Antiqua" w:cstheme="minorHAnsi"/>
        </w:rPr>
        <w:t xml:space="preserve"> the health visitor’s letter appears</w:t>
      </w:r>
      <w:r w:rsidR="00B00E91" w:rsidRPr="000118BB">
        <w:rPr>
          <w:rFonts w:ascii="Book Antiqua" w:hAnsi="Book Antiqua" w:cstheme="minorHAnsi"/>
        </w:rPr>
        <w:t xml:space="preserve"> to be born</w:t>
      </w:r>
      <w:r w:rsidRPr="000118BB">
        <w:rPr>
          <w:rFonts w:ascii="Book Antiqua" w:hAnsi="Book Antiqua" w:cstheme="minorHAnsi"/>
        </w:rPr>
        <w:t xml:space="preserve"> of </w:t>
      </w:r>
      <w:r w:rsidR="00A744C6">
        <w:rPr>
          <w:rFonts w:ascii="Book Antiqua" w:hAnsi="Book Antiqua" w:cstheme="minorHAnsi"/>
        </w:rPr>
        <w:t xml:space="preserve">her </w:t>
      </w:r>
      <w:r w:rsidRPr="000118BB">
        <w:rPr>
          <w:rFonts w:ascii="Book Antiqua" w:hAnsi="Book Antiqua" w:cstheme="minorHAnsi"/>
        </w:rPr>
        <w:t xml:space="preserve">experience </w:t>
      </w:r>
      <w:r w:rsidR="00A744C6">
        <w:rPr>
          <w:rFonts w:ascii="Book Antiqua" w:hAnsi="Book Antiqua" w:cstheme="minorHAnsi"/>
        </w:rPr>
        <w:t xml:space="preserve">with the Appellant and his partner and child, </w:t>
      </w:r>
      <w:r w:rsidRPr="000118BB">
        <w:rPr>
          <w:rFonts w:ascii="Book Antiqua" w:hAnsi="Book Antiqua" w:cstheme="minorHAnsi"/>
        </w:rPr>
        <w:t xml:space="preserve">and in my view there is nothing </w:t>
      </w:r>
      <w:r w:rsidR="00B00E91" w:rsidRPr="000118BB">
        <w:rPr>
          <w:rFonts w:ascii="Book Antiqua" w:hAnsi="Book Antiqua" w:cstheme="minorHAnsi"/>
        </w:rPr>
        <w:t xml:space="preserve">on </w:t>
      </w:r>
      <w:r w:rsidRPr="000118BB">
        <w:rPr>
          <w:rFonts w:ascii="Book Antiqua" w:hAnsi="Book Antiqua" w:cstheme="minorHAnsi"/>
        </w:rPr>
        <w:t xml:space="preserve">the face of the letter which reveals that it was </w:t>
      </w:r>
      <w:r w:rsidR="00B63FB7" w:rsidRPr="000118BB">
        <w:rPr>
          <w:rFonts w:ascii="Book Antiqua" w:hAnsi="Book Antiqua" w:cstheme="minorHAnsi"/>
        </w:rPr>
        <w:t xml:space="preserve">obtained </w:t>
      </w:r>
      <w:r w:rsidRPr="000118BB">
        <w:rPr>
          <w:rFonts w:ascii="Book Antiqua" w:hAnsi="Book Antiqua" w:cstheme="minorHAnsi"/>
        </w:rPr>
        <w:t>by deception.</w:t>
      </w:r>
    </w:p>
    <w:p w14:paraId="4E02BC0E" w14:textId="29F77CBD" w:rsidR="00DD0F95" w:rsidRPr="000118BB" w:rsidRDefault="00DD0F95" w:rsidP="009D348A">
      <w:pPr>
        <w:numPr>
          <w:ilvl w:val="0"/>
          <w:numId w:val="1"/>
        </w:numPr>
        <w:tabs>
          <w:tab w:val="clear" w:pos="567"/>
        </w:tabs>
        <w:spacing w:before="240"/>
        <w:jc w:val="both"/>
        <w:rPr>
          <w:rFonts w:ascii="Book Antiqua" w:hAnsi="Book Antiqua" w:cs="Arial"/>
        </w:rPr>
      </w:pPr>
      <w:r w:rsidRPr="000118BB">
        <w:rPr>
          <w:rFonts w:ascii="Book Antiqua" w:hAnsi="Book Antiqua" w:cstheme="minorHAnsi"/>
        </w:rPr>
        <w:t>Consequently</w:t>
      </w:r>
      <w:r w:rsidR="00A744C6">
        <w:rPr>
          <w:rFonts w:ascii="Book Antiqua" w:hAnsi="Book Antiqua" w:cstheme="minorHAnsi"/>
        </w:rPr>
        <w:t>,</w:t>
      </w:r>
      <w:r w:rsidRPr="000118BB">
        <w:rPr>
          <w:rFonts w:ascii="Book Antiqua" w:hAnsi="Book Antiqua" w:cstheme="minorHAnsi"/>
        </w:rPr>
        <w:t xml:space="preserve"> given my findings above in relation to the </w:t>
      </w:r>
      <w:r w:rsidR="00055458" w:rsidRPr="000118BB">
        <w:rPr>
          <w:rFonts w:ascii="Book Antiqua" w:hAnsi="Book Antiqua" w:cstheme="minorHAnsi"/>
        </w:rPr>
        <w:t>other matters I</w:t>
      </w:r>
      <w:r w:rsidR="00805577" w:rsidRPr="000118BB">
        <w:rPr>
          <w:rFonts w:ascii="Book Antiqua" w:hAnsi="Book Antiqua" w:cstheme="minorHAnsi"/>
        </w:rPr>
        <w:t xml:space="preserve"> </w:t>
      </w:r>
      <w:r w:rsidR="00055458" w:rsidRPr="000118BB">
        <w:rPr>
          <w:rFonts w:ascii="Book Antiqua" w:hAnsi="Book Antiqua" w:cstheme="minorHAnsi"/>
        </w:rPr>
        <w:t xml:space="preserve">do find that this ground is also made out.  </w:t>
      </w:r>
    </w:p>
    <w:p w14:paraId="38070A2A" w14:textId="40AB68F1" w:rsidR="007C7FDF" w:rsidRPr="000118BB" w:rsidRDefault="007C7FDF" w:rsidP="009D348A">
      <w:pPr>
        <w:numPr>
          <w:ilvl w:val="0"/>
          <w:numId w:val="1"/>
        </w:numPr>
        <w:tabs>
          <w:tab w:val="clear" w:pos="567"/>
        </w:tabs>
        <w:spacing w:before="240"/>
        <w:jc w:val="both"/>
        <w:rPr>
          <w:rFonts w:ascii="Book Antiqua" w:hAnsi="Book Antiqua" w:cs="Arial"/>
        </w:rPr>
      </w:pPr>
      <w:r w:rsidRPr="000118BB">
        <w:rPr>
          <w:rFonts w:ascii="Book Antiqua" w:hAnsi="Book Antiqua" w:cstheme="minorHAnsi"/>
        </w:rPr>
        <w:t xml:space="preserve">In light of the above findings I set aside the decision of the First-tier Tribunal in its entirety.  </w:t>
      </w:r>
    </w:p>
    <w:p w14:paraId="7F86B932" w14:textId="2463FEA6" w:rsidR="000917B7" w:rsidRPr="000118BB" w:rsidRDefault="000917B7" w:rsidP="000917B7">
      <w:pPr>
        <w:spacing w:before="240"/>
        <w:jc w:val="both"/>
        <w:rPr>
          <w:rFonts w:ascii="Book Antiqua" w:hAnsi="Book Antiqua" w:cs="Arial"/>
          <w:b/>
          <w:u w:val="single"/>
        </w:rPr>
      </w:pPr>
      <w:r w:rsidRPr="000118BB">
        <w:rPr>
          <w:rFonts w:ascii="Book Antiqua" w:hAnsi="Book Antiqua" w:cs="Arial"/>
          <w:b/>
          <w:u w:val="single"/>
        </w:rPr>
        <w:t xml:space="preserve">Notice of Decision  </w:t>
      </w:r>
    </w:p>
    <w:p w14:paraId="6C804DC6" w14:textId="77B0AFBB" w:rsidR="000917B7" w:rsidRPr="000118BB" w:rsidRDefault="000917B7" w:rsidP="000917B7">
      <w:pPr>
        <w:numPr>
          <w:ilvl w:val="0"/>
          <w:numId w:val="1"/>
        </w:numPr>
        <w:tabs>
          <w:tab w:val="clear" w:pos="567"/>
        </w:tabs>
        <w:spacing w:before="240"/>
        <w:jc w:val="both"/>
        <w:rPr>
          <w:rFonts w:ascii="Book Antiqua" w:hAnsi="Book Antiqua" w:cs="Arial"/>
        </w:rPr>
      </w:pPr>
      <w:r w:rsidRPr="000118BB">
        <w:rPr>
          <w:rFonts w:ascii="Book Antiqua" w:hAnsi="Book Antiqua" w:cs="Arial"/>
        </w:rPr>
        <w:t xml:space="preserve">The appeal to the Upper Tribunal is allowed.  </w:t>
      </w:r>
    </w:p>
    <w:p w14:paraId="50529C0F" w14:textId="47B30047" w:rsidR="000917B7" w:rsidRPr="000118BB" w:rsidRDefault="000917B7" w:rsidP="000917B7">
      <w:pPr>
        <w:numPr>
          <w:ilvl w:val="0"/>
          <w:numId w:val="1"/>
        </w:numPr>
        <w:tabs>
          <w:tab w:val="clear" w:pos="567"/>
        </w:tabs>
        <w:spacing w:before="240"/>
        <w:jc w:val="both"/>
        <w:rPr>
          <w:rFonts w:ascii="Book Antiqua" w:hAnsi="Book Antiqua" w:cs="Arial"/>
        </w:rPr>
      </w:pPr>
      <w:r w:rsidRPr="000118BB">
        <w:rPr>
          <w:rFonts w:ascii="Book Antiqua" w:hAnsi="Book Antiqua" w:cs="Arial"/>
        </w:rPr>
        <w:t xml:space="preserve">The appeal is to be remitted to the First-tier Tribunal to be heard by a differently constituted bench.  </w:t>
      </w:r>
    </w:p>
    <w:p w14:paraId="391E79E3" w14:textId="5D21ED01" w:rsidR="009D1E3B" w:rsidRPr="000118BB" w:rsidRDefault="009D1E3B" w:rsidP="000917B7">
      <w:pPr>
        <w:numPr>
          <w:ilvl w:val="0"/>
          <w:numId w:val="1"/>
        </w:numPr>
        <w:tabs>
          <w:tab w:val="clear" w:pos="567"/>
        </w:tabs>
        <w:spacing w:before="240"/>
        <w:jc w:val="both"/>
        <w:rPr>
          <w:rFonts w:ascii="Book Antiqua" w:hAnsi="Book Antiqua" w:cs="Arial"/>
        </w:rPr>
      </w:pPr>
      <w:r w:rsidRPr="000118BB">
        <w:rPr>
          <w:rFonts w:ascii="Book Antiqua" w:hAnsi="Book Antiqua" w:cs="Arial"/>
        </w:rPr>
        <w:t>No anonymity direction is made.</w:t>
      </w:r>
    </w:p>
    <w:p w14:paraId="4A505E70" w14:textId="092B9B92" w:rsidR="008870F8" w:rsidRPr="000118BB" w:rsidRDefault="008870F8" w:rsidP="008870F8">
      <w:pPr>
        <w:spacing w:before="240"/>
        <w:jc w:val="both"/>
        <w:rPr>
          <w:rFonts w:ascii="Book Antiqua" w:hAnsi="Book Antiqua" w:cs="Arial"/>
          <w:b/>
          <w:u w:val="single"/>
        </w:rPr>
      </w:pPr>
      <w:r w:rsidRPr="000118BB">
        <w:rPr>
          <w:rFonts w:ascii="Book Antiqua" w:hAnsi="Book Antiqua" w:cs="Arial"/>
          <w:b/>
          <w:u w:val="single"/>
        </w:rPr>
        <w:t xml:space="preserve">Directions  </w:t>
      </w:r>
    </w:p>
    <w:p w14:paraId="3FB8CEB9" w14:textId="6DDD4954" w:rsidR="000917B7" w:rsidRPr="000118BB" w:rsidRDefault="008870F8" w:rsidP="008870F8">
      <w:pPr>
        <w:numPr>
          <w:ilvl w:val="1"/>
          <w:numId w:val="1"/>
        </w:numPr>
        <w:spacing w:before="240"/>
        <w:jc w:val="both"/>
        <w:rPr>
          <w:rFonts w:ascii="Book Antiqua" w:hAnsi="Book Antiqua" w:cs="Arial"/>
        </w:rPr>
      </w:pPr>
      <w:r w:rsidRPr="000118BB">
        <w:rPr>
          <w:rFonts w:ascii="Book Antiqua" w:hAnsi="Book Antiqua" w:cs="Arial"/>
        </w:rPr>
        <w:t>Standard directions are to be issued</w:t>
      </w:r>
      <w:r w:rsidR="00C05D7A" w:rsidRPr="000118BB">
        <w:rPr>
          <w:rFonts w:ascii="Book Antiqua" w:hAnsi="Book Antiqua" w:cs="Arial"/>
        </w:rPr>
        <w:t>.</w:t>
      </w:r>
      <w:r w:rsidRPr="000118BB">
        <w:rPr>
          <w:rFonts w:ascii="Book Antiqua" w:hAnsi="Book Antiqua" w:cs="Arial"/>
        </w:rPr>
        <w:t xml:space="preserve">         </w:t>
      </w:r>
    </w:p>
    <w:p w14:paraId="3D2CEE80" w14:textId="537D384E" w:rsidR="008870F8" w:rsidRPr="000118BB" w:rsidRDefault="008870F8" w:rsidP="008870F8">
      <w:pPr>
        <w:numPr>
          <w:ilvl w:val="1"/>
          <w:numId w:val="1"/>
        </w:numPr>
        <w:spacing w:before="240"/>
        <w:jc w:val="both"/>
        <w:rPr>
          <w:rFonts w:ascii="Book Antiqua" w:hAnsi="Book Antiqua" w:cs="Arial"/>
        </w:rPr>
      </w:pPr>
      <w:r w:rsidRPr="000118BB">
        <w:rPr>
          <w:rFonts w:ascii="Book Antiqua" w:hAnsi="Book Antiqua" w:cs="Arial"/>
        </w:rPr>
        <w:t>No interpreter is required</w:t>
      </w:r>
      <w:r w:rsidR="00C05D7A" w:rsidRPr="000118BB">
        <w:rPr>
          <w:rFonts w:ascii="Book Antiqua" w:hAnsi="Book Antiqua" w:cs="Arial"/>
        </w:rPr>
        <w:t>.</w:t>
      </w:r>
      <w:r w:rsidRPr="000118BB">
        <w:rPr>
          <w:rFonts w:ascii="Book Antiqua" w:hAnsi="Book Antiqua" w:cs="Arial"/>
        </w:rPr>
        <w:t xml:space="preserve">          </w:t>
      </w:r>
    </w:p>
    <w:p w14:paraId="21E998B7" w14:textId="0D9FE192" w:rsidR="008870F8" w:rsidRPr="000118BB" w:rsidRDefault="008870F8" w:rsidP="008870F8">
      <w:pPr>
        <w:numPr>
          <w:ilvl w:val="1"/>
          <w:numId w:val="1"/>
        </w:numPr>
        <w:spacing w:before="240"/>
        <w:jc w:val="both"/>
        <w:rPr>
          <w:rFonts w:ascii="Book Antiqua" w:hAnsi="Book Antiqua" w:cs="Arial"/>
        </w:rPr>
      </w:pPr>
      <w:r w:rsidRPr="000118BB">
        <w:rPr>
          <w:rFonts w:ascii="Book Antiqua" w:hAnsi="Book Antiqua" w:cs="Arial"/>
        </w:rPr>
        <w:t xml:space="preserve">The Appellant and his partner have indicated that they will try and obtain an independent social worker’s report however I will not make any directions in </w:t>
      </w:r>
      <w:r w:rsidR="00C659E0" w:rsidRPr="000118BB">
        <w:rPr>
          <w:rFonts w:ascii="Book Antiqua" w:hAnsi="Book Antiqua" w:cs="Arial"/>
        </w:rPr>
        <w:t>respect</w:t>
      </w:r>
      <w:r w:rsidRPr="000118BB">
        <w:rPr>
          <w:rFonts w:ascii="Book Antiqua" w:hAnsi="Book Antiqua" w:cs="Arial"/>
        </w:rPr>
        <w:t xml:space="preserve"> of this</w:t>
      </w:r>
      <w:r w:rsidR="00C659E0" w:rsidRPr="000118BB">
        <w:rPr>
          <w:rFonts w:ascii="Book Antiqua" w:hAnsi="Book Antiqua" w:cs="Arial"/>
        </w:rPr>
        <w:t xml:space="preserve"> potential report at this stage.  </w:t>
      </w:r>
    </w:p>
    <w:p w14:paraId="499D454D" w14:textId="337757AC" w:rsidR="00C05D7A" w:rsidRPr="000118BB" w:rsidRDefault="00C05D7A" w:rsidP="008870F8">
      <w:pPr>
        <w:numPr>
          <w:ilvl w:val="1"/>
          <w:numId w:val="1"/>
        </w:numPr>
        <w:spacing w:before="240"/>
        <w:jc w:val="both"/>
        <w:rPr>
          <w:rFonts w:ascii="Book Antiqua" w:hAnsi="Book Antiqua" w:cs="Arial"/>
        </w:rPr>
      </w:pPr>
      <w:r w:rsidRPr="000118BB">
        <w:rPr>
          <w:rFonts w:ascii="Book Antiqua" w:hAnsi="Book Antiqua" w:cs="Arial"/>
        </w:rPr>
        <w:lastRenderedPageBreak/>
        <w:t>I have been told that the Appellant and his partner and the oldest stepchild who is an advanced teenager (albeit a child) will all give evidence at the further hearing before the First-tier Tribunal</w:t>
      </w:r>
      <w:r w:rsidR="004D786D" w:rsidRPr="000118BB">
        <w:rPr>
          <w:rFonts w:ascii="Book Antiqua" w:hAnsi="Book Antiqua" w:cs="Arial"/>
        </w:rPr>
        <w:t xml:space="preserve">.         </w:t>
      </w:r>
    </w:p>
    <w:p w14:paraId="046B1F61" w14:textId="436DD8B0" w:rsidR="004D786D" w:rsidRPr="000118BB" w:rsidRDefault="004D786D" w:rsidP="008870F8">
      <w:pPr>
        <w:numPr>
          <w:ilvl w:val="1"/>
          <w:numId w:val="1"/>
        </w:numPr>
        <w:spacing w:before="240"/>
        <w:jc w:val="both"/>
        <w:rPr>
          <w:rFonts w:ascii="Book Antiqua" w:hAnsi="Book Antiqua" w:cs="Arial"/>
        </w:rPr>
      </w:pPr>
      <w:r w:rsidRPr="000118BB">
        <w:rPr>
          <w:rFonts w:ascii="Book Antiqua" w:hAnsi="Book Antiqua" w:cs="Arial"/>
        </w:rPr>
        <w:t xml:space="preserve">The appeal has been estimated to last four hours </w:t>
      </w:r>
      <w:r w:rsidR="00A744C6">
        <w:rPr>
          <w:rFonts w:ascii="Book Antiqua" w:hAnsi="Book Antiqua" w:cs="Arial"/>
        </w:rPr>
        <w:t xml:space="preserve">by the parties </w:t>
      </w:r>
      <w:r w:rsidRPr="000118BB">
        <w:rPr>
          <w:rFonts w:ascii="Book Antiqua" w:hAnsi="Book Antiqua" w:cs="Arial"/>
        </w:rPr>
        <w:t xml:space="preserve">and will be remitted to be heard at Taylor House at the first available date </w:t>
      </w:r>
      <w:r w:rsidRPr="00A744C6">
        <w:rPr>
          <w:rFonts w:ascii="Book Antiqua" w:hAnsi="Book Antiqua" w:cs="Arial"/>
          <w:i/>
        </w:rPr>
        <w:t>after</w:t>
      </w:r>
      <w:r w:rsidRPr="000118BB">
        <w:rPr>
          <w:rFonts w:ascii="Book Antiqua" w:hAnsi="Book Antiqua" w:cs="Arial"/>
        </w:rPr>
        <w:t xml:space="preserve"> eight weeks.  </w:t>
      </w:r>
    </w:p>
    <w:p w14:paraId="011A0C5C" w14:textId="4A4F1303" w:rsidR="00F34177" w:rsidRPr="000118BB" w:rsidRDefault="00BA0ABE" w:rsidP="00FA35B8">
      <w:pPr>
        <w:numPr>
          <w:ilvl w:val="1"/>
          <w:numId w:val="1"/>
        </w:numPr>
        <w:spacing w:before="240"/>
        <w:jc w:val="both"/>
        <w:rPr>
          <w:rFonts w:ascii="Book Antiqua" w:hAnsi="Book Antiqua" w:cs="Arial"/>
        </w:rPr>
      </w:pPr>
      <w:r w:rsidRPr="000118BB">
        <w:rPr>
          <w:rFonts w:ascii="Book Antiqua" w:hAnsi="Book Antiqua" w:cs="Arial"/>
        </w:rPr>
        <w:t xml:space="preserve">The Appellant, or any legal representatives he may instruct in the future, are to file and serve a consolidated bundle which should </w:t>
      </w:r>
      <w:r w:rsidRPr="00A744C6">
        <w:rPr>
          <w:rFonts w:ascii="Book Antiqua" w:hAnsi="Book Antiqua" w:cs="Arial"/>
          <w:i/>
        </w:rPr>
        <w:t>include</w:t>
      </w:r>
      <w:r w:rsidRPr="000118BB">
        <w:rPr>
          <w:rFonts w:ascii="Book Antiqua" w:hAnsi="Book Antiqua" w:cs="Arial"/>
        </w:rPr>
        <w:t xml:space="preserve"> the previous two bundles before the First-tier Tribunal</w:t>
      </w:r>
      <w:r w:rsidR="00A744C6">
        <w:rPr>
          <w:rFonts w:ascii="Book Antiqua" w:hAnsi="Book Antiqua" w:cs="Arial"/>
        </w:rPr>
        <w:t>,</w:t>
      </w:r>
      <w:r w:rsidR="00B5428E" w:rsidRPr="000118BB">
        <w:rPr>
          <w:rFonts w:ascii="Book Antiqua" w:hAnsi="Book Antiqua" w:cs="Arial"/>
        </w:rPr>
        <w:t xml:space="preserve"> as well as any further evidence t</w:t>
      </w:r>
      <w:r w:rsidR="00A744C6">
        <w:rPr>
          <w:rFonts w:ascii="Book Antiqua" w:hAnsi="Book Antiqua" w:cs="Arial"/>
        </w:rPr>
        <w:t>he Appellant seeks to rely upon.</w:t>
      </w:r>
      <w:r w:rsidR="00B5428E" w:rsidRPr="000118BB">
        <w:rPr>
          <w:rFonts w:ascii="Book Antiqua" w:hAnsi="Book Antiqua" w:cs="Arial"/>
        </w:rPr>
        <w:t xml:space="preserve"> </w:t>
      </w:r>
      <w:r w:rsidR="00A744C6">
        <w:rPr>
          <w:rFonts w:ascii="Book Antiqua" w:hAnsi="Book Antiqua" w:cs="Arial"/>
        </w:rPr>
        <w:t xml:space="preserve"> That consolidated bundle is to be filed and served upon the Respondent and First-tier Tribunal </w:t>
      </w:r>
      <w:r w:rsidR="00B5428E" w:rsidRPr="000118BB">
        <w:rPr>
          <w:rFonts w:ascii="Book Antiqua" w:hAnsi="Book Antiqua" w:cs="Arial"/>
        </w:rPr>
        <w:t xml:space="preserve">no later than seven days before the </w:t>
      </w:r>
      <w:r w:rsidR="00A744C6">
        <w:rPr>
          <w:rFonts w:ascii="Book Antiqua" w:hAnsi="Book Antiqua" w:cs="Arial"/>
        </w:rPr>
        <w:t xml:space="preserve">remitted </w:t>
      </w:r>
      <w:r w:rsidR="00B5428E" w:rsidRPr="000118BB">
        <w:rPr>
          <w:rFonts w:ascii="Book Antiqua" w:hAnsi="Book Antiqua" w:cs="Arial"/>
        </w:rPr>
        <w:t xml:space="preserve">hearing.  </w:t>
      </w:r>
    </w:p>
    <w:p w14:paraId="5F58D7B2" w14:textId="77777777" w:rsidR="00F34177" w:rsidRPr="000118BB" w:rsidRDefault="00F34177" w:rsidP="00D949B7">
      <w:pPr>
        <w:jc w:val="both"/>
        <w:rPr>
          <w:rFonts w:ascii="Book Antiqua" w:hAnsi="Book Antiqua" w:cs="Arial"/>
        </w:rPr>
      </w:pPr>
    </w:p>
    <w:p w14:paraId="02FE3E64" w14:textId="77777777" w:rsidR="00A509FA" w:rsidRPr="000118BB" w:rsidRDefault="00A509FA" w:rsidP="000A0743">
      <w:pPr>
        <w:jc w:val="both"/>
        <w:rPr>
          <w:rFonts w:ascii="Book Antiqua" w:hAnsi="Book Antiqua" w:cs="Arial"/>
        </w:rPr>
      </w:pPr>
    </w:p>
    <w:p w14:paraId="6EAC2BD6" w14:textId="012FCB7C" w:rsidR="001F2716" w:rsidRPr="000118BB" w:rsidRDefault="00780F86" w:rsidP="000A0743">
      <w:pPr>
        <w:jc w:val="both"/>
        <w:rPr>
          <w:rFonts w:ascii="Book Antiqua" w:hAnsi="Book Antiqua" w:cs="Arial"/>
        </w:rPr>
      </w:pPr>
      <w:r w:rsidRPr="000118BB">
        <w:rPr>
          <w:rFonts w:ascii="Book Antiqua" w:hAnsi="Book Antiqua" w:cs="Arial"/>
        </w:rPr>
        <w:t>Signed</w:t>
      </w:r>
      <w:r w:rsidRPr="000118BB">
        <w:rPr>
          <w:rFonts w:ascii="Book Antiqua" w:hAnsi="Book Antiqua" w:cs="Arial"/>
        </w:rPr>
        <w:tab/>
      </w:r>
      <w:r w:rsidRPr="000118BB">
        <w:rPr>
          <w:rFonts w:ascii="Book Antiqua" w:hAnsi="Book Antiqua" w:cs="Arial"/>
        </w:rPr>
        <w:tab/>
      </w:r>
      <w:r w:rsidRPr="000118BB">
        <w:rPr>
          <w:rFonts w:ascii="Book Antiqua" w:hAnsi="Book Antiqua" w:cs="Arial"/>
        </w:rPr>
        <w:tab/>
      </w:r>
      <w:r w:rsidRPr="000118BB">
        <w:rPr>
          <w:rFonts w:ascii="Book Antiqua" w:hAnsi="Book Antiqua" w:cs="Arial"/>
        </w:rPr>
        <w:tab/>
      </w:r>
      <w:r w:rsidRPr="000118BB">
        <w:rPr>
          <w:rFonts w:ascii="Book Antiqua" w:hAnsi="Book Antiqua" w:cs="Arial"/>
        </w:rPr>
        <w:tab/>
      </w:r>
      <w:r w:rsidRPr="000118BB">
        <w:rPr>
          <w:rFonts w:ascii="Book Antiqua" w:hAnsi="Book Antiqua" w:cs="Arial"/>
        </w:rPr>
        <w:tab/>
      </w:r>
      <w:r w:rsidRPr="000118BB">
        <w:rPr>
          <w:rFonts w:ascii="Book Antiqua" w:hAnsi="Book Antiqua" w:cs="Arial"/>
        </w:rPr>
        <w:tab/>
      </w:r>
      <w:r w:rsidRPr="000118BB">
        <w:rPr>
          <w:rFonts w:ascii="Book Antiqua" w:hAnsi="Book Antiqua" w:cs="Arial"/>
        </w:rPr>
        <w:tab/>
      </w:r>
      <w:r w:rsidR="001F2716" w:rsidRPr="000118BB">
        <w:rPr>
          <w:rFonts w:ascii="Book Antiqua" w:hAnsi="Book Antiqua" w:cs="Arial"/>
        </w:rPr>
        <w:t>Date</w:t>
      </w:r>
      <w:r w:rsidR="00507E96">
        <w:rPr>
          <w:rFonts w:ascii="Book Antiqua" w:hAnsi="Book Antiqua" w:cs="Arial"/>
        </w:rPr>
        <w:t xml:space="preserve">:  27. 07. 2018 </w:t>
      </w:r>
    </w:p>
    <w:p w14:paraId="3EE0F529" w14:textId="77777777" w:rsidR="001F2716" w:rsidRPr="000118BB" w:rsidRDefault="001F2716" w:rsidP="000A0743">
      <w:pPr>
        <w:jc w:val="both"/>
        <w:rPr>
          <w:rFonts w:ascii="Book Antiqua" w:hAnsi="Book Antiqua" w:cs="Arial"/>
        </w:rPr>
      </w:pPr>
    </w:p>
    <w:p w14:paraId="572A05F4" w14:textId="77777777" w:rsidR="004A2D15" w:rsidRPr="000118BB" w:rsidRDefault="000C40FF" w:rsidP="004A2D15">
      <w:pPr>
        <w:jc w:val="both"/>
        <w:rPr>
          <w:rFonts w:ascii="Book Antiqua" w:hAnsi="Book Antiqua" w:cs="Arial"/>
          <w:color w:val="000000"/>
        </w:rPr>
      </w:pPr>
      <w:r w:rsidRPr="000118BB">
        <w:rPr>
          <w:rFonts w:ascii="Book Antiqua" w:hAnsi="Book Antiqua" w:cs="Arial"/>
          <w:color w:val="000000"/>
        </w:rPr>
        <w:t>Deputy Upper Tribunal Judge Saini</w:t>
      </w:r>
    </w:p>
    <w:p w14:paraId="01B4786A" w14:textId="77777777" w:rsidR="000A0743" w:rsidRPr="000118BB" w:rsidRDefault="000A0743" w:rsidP="00D949B7">
      <w:pPr>
        <w:jc w:val="both"/>
        <w:rPr>
          <w:rFonts w:ascii="Book Antiqua" w:hAnsi="Book Antiqua" w:cs="Arial"/>
          <w:b/>
          <w:u w:val="single"/>
        </w:rPr>
      </w:pPr>
    </w:p>
    <w:p w14:paraId="2E297278" w14:textId="77777777" w:rsidR="00B95326" w:rsidRPr="009B7433" w:rsidRDefault="00B95326" w:rsidP="00B95326">
      <w:pPr>
        <w:rPr>
          <w:rFonts w:ascii="Book Antiqua" w:hAnsi="Book Antiqua" w:cs="Arial"/>
        </w:rPr>
      </w:pPr>
    </w:p>
    <w:p w14:paraId="071940EF"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A9619" w14:textId="77777777" w:rsidR="00CF6EAD" w:rsidRDefault="00CF6EAD">
      <w:r>
        <w:separator/>
      </w:r>
    </w:p>
  </w:endnote>
  <w:endnote w:type="continuationSeparator" w:id="0">
    <w:p w14:paraId="703EDC7A" w14:textId="77777777" w:rsidR="00CF6EAD" w:rsidRDefault="00CF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5FF0" w14:textId="21C82A7E" w:rsidR="00CF6EAD" w:rsidRPr="009B7433" w:rsidRDefault="00CF6EAD"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00325">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C6B8" w14:textId="77777777" w:rsidR="00CF6EAD" w:rsidRPr="009B7433" w:rsidRDefault="00CF6EAD"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47A3" w14:textId="77777777" w:rsidR="00CF6EAD" w:rsidRDefault="00CF6EAD">
      <w:r>
        <w:separator/>
      </w:r>
    </w:p>
  </w:footnote>
  <w:footnote w:type="continuationSeparator" w:id="0">
    <w:p w14:paraId="5C0E6A69" w14:textId="77777777" w:rsidR="00CF6EAD" w:rsidRDefault="00CF6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F65D7" w14:textId="41175943" w:rsidR="00CF6EAD" w:rsidRPr="009B7433" w:rsidRDefault="00CF6EAD"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w:t>
    </w:r>
    <w:r w:rsidRPr="000D204E">
      <w:rPr>
        <w:rFonts w:ascii="Book Antiqua" w:hAnsi="Book Antiqua" w:cs="Arial"/>
        <w:sz w:val="16"/>
        <w:szCs w:val="16"/>
      </w:rPr>
      <w:t>IA/30985/2015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002DD" w14:textId="15DC3BAE" w:rsidR="00CF6EAD" w:rsidRPr="009B7433" w:rsidRDefault="00CF6EAD">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C06806AE"/>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7C"/>
    <w:rsid w:val="00000621"/>
    <w:rsid w:val="000036C2"/>
    <w:rsid w:val="000118BB"/>
    <w:rsid w:val="00016C1A"/>
    <w:rsid w:val="00017607"/>
    <w:rsid w:val="000205ED"/>
    <w:rsid w:val="00025363"/>
    <w:rsid w:val="00027EDB"/>
    <w:rsid w:val="000301FE"/>
    <w:rsid w:val="00033588"/>
    <w:rsid w:val="00033D3D"/>
    <w:rsid w:val="0004776F"/>
    <w:rsid w:val="00052895"/>
    <w:rsid w:val="00055458"/>
    <w:rsid w:val="00062F02"/>
    <w:rsid w:val="00071A7E"/>
    <w:rsid w:val="000746C0"/>
    <w:rsid w:val="00074D1D"/>
    <w:rsid w:val="000917B7"/>
    <w:rsid w:val="00092580"/>
    <w:rsid w:val="00093D4D"/>
    <w:rsid w:val="0009542F"/>
    <w:rsid w:val="000A0743"/>
    <w:rsid w:val="000B1927"/>
    <w:rsid w:val="000B3856"/>
    <w:rsid w:val="000C40FF"/>
    <w:rsid w:val="000D204E"/>
    <w:rsid w:val="000D5D94"/>
    <w:rsid w:val="000F1A0E"/>
    <w:rsid w:val="000F63C8"/>
    <w:rsid w:val="001111BF"/>
    <w:rsid w:val="001165A7"/>
    <w:rsid w:val="0016508E"/>
    <w:rsid w:val="00167D3A"/>
    <w:rsid w:val="00173F50"/>
    <w:rsid w:val="00175624"/>
    <w:rsid w:val="00185986"/>
    <w:rsid w:val="001A3082"/>
    <w:rsid w:val="001B186A"/>
    <w:rsid w:val="001B2F75"/>
    <w:rsid w:val="001C4786"/>
    <w:rsid w:val="001C6F5F"/>
    <w:rsid w:val="001D6167"/>
    <w:rsid w:val="001E03B8"/>
    <w:rsid w:val="001F2716"/>
    <w:rsid w:val="001F3AC0"/>
    <w:rsid w:val="001F6752"/>
    <w:rsid w:val="00205C2A"/>
    <w:rsid w:val="00207617"/>
    <w:rsid w:val="0023134B"/>
    <w:rsid w:val="00245B8A"/>
    <w:rsid w:val="00283659"/>
    <w:rsid w:val="002B3118"/>
    <w:rsid w:val="002C6BD4"/>
    <w:rsid w:val="002D68BF"/>
    <w:rsid w:val="002E0231"/>
    <w:rsid w:val="002E0AF8"/>
    <w:rsid w:val="002E2BCB"/>
    <w:rsid w:val="002E4541"/>
    <w:rsid w:val="002F03C6"/>
    <w:rsid w:val="002F520D"/>
    <w:rsid w:val="002F6B98"/>
    <w:rsid w:val="00300714"/>
    <w:rsid w:val="00307EE2"/>
    <w:rsid w:val="0031427A"/>
    <w:rsid w:val="00322C1A"/>
    <w:rsid w:val="00326F0A"/>
    <w:rsid w:val="00336CBF"/>
    <w:rsid w:val="00343FE3"/>
    <w:rsid w:val="003546C8"/>
    <w:rsid w:val="0037106C"/>
    <w:rsid w:val="0037777D"/>
    <w:rsid w:val="003825D4"/>
    <w:rsid w:val="00393CAA"/>
    <w:rsid w:val="00396BFB"/>
    <w:rsid w:val="003A08EF"/>
    <w:rsid w:val="003A2C56"/>
    <w:rsid w:val="003A7CF2"/>
    <w:rsid w:val="003C5CE5"/>
    <w:rsid w:val="003D25F1"/>
    <w:rsid w:val="003D6FAD"/>
    <w:rsid w:val="003D74A8"/>
    <w:rsid w:val="003E267B"/>
    <w:rsid w:val="003E7CD1"/>
    <w:rsid w:val="003F5DD3"/>
    <w:rsid w:val="00400325"/>
    <w:rsid w:val="00402B9E"/>
    <w:rsid w:val="00414C00"/>
    <w:rsid w:val="004160E6"/>
    <w:rsid w:val="004249CB"/>
    <w:rsid w:val="0044127D"/>
    <w:rsid w:val="004448DB"/>
    <w:rsid w:val="00446C9A"/>
    <w:rsid w:val="00452F2B"/>
    <w:rsid w:val="00477193"/>
    <w:rsid w:val="00481A00"/>
    <w:rsid w:val="004841CA"/>
    <w:rsid w:val="004A1848"/>
    <w:rsid w:val="004A2D15"/>
    <w:rsid w:val="004A534C"/>
    <w:rsid w:val="004A6F4A"/>
    <w:rsid w:val="004B70D7"/>
    <w:rsid w:val="004D6B45"/>
    <w:rsid w:val="004D786D"/>
    <w:rsid w:val="004E4717"/>
    <w:rsid w:val="004E6DA7"/>
    <w:rsid w:val="004F11CA"/>
    <w:rsid w:val="004F2676"/>
    <w:rsid w:val="004F777B"/>
    <w:rsid w:val="00502673"/>
    <w:rsid w:val="00505C66"/>
    <w:rsid w:val="00507E96"/>
    <w:rsid w:val="00507FEC"/>
    <w:rsid w:val="00510F0E"/>
    <w:rsid w:val="00512D20"/>
    <w:rsid w:val="0052475A"/>
    <w:rsid w:val="00532FDB"/>
    <w:rsid w:val="00533C9A"/>
    <w:rsid w:val="00542CA7"/>
    <w:rsid w:val="005479E1"/>
    <w:rsid w:val="00553028"/>
    <w:rsid w:val="00553E0A"/>
    <w:rsid w:val="00554010"/>
    <w:rsid w:val="005570FD"/>
    <w:rsid w:val="005575EA"/>
    <w:rsid w:val="0057790C"/>
    <w:rsid w:val="00587506"/>
    <w:rsid w:val="00593795"/>
    <w:rsid w:val="005A75FF"/>
    <w:rsid w:val="005C2F82"/>
    <w:rsid w:val="005D10AB"/>
    <w:rsid w:val="005E6432"/>
    <w:rsid w:val="00601D8F"/>
    <w:rsid w:val="00605582"/>
    <w:rsid w:val="00611F34"/>
    <w:rsid w:val="00621FE8"/>
    <w:rsid w:val="00635252"/>
    <w:rsid w:val="006434B6"/>
    <w:rsid w:val="00653E97"/>
    <w:rsid w:val="006558D8"/>
    <w:rsid w:val="006667DB"/>
    <w:rsid w:val="00684A74"/>
    <w:rsid w:val="0068620A"/>
    <w:rsid w:val="00690B8A"/>
    <w:rsid w:val="00696BA2"/>
    <w:rsid w:val="006E1A65"/>
    <w:rsid w:val="006E6779"/>
    <w:rsid w:val="006F2CF1"/>
    <w:rsid w:val="007038ED"/>
    <w:rsid w:val="00703BC3"/>
    <w:rsid w:val="00704B61"/>
    <w:rsid w:val="00710982"/>
    <w:rsid w:val="00715A64"/>
    <w:rsid w:val="00716350"/>
    <w:rsid w:val="00733DF3"/>
    <w:rsid w:val="00740C1F"/>
    <w:rsid w:val="00753A83"/>
    <w:rsid w:val="007552A9"/>
    <w:rsid w:val="0075658A"/>
    <w:rsid w:val="00761858"/>
    <w:rsid w:val="00767D59"/>
    <w:rsid w:val="00776E97"/>
    <w:rsid w:val="00780F86"/>
    <w:rsid w:val="007845C5"/>
    <w:rsid w:val="007912AD"/>
    <w:rsid w:val="00797D66"/>
    <w:rsid w:val="007B0824"/>
    <w:rsid w:val="007B5D3C"/>
    <w:rsid w:val="007B7BFD"/>
    <w:rsid w:val="007C21AA"/>
    <w:rsid w:val="007C7FDF"/>
    <w:rsid w:val="007F0700"/>
    <w:rsid w:val="00805577"/>
    <w:rsid w:val="008109D8"/>
    <w:rsid w:val="00815011"/>
    <w:rsid w:val="0081537C"/>
    <w:rsid w:val="00821B72"/>
    <w:rsid w:val="0082229E"/>
    <w:rsid w:val="00823EF2"/>
    <w:rsid w:val="008303B8"/>
    <w:rsid w:val="00833114"/>
    <w:rsid w:val="00833DCE"/>
    <w:rsid w:val="00833E86"/>
    <w:rsid w:val="00844916"/>
    <w:rsid w:val="00847E3A"/>
    <w:rsid w:val="00871D34"/>
    <w:rsid w:val="00875627"/>
    <w:rsid w:val="008800A7"/>
    <w:rsid w:val="008870F8"/>
    <w:rsid w:val="008A25EC"/>
    <w:rsid w:val="008A2D37"/>
    <w:rsid w:val="008A6059"/>
    <w:rsid w:val="008B270C"/>
    <w:rsid w:val="008B5078"/>
    <w:rsid w:val="008C3D3D"/>
    <w:rsid w:val="008D4131"/>
    <w:rsid w:val="008F1932"/>
    <w:rsid w:val="008F7911"/>
    <w:rsid w:val="0090151B"/>
    <w:rsid w:val="009042A9"/>
    <w:rsid w:val="00905BE8"/>
    <w:rsid w:val="009136A3"/>
    <w:rsid w:val="00921062"/>
    <w:rsid w:val="0092525D"/>
    <w:rsid w:val="00926A4B"/>
    <w:rsid w:val="009419B6"/>
    <w:rsid w:val="009456EC"/>
    <w:rsid w:val="00946693"/>
    <w:rsid w:val="00952AC4"/>
    <w:rsid w:val="009531AA"/>
    <w:rsid w:val="00971D4A"/>
    <w:rsid w:val="00971DA2"/>
    <w:rsid w:val="009722BC"/>
    <w:rsid w:val="009727A3"/>
    <w:rsid w:val="009737BD"/>
    <w:rsid w:val="00987774"/>
    <w:rsid w:val="00990096"/>
    <w:rsid w:val="009A11E8"/>
    <w:rsid w:val="009A4CD1"/>
    <w:rsid w:val="009B7433"/>
    <w:rsid w:val="009C57C8"/>
    <w:rsid w:val="009D1E3B"/>
    <w:rsid w:val="009D33A8"/>
    <w:rsid w:val="009D348A"/>
    <w:rsid w:val="009E69C5"/>
    <w:rsid w:val="009F03BB"/>
    <w:rsid w:val="009F5220"/>
    <w:rsid w:val="009F7BEA"/>
    <w:rsid w:val="00A07919"/>
    <w:rsid w:val="00A07BC4"/>
    <w:rsid w:val="00A15234"/>
    <w:rsid w:val="00A172F5"/>
    <w:rsid w:val="00A201AB"/>
    <w:rsid w:val="00A31C8B"/>
    <w:rsid w:val="00A43FBA"/>
    <w:rsid w:val="00A509FA"/>
    <w:rsid w:val="00A53FFE"/>
    <w:rsid w:val="00A54DB5"/>
    <w:rsid w:val="00A63DAB"/>
    <w:rsid w:val="00A64C8A"/>
    <w:rsid w:val="00A66B2D"/>
    <w:rsid w:val="00A6743F"/>
    <w:rsid w:val="00A744C6"/>
    <w:rsid w:val="00A74B2D"/>
    <w:rsid w:val="00A845DC"/>
    <w:rsid w:val="00A8618F"/>
    <w:rsid w:val="00AB646E"/>
    <w:rsid w:val="00AB69AB"/>
    <w:rsid w:val="00AF4A24"/>
    <w:rsid w:val="00B00E91"/>
    <w:rsid w:val="00B024FB"/>
    <w:rsid w:val="00B04160"/>
    <w:rsid w:val="00B05C08"/>
    <w:rsid w:val="00B26AA2"/>
    <w:rsid w:val="00B32C15"/>
    <w:rsid w:val="00B3524D"/>
    <w:rsid w:val="00B40F69"/>
    <w:rsid w:val="00B46616"/>
    <w:rsid w:val="00B47ACC"/>
    <w:rsid w:val="00B528BB"/>
    <w:rsid w:val="00B5428E"/>
    <w:rsid w:val="00B63FB7"/>
    <w:rsid w:val="00B7040A"/>
    <w:rsid w:val="00B72038"/>
    <w:rsid w:val="00B808DB"/>
    <w:rsid w:val="00B83391"/>
    <w:rsid w:val="00B95326"/>
    <w:rsid w:val="00B973CD"/>
    <w:rsid w:val="00BA0ABE"/>
    <w:rsid w:val="00BB05C3"/>
    <w:rsid w:val="00BD4196"/>
    <w:rsid w:val="00BD7344"/>
    <w:rsid w:val="00BF22CA"/>
    <w:rsid w:val="00BF23BB"/>
    <w:rsid w:val="00BF6363"/>
    <w:rsid w:val="00C05D7A"/>
    <w:rsid w:val="00C168A2"/>
    <w:rsid w:val="00C26032"/>
    <w:rsid w:val="00C345E1"/>
    <w:rsid w:val="00C41E93"/>
    <w:rsid w:val="00C43BFD"/>
    <w:rsid w:val="00C520E2"/>
    <w:rsid w:val="00C53372"/>
    <w:rsid w:val="00C6048A"/>
    <w:rsid w:val="00C659E0"/>
    <w:rsid w:val="00C815CF"/>
    <w:rsid w:val="00C96C94"/>
    <w:rsid w:val="00CB6E35"/>
    <w:rsid w:val="00CB7518"/>
    <w:rsid w:val="00CE09B1"/>
    <w:rsid w:val="00CE1A46"/>
    <w:rsid w:val="00CF20EE"/>
    <w:rsid w:val="00CF6EAD"/>
    <w:rsid w:val="00D05EA6"/>
    <w:rsid w:val="00D20757"/>
    <w:rsid w:val="00D22636"/>
    <w:rsid w:val="00D40FD9"/>
    <w:rsid w:val="00D425AA"/>
    <w:rsid w:val="00D5221C"/>
    <w:rsid w:val="00D53769"/>
    <w:rsid w:val="00D61FE4"/>
    <w:rsid w:val="00D6602D"/>
    <w:rsid w:val="00D716B1"/>
    <w:rsid w:val="00D82818"/>
    <w:rsid w:val="00D8510D"/>
    <w:rsid w:val="00D85C13"/>
    <w:rsid w:val="00D9111A"/>
    <w:rsid w:val="00D91BE3"/>
    <w:rsid w:val="00D949B7"/>
    <w:rsid w:val="00D94AFC"/>
    <w:rsid w:val="00D968BB"/>
    <w:rsid w:val="00DA27DB"/>
    <w:rsid w:val="00DA6C72"/>
    <w:rsid w:val="00DB70AE"/>
    <w:rsid w:val="00DC0486"/>
    <w:rsid w:val="00DC1D82"/>
    <w:rsid w:val="00DD0F95"/>
    <w:rsid w:val="00DD5071"/>
    <w:rsid w:val="00DD5C39"/>
    <w:rsid w:val="00DE7DB7"/>
    <w:rsid w:val="00E00A0A"/>
    <w:rsid w:val="00E031FA"/>
    <w:rsid w:val="00E066DE"/>
    <w:rsid w:val="00E07F57"/>
    <w:rsid w:val="00E21F12"/>
    <w:rsid w:val="00E30683"/>
    <w:rsid w:val="00E3601B"/>
    <w:rsid w:val="00E42107"/>
    <w:rsid w:val="00E453D8"/>
    <w:rsid w:val="00E50BCE"/>
    <w:rsid w:val="00E574BF"/>
    <w:rsid w:val="00E60B5C"/>
    <w:rsid w:val="00E61292"/>
    <w:rsid w:val="00E77C4D"/>
    <w:rsid w:val="00E81D01"/>
    <w:rsid w:val="00E83BEB"/>
    <w:rsid w:val="00E8478D"/>
    <w:rsid w:val="00EA0E7C"/>
    <w:rsid w:val="00EB485A"/>
    <w:rsid w:val="00EB6F52"/>
    <w:rsid w:val="00EE45D8"/>
    <w:rsid w:val="00F17284"/>
    <w:rsid w:val="00F22EDA"/>
    <w:rsid w:val="00F34177"/>
    <w:rsid w:val="00F37732"/>
    <w:rsid w:val="00F470D6"/>
    <w:rsid w:val="00F5589A"/>
    <w:rsid w:val="00F752FC"/>
    <w:rsid w:val="00F96D0B"/>
    <w:rsid w:val="00F97CDC"/>
    <w:rsid w:val="00FA007C"/>
    <w:rsid w:val="00FA35B8"/>
    <w:rsid w:val="00FC40FA"/>
    <w:rsid w:val="00FC5456"/>
    <w:rsid w:val="00FC7FCF"/>
    <w:rsid w:val="00FD5B31"/>
    <w:rsid w:val="00FD699C"/>
    <w:rsid w:val="00FE07E1"/>
    <w:rsid w:val="00FE76A3"/>
    <w:rsid w:val="00FF54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83B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1743</Words>
  <Characters>8500</Characters>
  <Application>Microsoft Office Word</Application>
  <DocSecurity>0</DocSecurity>
  <Lines>70</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2018-08-17T12:08:00Z</dcterms:created>
  <dcterms:modified xsi:type="dcterms:W3CDTF">2018-08-17T12:08:00Z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