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D253" w14:textId="711F484C" w:rsidR="004E1E3A" w:rsidRPr="00AE6DDE" w:rsidRDefault="00AC12EB" w:rsidP="0050388A">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CE3602">
        <w:rPr>
          <w:noProof/>
        </w:rPr>
        <w:drawing>
          <wp:inline distT="0" distB="0" distL="0" distR="0" wp14:anchorId="786CD1D1" wp14:editId="01BA261B">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33487054" w14:textId="77777777" w:rsidR="004E1E3A" w:rsidRPr="00AE6DDE" w:rsidRDefault="004E1E3A">
      <w:pPr>
        <w:rPr>
          <w:rFonts w:ascii="Book Antiqua" w:hAnsi="Book Antiqua" w:cs="Arial"/>
          <w:color w:val="000000"/>
        </w:rPr>
      </w:pPr>
    </w:p>
    <w:p w14:paraId="7D0A0681" w14:textId="77777777" w:rsidR="004E1E3A" w:rsidRPr="002630D9" w:rsidRDefault="004E1E3A"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14:paraId="04A8785B" w14:textId="067B25A8" w:rsidR="004E1E3A" w:rsidRPr="00025E48" w:rsidRDefault="004E1E3A"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sidR="00595102">
        <w:rPr>
          <w:rFonts w:cs="Arial"/>
          <w:b/>
          <w:color w:val="000000"/>
        </w:rPr>
        <w:t xml:space="preserve">Appeal Number: </w:t>
      </w:r>
      <w:bookmarkStart w:id="0" w:name="_GoBack"/>
      <w:r w:rsidR="000C4B36">
        <w:rPr>
          <w:rFonts w:cs="Arial"/>
          <w:b/>
          <w:color w:val="000000"/>
        </w:rPr>
        <w:t>I</w:t>
      </w:r>
      <w:r w:rsidR="005D5462">
        <w:rPr>
          <w:rFonts w:cs="Arial"/>
          <w:b/>
          <w:color w:val="000000"/>
        </w:rPr>
        <w:t>A/</w:t>
      </w:r>
      <w:r w:rsidR="000C4B36">
        <w:rPr>
          <w:rFonts w:cs="Arial"/>
          <w:b/>
          <w:color w:val="000000"/>
        </w:rPr>
        <w:t>31358</w:t>
      </w:r>
      <w:r w:rsidR="00C671C5">
        <w:rPr>
          <w:rFonts w:cs="Arial"/>
          <w:b/>
          <w:color w:val="000000"/>
        </w:rPr>
        <w:t>/201</w:t>
      </w:r>
      <w:r w:rsidR="000C4B36">
        <w:rPr>
          <w:rFonts w:cs="Arial"/>
          <w:b/>
          <w:color w:val="000000"/>
        </w:rPr>
        <w:t>5</w:t>
      </w:r>
      <w:bookmarkEnd w:id="0"/>
    </w:p>
    <w:p w14:paraId="0D35026C" w14:textId="77777777" w:rsidR="00D5742B" w:rsidRDefault="00D5742B" w:rsidP="002630D9">
      <w:pPr>
        <w:spacing w:line="360" w:lineRule="auto"/>
        <w:jc w:val="center"/>
        <w:rPr>
          <w:rFonts w:cs="Arial"/>
          <w:b/>
          <w:color w:val="000000"/>
          <w:u w:val="single"/>
        </w:rPr>
      </w:pPr>
    </w:p>
    <w:p w14:paraId="4E1DE757" w14:textId="44124D87" w:rsidR="004E1E3A" w:rsidRPr="00025E48" w:rsidRDefault="004E1E3A" w:rsidP="002630D9">
      <w:pPr>
        <w:spacing w:line="360" w:lineRule="auto"/>
        <w:jc w:val="center"/>
        <w:rPr>
          <w:rFonts w:cs="Arial"/>
          <w:b/>
          <w:color w:val="000000"/>
          <w:u w:val="single"/>
        </w:rPr>
      </w:pPr>
      <w:r w:rsidRPr="00025E48">
        <w:rPr>
          <w:rFonts w:cs="Arial"/>
          <w:b/>
          <w:color w:val="000000"/>
          <w:u w:val="single"/>
        </w:rPr>
        <w:t>THE IMMIGRATION ACTS</w:t>
      </w:r>
    </w:p>
    <w:p w14:paraId="6C40DBDB" w14:textId="77777777" w:rsidR="004E1E3A" w:rsidRPr="002630D9" w:rsidRDefault="004E1E3A" w:rsidP="002630D9">
      <w:pPr>
        <w:spacing w:line="360" w:lineRule="auto"/>
        <w:jc w:val="center"/>
        <w:rPr>
          <w:rFonts w:cs="Arial"/>
          <w:b/>
          <w:u w:val="single"/>
        </w:rPr>
      </w:pPr>
    </w:p>
    <w:tbl>
      <w:tblPr>
        <w:tblW w:w="0" w:type="auto"/>
        <w:tblLook w:val="01E0" w:firstRow="1" w:lastRow="1" w:firstColumn="1" w:lastColumn="1" w:noHBand="0" w:noVBand="0"/>
      </w:tblPr>
      <w:tblGrid>
        <w:gridCol w:w="5740"/>
        <w:gridCol w:w="3898"/>
      </w:tblGrid>
      <w:tr w:rsidR="004E1E3A" w:rsidRPr="002630D9" w14:paraId="630F47FE" w14:textId="77777777" w:rsidTr="00953E15">
        <w:tc>
          <w:tcPr>
            <w:tcW w:w="5868" w:type="dxa"/>
          </w:tcPr>
          <w:p w14:paraId="0F3F45F1" w14:textId="77777777" w:rsidR="004E1E3A" w:rsidRPr="002630D9" w:rsidRDefault="004E1E3A" w:rsidP="002630D9">
            <w:pPr>
              <w:spacing w:line="360" w:lineRule="auto"/>
              <w:jc w:val="both"/>
              <w:rPr>
                <w:rFonts w:cs="Arial"/>
                <w:b/>
              </w:rPr>
            </w:pPr>
            <w:r w:rsidRPr="002630D9">
              <w:rPr>
                <w:rFonts w:cs="Arial"/>
                <w:b/>
              </w:rPr>
              <w:t xml:space="preserve">Heard at </w:t>
            </w:r>
            <w:r>
              <w:rPr>
                <w:rFonts w:cs="Arial"/>
                <w:b/>
              </w:rPr>
              <w:t>Field House</w:t>
            </w:r>
          </w:p>
        </w:tc>
        <w:tc>
          <w:tcPr>
            <w:tcW w:w="3960" w:type="dxa"/>
          </w:tcPr>
          <w:p w14:paraId="096AD8E4" w14:textId="77777777" w:rsidR="004E1E3A" w:rsidRPr="002630D9" w:rsidRDefault="004E1E3A" w:rsidP="002630D9">
            <w:pPr>
              <w:spacing w:line="360" w:lineRule="auto"/>
              <w:jc w:val="both"/>
              <w:rPr>
                <w:rFonts w:cs="Arial"/>
                <w:b/>
                <w:color w:val="000000"/>
              </w:rPr>
            </w:pPr>
            <w:r w:rsidRPr="002630D9">
              <w:rPr>
                <w:rFonts w:cs="Arial"/>
                <w:b/>
                <w:color w:val="000000"/>
              </w:rPr>
              <w:t>Decision &amp; Reasons Promulgated</w:t>
            </w:r>
          </w:p>
        </w:tc>
      </w:tr>
      <w:tr w:rsidR="004E1E3A" w:rsidRPr="002630D9" w14:paraId="15410466" w14:textId="77777777" w:rsidTr="00953E15">
        <w:tc>
          <w:tcPr>
            <w:tcW w:w="5868" w:type="dxa"/>
          </w:tcPr>
          <w:p w14:paraId="5C49B8B5" w14:textId="6E495EEC" w:rsidR="004E1E3A" w:rsidRPr="002630D9" w:rsidRDefault="004E1E3A" w:rsidP="002630D9">
            <w:pPr>
              <w:spacing w:line="360" w:lineRule="auto"/>
              <w:jc w:val="both"/>
              <w:rPr>
                <w:rFonts w:cs="Arial"/>
                <w:b/>
              </w:rPr>
            </w:pPr>
            <w:r w:rsidRPr="002630D9">
              <w:rPr>
                <w:rFonts w:cs="Arial"/>
                <w:b/>
              </w:rPr>
              <w:t xml:space="preserve">On </w:t>
            </w:r>
            <w:r w:rsidR="00F53CD1">
              <w:rPr>
                <w:rFonts w:cs="Arial"/>
                <w:b/>
              </w:rPr>
              <w:t>18 May</w:t>
            </w:r>
            <w:r w:rsidR="00C671C5">
              <w:rPr>
                <w:rFonts w:cs="Arial"/>
                <w:b/>
              </w:rPr>
              <w:t xml:space="preserve"> </w:t>
            </w:r>
            <w:r>
              <w:rPr>
                <w:rFonts w:cs="Arial"/>
                <w:b/>
              </w:rPr>
              <w:t>201</w:t>
            </w:r>
            <w:r w:rsidR="004C5D11">
              <w:rPr>
                <w:rFonts w:cs="Arial"/>
                <w:b/>
              </w:rPr>
              <w:t>8</w:t>
            </w:r>
          </w:p>
        </w:tc>
        <w:tc>
          <w:tcPr>
            <w:tcW w:w="3960" w:type="dxa"/>
          </w:tcPr>
          <w:p w14:paraId="133FE501" w14:textId="2FDF8B1E" w:rsidR="004E1E3A" w:rsidRPr="002630D9" w:rsidRDefault="002A3A5B" w:rsidP="002630D9">
            <w:pPr>
              <w:spacing w:line="360" w:lineRule="auto"/>
              <w:jc w:val="both"/>
              <w:rPr>
                <w:rFonts w:cs="Arial"/>
                <w:b/>
              </w:rPr>
            </w:pPr>
            <w:r>
              <w:rPr>
                <w:rFonts w:cs="Arial"/>
                <w:b/>
              </w:rPr>
              <w:t>On 25 May 2018</w:t>
            </w:r>
          </w:p>
        </w:tc>
      </w:tr>
      <w:tr w:rsidR="004E1E3A" w:rsidRPr="002630D9" w14:paraId="787C786F" w14:textId="77777777" w:rsidTr="00953E15">
        <w:tc>
          <w:tcPr>
            <w:tcW w:w="5868" w:type="dxa"/>
          </w:tcPr>
          <w:p w14:paraId="7A5276E5" w14:textId="77777777" w:rsidR="004E1E3A" w:rsidRPr="002630D9" w:rsidRDefault="004E1E3A" w:rsidP="002630D9">
            <w:pPr>
              <w:spacing w:line="360" w:lineRule="auto"/>
              <w:jc w:val="both"/>
              <w:rPr>
                <w:rFonts w:cs="Arial"/>
                <w:b/>
              </w:rPr>
            </w:pPr>
          </w:p>
        </w:tc>
        <w:tc>
          <w:tcPr>
            <w:tcW w:w="3960" w:type="dxa"/>
          </w:tcPr>
          <w:p w14:paraId="48A83816" w14:textId="14661175" w:rsidR="004E1E3A" w:rsidRPr="002630D9" w:rsidRDefault="004E1E3A" w:rsidP="002630D9">
            <w:pPr>
              <w:spacing w:line="360" w:lineRule="auto"/>
              <w:jc w:val="both"/>
              <w:rPr>
                <w:rFonts w:cs="Arial"/>
                <w:b/>
              </w:rPr>
            </w:pPr>
          </w:p>
        </w:tc>
      </w:tr>
    </w:tbl>
    <w:p w14:paraId="5F96D222" w14:textId="77777777" w:rsidR="004E1E3A" w:rsidRPr="002630D9" w:rsidRDefault="004E1E3A" w:rsidP="002630D9">
      <w:pPr>
        <w:spacing w:line="360" w:lineRule="auto"/>
        <w:jc w:val="center"/>
        <w:rPr>
          <w:rFonts w:cs="Arial"/>
          <w:b/>
        </w:rPr>
      </w:pPr>
      <w:r w:rsidRPr="002630D9">
        <w:rPr>
          <w:rFonts w:cs="Arial"/>
          <w:b/>
        </w:rPr>
        <w:t>Before</w:t>
      </w:r>
    </w:p>
    <w:p w14:paraId="380849E7" w14:textId="77777777" w:rsidR="004E1E3A" w:rsidRPr="002630D9" w:rsidRDefault="004E1E3A" w:rsidP="002630D9">
      <w:pPr>
        <w:spacing w:line="360" w:lineRule="auto"/>
        <w:jc w:val="center"/>
        <w:rPr>
          <w:rFonts w:cs="Arial"/>
          <w:b/>
          <w:color w:val="000000"/>
        </w:rPr>
      </w:pPr>
      <w:r w:rsidRPr="002630D9">
        <w:rPr>
          <w:rFonts w:cs="Arial"/>
          <w:b/>
          <w:color w:val="000000"/>
        </w:rPr>
        <w:t>UPPER TRIBUNAL JUDGE FINCH</w:t>
      </w:r>
    </w:p>
    <w:p w14:paraId="3D45040C" w14:textId="77777777" w:rsidR="00D5742B" w:rsidRDefault="00D5742B" w:rsidP="002630D9">
      <w:pPr>
        <w:spacing w:line="360" w:lineRule="auto"/>
        <w:jc w:val="center"/>
        <w:rPr>
          <w:rFonts w:cs="Arial"/>
          <w:b/>
        </w:rPr>
      </w:pPr>
    </w:p>
    <w:p w14:paraId="3107FDCF" w14:textId="45AA9C8F" w:rsidR="004E1E3A" w:rsidRDefault="004E1E3A" w:rsidP="002630D9">
      <w:pPr>
        <w:spacing w:line="360" w:lineRule="auto"/>
        <w:jc w:val="center"/>
        <w:rPr>
          <w:rFonts w:cs="Arial"/>
          <w:b/>
        </w:rPr>
      </w:pPr>
      <w:r w:rsidRPr="002630D9">
        <w:rPr>
          <w:rFonts w:cs="Arial"/>
          <w:b/>
        </w:rPr>
        <w:t>Between</w:t>
      </w:r>
    </w:p>
    <w:p w14:paraId="2A9A0FDF" w14:textId="66CBF2B8" w:rsidR="00C671C5" w:rsidRPr="002630D9" w:rsidRDefault="000C4B36" w:rsidP="002630D9">
      <w:pPr>
        <w:spacing w:line="360" w:lineRule="auto"/>
        <w:jc w:val="center"/>
        <w:rPr>
          <w:rFonts w:cs="Arial"/>
          <w:b/>
        </w:rPr>
      </w:pPr>
      <w:proofErr w:type="spellStart"/>
      <w:r>
        <w:rPr>
          <w:rFonts w:cs="Arial"/>
          <w:b/>
        </w:rPr>
        <w:t>Md</w:t>
      </w:r>
      <w:proofErr w:type="spellEnd"/>
      <w:r>
        <w:rPr>
          <w:rFonts w:cs="Arial"/>
          <w:b/>
        </w:rPr>
        <w:t xml:space="preserve"> MUFAZZAL HUSEN</w:t>
      </w:r>
    </w:p>
    <w:p w14:paraId="214D05AA" w14:textId="77777777" w:rsidR="004E1E3A" w:rsidRPr="002630D9" w:rsidRDefault="004E1E3A" w:rsidP="002630D9">
      <w:pPr>
        <w:spacing w:line="360" w:lineRule="auto"/>
        <w:jc w:val="right"/>
        <w:rPr>
          <w:rFonts w:cs="Arial"/>
          <w:u w:val="single"/>
        </w:rPr>
      </w:pPr>
      <w:r w:rsidRPr="002630D9">
        <w:rPr>
          <w:rFonts w:cs="Arial"/>
          <w:u w:val="single"/>
        </w:rPr>
        <w:t>Appellant</w:t>
      </w:r>
    </w:p>
    <w:p w14:paraId="22DF1E3B" w14:textId="77777777" w:rsidR="004E1E3A" w:rsidRDefault="00595102" w:rsidP="002630D9">
      <w:pPr>
        <w:spacing w:line="360" w:lineRule="auto"/>
        <w:jc w:val="center"/>
        <w:rPr>
          <w:rFonts w:cs="Arial"/>
          <w:b/>
        </w:rPr>
      </w:pPr>
      <w:r>
        <w:rPr>
          <w:rFonts w:cs="Arial"/>
          <w:b/>
        </w:rPr>
        <w:t>a</w:t>
      </w:r>
      <w:r w:rsidR="004E1E3A" w:rsidRPr="002630D9">
        <w:rPr>
          <w:rFonts w:cs="Arial"/>
          <w:b/>
        </w:rPr>
        <w:t>nd</w:t>
      </w:r>
    </w:p>
    <w:p w14:paraId="22D3154C" w14:textId="077BA8E2" w:rsidR="004E1E3A" w:rsidRPr="002630D9" w:rsidRDefault="00C671C5" w:rsidP="002630D9">
      <w:pPr>
        <w:spacing w:line="360" w:lineRule="auto"/>
        <w:jc w:val="center"/>
        <w:rPr>
          <w:rFonts w:cs="Arial"/>
          <w:b/>
        </w:rPr>
      </w:pPr>
      <w:r>
        <w:rPr>
          <w:rFonts w:cs="Arial"/>
          <w:b/>
        </w:rPr>
        <w:t xml:space="preserve">SECRETARY OF STATE FOR THE HOME DEPARTMENT </w:t>
      </w:r>
    </w:p>
    <w:p w14:paraId="16E4D95B" w14:textId="77777777" w:rsidR="004E1E3A" w:rsidRPr="002630D9" w:rsidRDefault="004E1E3A" w:rsidP="002630D9">
      <w:pPr>
        <w:spacing w:line="360" w:lineRule="auto"/>
        <w:jc w:val="right"/>
        <w:rPr>
          <w:rFonts w:cs="Arial"/>
          <w:u w:val="single"/>
        </w:rPr>
      </w:pPr>
      <w:r w:rsidRPr="002630D9">
        <w:rPr>
          <w:rFonts w:cs="Arial"/>
          <w:u w:val="single"/>
        </w:rPr>
        <w:t>Respondent</w:t>
      </w:r>
    </w:p>
    <w:p w14:paraId="1A29CA8C" w14:textId="77777777" w:rsidR="00D5742B" w:rsidRDefault="00D5742B" w:rsidP="002630D9">
      <w:pPr>
        <w:spacing w:line="360" w:lineRule="auto"/>
        <w:rPr>
          <w:rFonts w:cs="Arial"/>
          <w:b/>
          <w:u w:val="single"/>
        </w:rPr>
      </w:pPr>
    </w:p>
    <w:p w14:paraId="64733C3E" w14:textId="2859DAC0" w:rsidR="004E1E3A" w:rsidRPr="002630D9" w:rsidRDefault="004E1E3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14:paraId="33DAFB9A" w14:textId="26F83C79" w:rsidR="004E1E3A" w:rsidRPr="002630D9" w:rsidRDefault="004E1E3A" w:rsidP="00D5742B">
      <w:pPr>
        <w:tabs>
          <w:tab w:val="left" w:pos="2552"/>
        </w:tabs>
        <w:spacing w:line="360" w:lineRule="auto"/>
        <w:rPr>
          <w:rFonts w:cs="Arial"/>
        </w:rPr>
      </w:pPr>
      <w:r w:rsidRPr="002630D9">
        <w:rPr>
          <w:rFonts w:cs="Arial"/>
        </w:rPr>
        <w:t>For the Appellant:</w:t>
      </w:r>
      <w:r w:rsidRPr="002630D9">
        <w:rPr>
          <w:rFonts w:cs="Arial"/>
        </w:rPr>
        <w:tab/>
      </w:r>
      <w:r w:rsidR="00CF7E81">
        <w:rPr>
          <w:rFonts w:cs="Arial"/>
        </w:rPr>
        <w:t xml:space="preserve">Mr. G. </w:t>
      </w:r>
      <w:proofErr w:type="spellStart"/>
      <w:r w:rsidR="00CF7E81">
        <w:rPr>
          <w:rFonts w:cs="Arial"/>
        </w:rPr>
        <w:t>O’Ceallaigh</w:t>
      </w:r>
      <w:proofErr w:type="spellEnd"/>
      <w:r w:rsidR="00AA77BE">
        <w:rPr>
          <w:rFonts w:cs="Arial"/>
        </w:rPr>
        <w:t xml:space="preserve">, </w:t>
      </w:r>
      <w:r w:rsidR="00D5742B">
        <w:rPr>
          <w:rFonts w:cs="Arial"/>
        </w:rPr>
        <w:t xml:space="preserve">of counsel, instructed by </w:t>
      </w:r>
      <w:r w:rsidR="005D5462">
        <w:rPr>
          <w:rFonts w:cs="Arial"/>
        </w:rPr>
        <w:t>Solicitors</w:t>
      </w:r>
    </w:p>
    <w:p w14:paraId="72F31E0E" w14:textId="7946689A" w:rsidR="004E1E3A" w:rsidRDefault="004E1E3A" w:rsidP="00D5742B">
      <w:pPr>
        <w:tabs>
          <w:tab w:val="left" w:pos="2552"/>
        </w:tabs>
        <w:spacing w:line="360" w:lineRule="auto"/>
        <w:rPr>
          <w:rFonts w:cs="Arial"/>
        </w:rPr>
      </w:pPr>
      <w:r w:rsidRPr="002630D9">
        <w:rPr>
          <w:rFonts w:cs="Arial"/>
        </w:rPr>
        <w:t>For the Respondent:</w:t>
      </w:r>
      <w:r w:rsidRPr="002630D9">
        <w:rPr>
          <w:rFonts w:cs="Arial"/>
        </w:rPr>
        <w:tab/>
      </w:r>
      <w:r w:rsidR="00CF7E81">
        <w:rPr>
          <w:rFonts w:cs="Arial"/>
        </w:rPr>
        <w:t xml:space="preserve">Mr. L. </w:t>
      </w:r>
      <w:proofErr w:type="spellStart"/>
      <w:r w:rsidR="00CF7E81">
        <w:rPr>
          <w:rFonts w:cs="Arial"/>
        </w:rPr>
        <w:t>Tarlow</w:t>
      </w:r>
      <w:proofErr w:type="spellEnd"/>
      <w:r w:rsidR="00CF7E81">
        <w:rPr>
          <w:rFonts w:cs="Arial"/>
        </w:rPr>
        <w:t>,</w:t>
      </w:r>
      <w:r w:rsidR="00AA77BE">
        <w:rPr>
          <w:rFonts w:cs="Arial"/>
        </w:rPr>
        <w:t xml:space="preserve"> </w:t>
      </w:r>
      <w:r w:rsidR="005D5462">
        <w:rPr>
          <w:rFonts w:cs="Arial"/>
        </w:rPr>
        <w:t>Home Office Presenting Officer</w:t>
      </w:r>
    </w:p>
    <w:p w14:paraId="36A7DFB4" w14:textId="613DD8C7" w:rsidR="00F53CD1" w:rsidRDefault="00F53CD1" w:rsidP="002630D9">
      <w:pPr>
        <w:tabs>
          <w:tab w:val="left" w:pos="2520"/>
        </w:tabs>
        <w:spacing w:line="360" w:lineRule="auto"/>
        <w:rPr>
          <w:rFonts w:cs="Arial"/>
        </w:rPr>
      </w:pPr>
    </w:p>
    <w:p w14:paraId="4C9A93E8" w14:textId="77777777" w:rsidR="004E1E3A" w:rsidRPr="002630D9" w:rsidRDefault="004E1E3A" w:rsidP="002630D9">
      <w:pPr>
        <w:spacing w:line="360" w:lineRule="auto"/>
        <w:jc w:val="center"/>
        <w:rPr>
          <w:rFonts w:cs="Arial"/>
        </w:rPr>
      </w:pPr>
      <w:r w:rsidRPr="002630D9">
        <w:rPr>
          <w:rFonts w:cs="Arial"/>
          <w:b/>
          <w:u w:val="single"/>
        </w:rPr>
        <w:t>DECISION AND REASONS</w:t>
      </w:r>
    </w:p>
    <w:p w14:paraId="2B8C6297" w14:textId="77777777" w:rsidR="004E1E3A" w:rsidRPr="00303BAF" w:rsidRDefault="004E1E3A" w:rsidP="002630D9">
      <w:pPr>
        <w:spacing w:line="360" w:lineRule="auto"/>
        <w:jc w:val="both"/>
        <w:rPr>
          <w:rFonts w:cs="Arial"/>
          <w:b/>
        </w:rPr>
      </w:pPr>
      <w:r>
        <w:rPr>
          <w:rFonts w:cs="Arial"/>
          <w:b/>
        </w:rPr>
        <w:t xml:space="preserve">                                                                                                                                                                                                                                                                                                                                                                                                                                                            </w:t>
      </w:r>
    </w:p>
    <w:p w14:paraId="43AF1226" w14:textId="77777777" w:rsidR="004E1E3A" w:rsidRPr="009D341B" w:rsidRDefault="004E1E3A" w:rsidP="002630D9">
      <w:pPr>
        <w:spacing w:line="360" w:lineRule="auto"/>
        <w:jc w:val="both"/>
        <w:rPr>
          <w:rFonts w:cs="Arial"/>
          <w:b/>
        </w:rPr>
      </w:pPr>
      <w:r w:rsidRPr="009D341B">
        <w:rPr>
          <w:rFonts w:cs="Arial"/>
          <w:b/>
        </w:rPr>
        <w:t xml:space="preserve">BACKGROUND TO THE APPEAL </w:t>
      </w:r>
    </w:p>
    <w:p w14:paraId="2E5806BC" w14:textId="77777777" w:rsidR="004E1E3A" w:rsidRPr="002630D9" w:rsidRDefault="004E1E3A" w:rsidP="002630D9">
      <w:pPr>
        <w:spacing w:line="360" w:lineRule="auto"/>
        <w:jc w:val="both"/>
        <w:rPr>
          <w:rFonts w:cs="Arial"/>
        </w:rPr>
      </w:pPr>
    </w:p>
    <w:p w14:paraId="0207265A" w14:textId="518FDDDA" w:rsidR="004E1E3A" w:rsidRPr="001107AD" w:rsidRDefault="004E1E3A" w:rsidP="002630D9">
      <w:pPr>
        <w:spacing w:line="360" w:lineRule="auto"/>
        <w:ind w:left="567" w:hanging="567"/>
        <w:jc w:val="both"/>
        <w:rPr>
          <w:rFonts w:cs="Arial"/>
          <w:b/>
        </w:rPr>
      </w:pPr>
      <w:r w:rsidRPr="002630D9">
        <w:rPr>
          <w:rFonts w:cs="Arial"/>
        </w:rPr>
        <w:t>1.</w:t>
      </w:r>
      <w:r w:rsidRPr="002630D9">
        <w:rPr>
          <w:rFonts w:cs="Arial"/>
        </w:rPr>
        <w:tab/>
        <w:t xml:space="preserve">The </w:t>
      </w:r>
      <w:r w:rsidR="00C671C5">
        <w:rPr>
          <w:rFonts w:cs="Arial"/>
        </w:rPr>
        <w:t>Appellant</w:t>
      </w:r>
      <w:r>
        <w:rPr>
          <w:rFonts w:cs="Arial"/>
        </w:rPr>
        <w:t xml:space="preserve">, who was </w:t>
      </w:r>
      <w:r w:rsidRPr="002630D9">
        <w:rPr>
          <w:rFonts w:cs="Arial"/>
        </w:rPr>
        <w:t xml:space="preserve">born </w:t>
      </w:r>
      <w:r>
        <w:rPr>
          <w:rFonts w:cs="Arial"/>
        </w:rPr>
        <w:t xml:space="preserve">on </w:t>
      </w:r>
      <w:r w:rsidR="000C4B36">
        <w:rPr>
          <w:rFonts w:cs="Arial"/>
        </w:rPr>
        <w:t>12 August 1983</w:t>
      </w:r>
      <w:r w:rsidR="005D5462">
        <w:rPr>
          <w:rFonts w:cs="Arial"/>
        </w:rPr>
        <w:t xml:space="preserve">, is </w:t>
      </w:r>
      <w:r>
        <w:rPr>
          <w:rFonts w:cs="Arial"/>
        </w:rPr>
        <w:t>a national of</w:t>
      </w:r>
      <w:r w:rsidR="00595102">
        <w:rPr>
          <w:rFonts w:cs="Arial"/>
        </w:rPr>
        <w:t xml:space="preserve"> </w:t>
      </w:r>
      <w:r w:rsidR="000C4B36">
        <w:rPr>
          <w:rFonts w:cs="Arial"/>
        </w:rPr>
        <w:t>Bangladesh</w:t>
      </w:r>
      <w:r w:rsidR="005D5462">
        <w:rPr>
          <w:rFonts w:cs="Arial"/>
        </w:rPr>
        <w:t xml:space="preserve">. </w:t>
      </w:r>
    </w:p>
    <w:p w14:paraId="67570C2E" w14:textId="77777777" w:rsidR="004E1E3A" w:rsidRDefault="004E1E3A" w:rsidP="002630D9">
      <w:pPr>
        <w:spacing w:line="360" w:lineRule="auto"/>
        <w:ind w:left="567" w:hanging="567"/>
        <w:jc w:val="both"/>
        <w:rPr>
          <w:rFonts w:cs="Arial"/>
        </w:rPr>
      </w:pPr>
    </w:p>
    <w:p w14:paraId="117B377A" w14:textId="547B0B8F" w:rsidR="00B84A71" w:rsidRDefault="004E1E3A" w:rsidP="002630D9">
      <w:pPr>
        <w:spacing w:line="360" w:lineRule="auto"/>
        <w:ind w:left="567" w:hanging="567"/>
        <w:jc w:val="both"/>
        <w:rPr>
          <w:rFonts w:cs="Arial"/>
        </w:rPr>
      </w:pPr>
      <w:r>
        <w:rPr>
          <w:rFonts w:cs="Arial"/>
        </w:rPr>
        <w:lastRenderedPageBreak/>
        <w:t>2.</w:t>
      </w:r>
      <w:r>
        <w:rPr>
          <w:rFonts w:cs="Arial"/>
        </w:rPr>
        <w:tab/>
      </w:r>
      <w:r w:rsidR="005D5462">
        <w:rPr>
          <w:rFonts w:cs="Arial"/>
        </w:rPr>
        <w:t>The App</w:t>
      </w:r>
      <w:r w:rsidR="000C4B36">
        <w:rPr>
          <w:rFonts w:cs="Arial"/>
        </w:rPr>
        <w:t xml:space="preserve">ellant </w:t>
      </w:r>
      <w:r w:rsidR="00723084">
        <w:rPr>
          <w:rFonts w:cs="Arial"/>
        </w:rPr>
        <w:t>applied for leave to remain as a Tier 4 (General) Student on 17 December 2012</w:t>
      </w:r>
      <w:r w:rsidR="0059557A">
        <w:rPr>
          <w:rFonts w:cs="Arial"/>
        </w:rPr>
        <w:t xml:space="preserve">. </w:t>
      </w:r>
      <w:r w:rsidR="00B84A71">
        <w:rPr>
          <w:rFonts w:cs="Arial"/>
        </w:rPr>
        <w:t xml:space="preserve"> </w:t>
      </w:r>
      <w:r w:rsidR="00723084">
        <w:rPr>
          <w:rFonts w:cs="Arial"/>
        </w:rPr>
        <w:t xml:space="preserve">His application was refused on 3 July 2012 and again on 19 June 2013. This decision was withdrawn before the First-tier Tribunal in Newport on 13 November 2013. The Respondent made a further decision to refuse the Appellant’s application on 4 September 2015. The Appellant appealed and his appeal was heard by First-tier Tribunal Judge Russell, who </w:t>
      </w:r>
      <w:r w:rsidR="00C31242">
        <w:rPr>
          <w:rFonts w:cs="Arial"/>
        </w:rPr>
        <w:t xml:space="preserve">allowed his appeal in a decision, promulgated on 27 September 2016. </w:t>
      </w:r>
    </w:p>
    <w:p w14:paraId="0F774D63" w14:textId="6EE08523" w:rsidR="00C31242" w:rsidRDefault="00C31242" w:rsidP="002630D9">
      <w:pPr>
        <w:spacing w:line="360" w:lineRule="auto"/>
        <w:ind w:left="567" w:hanging="567"/>
        <w:jc w:val="both"/>
        <w:rPr>
          <w:rFonts w:cs="Arial"/>
        </w:rPr>
      </w:pPr>
    </w:p>
    <w:p w14:paraId="36607611" w14:textId="657D8EFE" w:rsidR="00C31242" w:rsidRDefault="00C31242" w:rsidP="002630D9">
      <w:pPr>
        <w:spacing w:line="360" w:lineRule="auto"/>
        <w:ind w:left="567" w:hanging="567"/>
        <w:jc w:val="both"/>
        <w:rPr>
          <w:rFonts w:cs="Arial"/>
        </w:rPr>
      </w:pPr>
      <w:r>
        <w:rPr>
          <w:rFonts w:cs="Arial"/>
        </w:rPr>
        <w:t>3.</w:t>
      </w:r>
      <w:r>
        <w:rPr>
          <w:rFonts w:cs="Arial"/>
        </w:rPr>
        <w:tab/>
        <w:t xml:space="preserve">The Respondent appealed against this decision and First-tier Tribunal Judge </w:t>
      </w:r>
      <w:proofErr w:type="spellStart"/>
      <w:r>
        <w:rPr>
          <w:rFonts w:cs="Arial"/>
        </w:rPr>
        <w:t>Shimmin</w:t>
      </w:r>
      <w:proofErr w:type="spellEnd"/>
      <w:r>
        <w:rPr>
          <w:rFonts w:cs="Arial"/>
        </w:rPr>
        <w:t xml:space="preserve"> granted her permission to appeal on 17 January 2017. The appeal came before Upper Tribunal Judge </w:t>
      </w:r>
      <w:proofErr w:type="spellStart"/>
      <w:r>
        <w:rPr>
          <w:rFonts w:cs="Arial"/>
        </w:rPr>
        <w:t>McWillliam</w:t>
      </w:r>
      <w:proofErr w:type="spellEnd"/>
      <w:r>
        <w:rPr>
          <w:rFonts w:cs="Arial"/>
        </w:rPr>
        <w:t xml:space="preserve"> and she allowed the Respondent’s appeal and remitted it to the First-tier Tribunal. First-tier Tribunal Judge Thorne refused the Appellant’s appeal in a decision promulgated on 19 September 2017.</w:t>
      </w:r>
    </w:p>
    <w:p w14:paraId="3F0C09FA" w14:textId="77777777" w:rsidR="004E1E3A" w:rsidRDefault="00FE7A43" w:rsidP="002630D9">
      <w:pPr>
        <w:spacing w:line="360" w:lineRule="auto"/>
        <w:ind w:left="567" w:hanging="567"/>
        <w:jc w:val="both"/>
        <w:rPr>
          <w:rFonts w:cs="Arial"/>
        </w:rPr>
      </w:pPr>
      <w:r>
        <w:rPr>
          <w:rFonts w:cs="Arial"/>
        </w:rPr>
        <w:t xml:space="preserve"> </w:t>
      </w:r>
    </w:p>
    <w:p w14:paraId="4BE7A0AC" w14:textId="213E179A" w:rsidR="004E1E3A" w:rsidRDefault="001B091F" w:rsidP="002630D9">
      <w:pPr>
        <w:spacing w:line="360" w:lineRule="auto"/>
        <w:ind w:left="567" w:hanging="567"/>
        <w:jc w:val="both"/>
        <w:rPr>
          <w:rFonts w:cs="Arial"/>
        </w:rPr>
      </w:pPr>
      <w:r>
        <w:rPr>
          <w:rFonts w:cs="Arial"/>
        </w:rPr>
        <w:t>3</w:t>
      </w:r>
      <w:r w:rsidR="004E1E3A">
        <w:rPr>
          <w:rFonts w:cs="Arial"/>
        </w:rPr>
        <w:t>.</w:t>
      </w:r>
      <w:r w:rsidR="004E1E3A">
        <w:rPr>
          <w:rFonts w:cs="Arial"/>
        </w:rPr>
        <w:tab/>
      </w:r>
      <w:r w:rsidR="00174D95">
        <w:rPr>
          <w:rFonts w:cs="Arial"/>
        </w:rPr>
        <w:t xml:space="preserve">The </w:t>
      </w:r>
      <w:r w:rsidR="00B84A71">
        <w:rPr>
          <w:rFonts w:cs="Arial"/>
        </w:rPr>
        <w:t xml:space="preserve">Appellant appealed </w:t>
      </w:r>
      <w:r w:rsidR="0059557A">
        <w:rPr>
          <w:rFonts w:cs="Arial"/>
        </w:rPr>
        <w:t>against this decision and F</w:t>
      </w:r>
      <w:r w:rsidR="00871EC2">
        <w:rPr>
          <w:rFonts w:cs="Arial"/>
        </w:rPr>
        <w:t xml:space="preserve">irst-tier Tribunal Judge </w:t>
      </w:r>
      <w:r w:rsidR="0059557A">
        <w:rPr>
          <w:rFonts w:cs="Arial"/>
        </w:rPr>
        <w:t>M</w:t>
      </w:r>
      <w:r w:rsidR="00723084">
        <w:rPr>
          <w:rFonts w:cs="Arial"/>
        </w:rPr>
        <w:t>cCarthy</w:t>
      </w:r>
      <w:r w:rsidR="00B84A71">
        <w:rPr>
          <w:rFonts w:cs="Arial"/>
        </w:rPr>
        <w:t xml:space="preserve"> granted h</w:t>
      </w:r>
      <w:r w:rsidR="0059557A">
        <w:rPr>
          <w:rFonts w:cs="Arial"/>
        </w:rPr>
        <w:t>im</w:t>
      </w:r>
      <w:r w:rsidR="00B84A71">
        <w:rPr>
          <w:rFonts w:cs="Arial"/>
        </w:rPr>
        <w:t xml:space="preserve"> permission to appeal on </w:t>
      </w:r>
      <w:r w:rsidR="00723084">
        <w:rPr>
          <w:rFonts w:cs="Arial"/>
        </w:rPr>
        <w:t>13 March</w:t>
      </w:r>
      <w:r w:rsidR="0059557A">
        <w:rPr>
          <w:rFonts w:cs="Arial"/>
        </w:rPr>
        <w:t xml:space="preserve"> 2018.</w:t>
      </w:r>
    </w:p>
    <w:p w14:paraId="100BD30F" w14:textId="77777777" w:rsidR="004E1E3A" w:rsidRDefault="004E1E3A" w:rsidP="002630D9">
      <w:pPr>
        <w:spacing w:line="360" w:lineRule="auto"/>
        <w:ind w:left="567" w:hanging="567"/>
        <w:jc w:val="both"/>
        <w:rPr>
          <w:rFonts w:cs="Arial"/>
        </w:rPr>
      </w:pPr>
    </w:p>
    <w:p w14:paraId="30ACA17E" w14:textId="77777777" w:rsidR="004E1E3A" w:rsidRPr="009D341B" w:rsidRDefault="004E1E3A" w:rsidP="002630D9">
      <w:pPr>
        <w:spacing w:line="360" w:lineRule="auto"/>
        <w:ind w:left="567" w:hanging="567"/>
        <w:jc w:val="both"/>
        <w:rPr>
          <w:rFonts w:cs="Arial"/>
          <w:b/>
        </w:rPr>
      </w:pPr>
      <w:r w:rsidRPr="009D341B">
        <w:rPr>
          <w:rFonts w:cs="Arial"/>
          <w:b/>
        </w:rPr>
        <w:t xml:space="preserve">ERROR OF LAW HEARING </w:t>
      </w:r>
    </w:p>
    <w:p w14:paraId="69BC3DB5" w14:textId="77777777" w:rsidR="004E1E3A" w:rsidRDefault="004E1E3A" w:rsidP="002630D9">
      <w:pPr>
        <w:spacing w:line="360" w:lineRule="auto"/>
        <w:ind w:left="567" w:hanging="567"/>
        <w:jc w:val="both"/>
        <w:rPr>
          <w:rFonts w:cs="Arial"/>
        </w:rPr>
      </w:pPr>
    </w:p>
    <w:p w14:paraId="759827E9" w14:textId="044B6FAF" w:rsidR="004E1E3A" w:rsidRDefault="001B091F" w:rsidP="002630D9">
      <w:pPr>
        <w:spacing w:line="360" w:lineRule="auto"/>
        <w:ind w:left="567" w:hanging="567"/>
        <w:jc w:val="both"/>
        <w:rPr>
          <w:rFonts w:cs="Arial"/>
        </w:rPr>
      </w:pPr>
      <w:r>
        <w:rPr>
          <w:rFonts w:cs="Arial"/>
        </w:rPr>
        <w:t>4</w:t>
      </w:r>
      <w:r w:rsidR="0007473F">
        <w:rPr>
          <w:rFonts w:cs="Arial"/>
        </w:rPr>
        <w:t>.</w:t>
      </w:r>
      <w:r w:rsidR="0007473F">
        <w:rPr>
          <w:rFonts w:cs="Arial"/>
        </w:rPr>
        <w:tab/>
      </w:r>
      <w:r w:rsidR="004E1E3A">
        <w:rPr>
          <w:rFonts w:cs="Arial"/>
        </w:rPr>
        <w:t xml:space="preserve">Both counsel for the </w:t>
      </w:r>
      <w:r w:rsidR="0059557A">
        <w:rPr>
          <w:rFonts w:cs="Arial"/>
        </w:rPr>
        <w:t xml:space="preserve">Appellant and the Home Office Presenting Officer </w:t>
      </w:r>
      <w:r w:rsidR="004E1E3A">
        <w:rPr>
          <w:rFonts w:cs="Arial"/>
        </w:rPr>
        <w:t xml:space="preserve">made oral submissions and I have referred to the content of these submissions, where relevant, in my decision below.  </w:t>
      </w:r>
      <w:r w:rsidR="00DE1121">
        <w:rPr>
          <w:rFonts w:cs="Arial"/>
        </w:rPr>
        <w:t xml:space="preserve">In particular, the Home Office Presenting Officer submitted that, although the First-tier Tribunal Judge’s findings were short,  he had applied the law correctly. </w:t>
      </w:r>
    </w:p>
    <w:p w14:paraId="694009B5" w14:textId="77777777" w:rsidR="004E1E3A" w:rsidRDefault="004E1E3A" w:rsidP="00590558">
      <w:pPr>
        <w:spacing w:line="360" w:lineRule="auto"/>
        <w:ind w:left="567" w:hanging="567"/>
        <w:jc w:val="both"/>
        <w:rPr>
          <w:rFonts w:cs="Arial"/>
          <w:b/>
        </w:rPr>
      </w:pPr>
    </w:p>
    <w:p w14:paraId="58C14C87" w14:textId="77777777" w:rsidR="004E1E3A" w:rsidRDefault="00433ABB" w:rsidP="00590558">
      <w:pPr>
        <w:spacing w:line="360" w:lineRule="auto"/>
        <w:ind w:left="567" w:hanging="567"/>
        <w:jc w:val="both"/>
        <w:rPr>
          <w:rFonts w:cs="Arial"/>
          <w:b/>
        </w:rPr>
      </w:pPr>
      <w:r>
        <w:rPr>
          <w:rFonts w:cs="Arial"/>
          <w:b/>
        </w:rPr>
        <w:t xml:space="preserve">ERROR OF LAW </w:t>
      </w:r>
      <w:r w:rsidR="004E1E3A" w:rsidRPr="009D341B">
        <w:rPr>
          <w:rFonts w:cs="Arial"/>
          <w:b/>
        </w:rPr>
        <w:t xml:space="preserve">DECISION </w:t>
      </w:r>
    </w:p>
    <w:p w14:paraId="0AA1C6D7" w14:textId="77777777" w:rsidR="004E1E3A" w:rsidRPr="00590558" w:rsidRDefault="004E1E3A" w:rsidP="00590558">
      <w:pPr>
        <w:spacing w:line="360" w:lineRule="auto"/>
        <w:ind w:left="567" w:hanging="567"/>
        <w:jc w:val="both"/>
        <w:rPr>
          <w:rFonts w:cs="Arial"/>
          <w:b/>
        </w:rPr>
      </w:pPr>
    </w:p>
    <w:p w14:paraId="7E6928BE" w14:textId="0647836B" w:rsidR="00723084" w:rsidRDefault="001B091F" w:rsidP="0059557A">
      <w:pPr>
        <w:spacing w:line="360" w:lineRule="auto"/>
        <w:ind w:left="567" w:hanging="567"/>
        <w:jc w:val="both"/>
        <w:rPr>
          <w:rFonts w:cs="Arial"/>
        </w:rPr>
      </w:pPr>
      <w:r>
        <w:rPr>
          <w:rFonts w:cs="Arial"/>
        </w:rPr>
        <w:t>5</w:t>
      </w:r>
      <w:r w:rsidR="004E1E3A">
        <w:rPr>
          <w:rFonts w:cs="Arial"/>
        </w:rPr>
        <w:t>.</w:t>
      </w:r>
      <w:r w:rsidR="004E1E3A">
        <w:rPr>
          <w:rFonts w:cs="Arial"/>
        </w:rPr>
        <w:tab/>
      </w:r>
      <w:r w:rsidR="00723084">
        <w:rPr>
          <w:rFonts w:cs="Arial"/>
        </w:rPr>
        <w:t xml:space="preserve">At a previous hearing before First-tier Tribunal Judge Russell on 8 September 2016, the Respondent said that he no longer relied on the ground of refusal which related to a bank statement and letter from the NCC Bank. Therefore, the issue before First-tier Tribunal Judge Thorne was whether </w:t>
      </w:r>
      <w:r w:rsidR="009C4929">
        <w:rPr>
          <w:rFonts w:cs="Arial"/>
        </w:rPr>
        <w:t>the Appellant had relied on TOEIC test</w:t>
      </w:r>
      <w:r w:rsidR="00F53CD1">
        <w:rPr>
          <w:rFonts w:cs="Arial"/>
        </w:rPr>
        <w:t>s</w:t>
      </w:r>
      <w:r w:rsidR="009C4929">
        <w:rPr>
          <w:rFonts w:cs="Arial"/>
        </w:rPr>
        <w:t xml:space="preserve"> issued by ETS test which had been taken by proxy. </w:t>
      </w:r>
    </w:p>
    <w:p w14:paraId="5C827C66" w14:textId="77777777" w:rsidR="00723084" w:rsidRDefault="00723084" w:rsidP="0059557A">
      <w:pPr>
        <w:spacing w:line="360" w:lineRule="auto"/>
        <w:ind w:left="567" w:hanging="567"/>
        <w:jc w:val="both"/>
        <w:rPr>
          <w:rFonts w:cs="Arial"/>
        </w:rPr>
      </w:pPr>
    </w:p>
    <w:p w14:paraId="73FF6871" w14:textId="770E7808" w:rsidR="00817D48" w:rsidRDefault="00817D48" w:rsidP="0059557A">
      <w:pPr>
        <w:spacing w:line="360" w:lineRule="auto"/>
        <w:ind w:left="567" w:hanging="567"/>
        <w:jc w:val="both"/>
        <w:rPr>
          <w:rFonts w:cs="Arial"/>
        </w:rPr>
      </w:pPr>
      <w:r>
        <w:rPr>
          <w:rFonts w:cs="Arial"/>
        </w:rPr>
        <w:t>6.</w:t>
      </w:r>
      <w:r>
        <w:rPr>
          <w:rFonts w:cs="Arial"/>
        </w:rPr>
        <w:tab/>
      </w:r>
      <w:r w:rsidR="00CC42D4">
        <w:rPr>
          <w:rFonts w:cs="Arial"/>
        </w:rPr>
        <w:t xml:space="preserve"> </w:t>
      </w:r>
      <w:r w:rsidR="008E284D">
        <w:rPr>
          <w:rFonts w:cs="Arial"/>
        </w:rPr>
        <w:t xml:space="preserve">In paragraph </w:t>
      </w:r>
      <w:r w:rsidR="003D6980">
        <w:rPr>
          <w:rFonts w:cs="Arial"/>
        </w:rPr>
        <w:t xml:space="preserve">48 of his decision, First-tier Tribunal Judge Thorne correctly stated that he had to apply the approach set out in </w:t>
      </w:r>
      <w:r w:rsidR="003D6980">
        <w:rPr>
          <w:rFonts w:cs="Arial"/>
          <w:i/>
        </w:rPr>
        <w:t xml:space="preserve">Shehzad and Another v Secretary of State for the Home Department </w:t>
      </w:r>
      <w:r w:rsidR="003D6980">
        <w:rPr>
          <w:rFonts w:cs="Arial"/>
        </w:rPr>
        <w:t xml:space="preserve">[2016] EWCA </w:t>
      </w:r>
      <w:proofErr w:type="spellStart"/>
      <w:r w:rsidR="003D6980">
        <w:rPr>
          <w:rFonts w:cs="Arial"/>
        </w:rPr>
        <w:t>Civ</w:t>
      </w:r>
      <w:proofErr w:type="spellEnd"/>
      <w:r w:rsidR="003D6980">
        <w:rPr>
          <w:rFonts w:cs="Arial"/>
        </w:rPr>
        <w:t xml:space="preserve"> 615. He added that this meant that the Secretary of State bore </w:t>
      </w:r>
      <w:r w:rsidR="003D6980">
        <w:rPr>
          <w:rFonts w:cs="Arial"/>
        </w:rPr>
        <w:lastRenderedPageBreak/>
        <w:t xml:space="preserve">the initial evidential burden of establishing that the Appellant had used deception and that then the burden passed to the individual concerned to provide a plausible innocent explanation for the evidence which appeared to show that he had used deception. </w:t>
      </w:r>
    </w:p>
    <w:p w14:paraId="011FB89B" w14:textId="38F9C2CA" w:rsidR="00900FBA" w:rsidRDefault="00900FBA" w:rsidP="0059557A">
      <w:pPr>
        <w:spacing w:line="360" w:lineRule="auto"/>
        <w:ind w:left="567" w:hanging="567"/>
        <w:jc w:val="both"/>
        <w:rPr>
          <w:rFonts w:cs="Arial"/>
        </w:rPr>
      </w:pPr>
    </w:p>
    <w:p w14:paraId="60B286DD" w14:textId="2A9214F1" w:rsidR="00900FBA" w:rsidRPr="00F47228" w:rsidRDefault="00900FBA" w:rsidP="0059557A">
      <w:pPr>
        <w:spacing w:line="360" w:lineRule="auto"/>
        <w:ind w:left="567" w:hanging="567"/>
        <w:jc w:val="both"/>
        <w:rPr>
          <w:rFonts w:cs="Arial"/>
        </w:rPr>
      </w:pPr>
      <w:r>
        <w:rPr>
          <w:rFonts w:cs="Arial"/>
        </w:rPr>
        <w:t>7.</w:t>
      </w:r>
      <w:r>
        <w:rPr>
          <w:rFonts w:cs="Arial"/>
        </w:rPr>
        <w:tab/>
        <w:t xml:space="preserve">The case law relied upon by the </w:t>
      </w:r>
      <w:r w:rsidR="00F47228">
        <w:rPr>
          <w:rFonts w:cs="Arial"/>
        </w:rPr>
        <w:t xml:space="preserve">Appellant in ground one of his grounds of appeal does not undermine reliance on </w:t>
      </w:r>
      <w:r w:rsidR="00F47228">
        <w:rPr>
          <w:rFonts w:cs="Arial"/>
          <w:i/>
        </w:rPr>
        <w:t xml:space="preserve">Shehzad and Others </w:t>
      </w:r>
      <w:r w:rsidR="00F47228">
        <w:rPr>
          <w:rFonts w:cs="Arial"/>
        </w:rPr>
        <w:t>as in paragraph three of that judgement Lord Justice Beatson noted that:</w:t>
      </w:r>
    </w:p>
    <w:p w14:paraId="26F125CD" w14:textId="30997C54" w:rsidR="00F47228" w:rsidRDefault="00F47228" w:rsidP="00D5742B">
      <w:pPr>
        <w:spacing w:before="120" w:after="120" w:line="360" w:lineRule="auto"/>
        <w:ind w:left="1134" w:right="567"/>
        <w:jc w:val="both"/>
        <w:rPr>
          <w:color w:val="000000"/>
        </w:rPr>
      </w:pPr>
      <w:r>
        <w:rPr>
          <w:rFonts w:cs="Arial"/>
        </w:rPr>
        <w:t>“</w:t>
      </w:r>
      <w:bookmarkStart w:id="1" w:name="para3"/>
      <w:r w:rsidRPr="00F47228">
        <w:rPr>
          <w:color w:val="000000"/>
        </w:rPr>
        <w:t xml:space="preserve">It is common ground that for a decision to be made under paragraph 322(1A) there must be material justifying a conclusion that the individual under consideration has lied or submitted a false document. It is also common ground that the Secretary of State bears the initial burden of furnishing proof of deception, and that this burden is an "evidential burden". That means that, if the Secretary of State provides </w:t>
      </w:r>
      <w:r w:rsidRPr="00F47228">
        <w:rPr>
          <w:i/>
          <w:iCs/>
          <w:color w:val="000000"/>
        </w:rPr>
        <w:t xml:space="preserve">prima facie </w:t>
      </w:r>
      <w:r w:rsidRPr="00F47228">
        <w:rPr>
          <w:color w:val="000000"/>
        </w:rPr>
        <w:t xml:space="preserve">evidence of deception, the burden "shifts" onto the individual to provide a plausible innocent explanation, and that if the individual does so the burden "shifts back" to the Secretary of State: see </w:t>
      </w:r>
      <w:r w:rsidRPr="00F47228">
        <w:rPr>
          <w:i/>
          <w:iCs/>
          <w:color w:val="000000"/>
        </w:rPr>
        <w:t xml:space="preserve">Shen (paper appeals: proving dishonesty) </w:t>
      </w:r>
      <w:r w:rsidRPr="00F47228">
        <w:rPr>
          <w:color w:val="000000"/>
        </w:rPr>
        <w:t xml:space="preserve">[2014] UKUT 00236 (IAC) at [22] and [25] and </w:t>
      </w:r>
      <w:proofErr w:type="spellStart"/>
      <w:r w:rsidRPr="00F47228">
        <w:rPr>
          <w:i/>
          <w:iCs/>
          <w:color w:val="000000"/>
        </w:rPr>
        <w:t>Muhandiramge</w:t>
      </w:r>
      <w:proofErr w:type="spellEnd"/>
      <w:r w:rsidRPr="00F47228">
        <w:rPr>
          <w:i/>
          <w:iCs/>
          <w:color w:val="000000"/>
        </w:rPr>
        <w:t xml:space="preserve"> (section S-LTR 1.7) </w:t>
      </w:r>
      <w:bookmarkEnd w:id="1"/>
      <w:r w:rsidRPr="00F47228">
        <w:rPr>
          <w:color w:val="000000"/>
        </w:rPr>
        <w:fldChar w:fldCharType="begin"/>
      </w:r>
      <w:r w:rsidRPr="00F47228">
        <w:rPr>
          <w:color w:val="000000"/>
        </w:rPr>
        <w:instrText xml:space="preserve"> HYPERLINK "http://www.bailii.org/uk/cases/UKUT/IAC/2015/675.html" \o "Link to BAILII version" </w:instrText>
      </w:r>
      <w:r w:rsidRPr="00F47228">
        <w:rPr>
          <w:color w:val="000000"/>
        </w:rPr>
        <w:fldChar w:fldCharType="separate"/>
      </w:r>
      <w:r w:rsidRPr="00F47228">
        <w:rPr>
          <w:color w:val="0000FF"/>
          <w:u w:val="single"/>
        </w:rPr>
        <w:t>[2015] UKUT 675</w:t>
      </w:r>
      <w:r w:rsidRPr="00F47228">
        <w:rPr>
          <w:color w:val="000000"/>
        </w:rPr>
        <w:fldChar w:fldCharType="end"/>
      </w:r>
      <w:r w:rsidRPr="00F47228">
        <w:rPr>
          <w:color w:val="000000"/>
        </w:rPr>
        <w:t xml:space="preserve"> at [10]. As to the standard of proof, the civil standard of proof applies to this question. The approach in </w:t>
      </w:r>
      <w:r w:rsidRPr="00F47228">
        <w:rPr>
          <w:i/>
          <w:iCs/>
          <w:color w:val="000000"/>
        </w:rPr>
        <w:t xml:space="preserve">Re B (Children) </w:t>
      </w:r>
      <w:hyperlink r:id="rId8" w:tooltip="Link to BAILII version" w:history="1">
        <w:r w:rsidRPr="00F47228">
          <w:rPr>
            <w:color w:val="0000FF"/>
            <w:u w:val="single"/>
          </w:rPr>
          <w:t>[2008] UKHL 35</w:t>
        </w:r>
      </w:hyperlink>
      <w:r w:rsidRPr="00F47228">
        <w:rPr>
          <w:color w:val="000000"/>
        </w:rPr>
        <w:t xml:space="preserve">, </w:t>
      </w:r>
      <w:hyperlink r:id="rId9" w:tooltip="Link to BAILII version" w:history="1">
        <w:r w:rsidRPr="00F47228">
          <w:rPr>
            <w:color w:val="0000FF"/>
            <w:u w:val="single"/>
          </w:rPr>
          <w:t>[2009] 1 AC 11</w:t>
        </w:r>
      </w:hyperlink>
      <w:r w:rsidRPr="00F47228">
        <w:rPr>
          <w:color w:val="000000"/>
        </w:rPr>
        <w:t xml:space="preserve"> to the standard of proof required to establish that a child "is likely to suffer significant harm" under section 31(2) of the Children Act 1989 is of relevance in the present context. It was held in that case that the standard required is the balance of probabilities. Baroness Hale stated (at [70]) that "neither the seriousness of the allegation nor the seriousness of the consequences should make any difference to the standard of proof to be applied in determining the facts. The inherent probabilities are simply something to be taken into account, where relevant, in deciding where the truth lies." </w:t>
      </w:r>
    </w:p>
    <w:p w14:paraId="0161A81D" w14:textId="5A5AE28B" w:rsidR="00F47228" w:rsidRDefault="00F47228" w:rsidP="00F47228">
      <w:pPr>
        <w:spacing w:line="360" w:lineRule="auto"/>
        <w:ind w:left="567" w:hanging="567"/>
        <w:jc w:val="both"/>
        <w:rPr>
          <w:color w:val="000000"/>
        </w:rPr>
      </w:pPr>
      <w:r>
        <w:rPr>
          <w:color w:val="000000"/>
        </w:rPr>
        <w:t>8.</w:t>
      </w:r>
      <w:r>
        <w:rPr>
          <w:color w:val="000000"/>
        </w:rPr>
        <w:tab/>
        <w:t xml:space="preserve">First-tier Tribunal Judge Thorne did not accept that the Appellant had provided an innocent explanation for the evidence relied upon by the Respondent and, therefore, it was not necessary for him to move on to </w:t>
      </w:r>
      <w:r w:rsidR="00F53CD1">
        <w:rPr>
          <w:color w:val="000000"/>
        </w:rPr>
        <w:t>“</w:t>
      </w:r>
      <w:r>
        <w:rPr>
          <w:color w:val="000000"/>
        </w:rPr>
        <w:t>the third stage</w:t>
      </w:r>
      <w:r w:rsidR="00F53CD1">
        <w:rPr>
          <w:color w:val="000000"/>
        </w:rPr>
        <w:t>”</w:t>
      </w:r>
      <w:r>
        <w:rPr>
          <w:color w:val="000000"/>
        </w:rPr>
        <w:t xml:space="preserve"> of any application of the burden of proof. It is also clear from this paragraph that no heightened</w:t>
      </w:r>
      <w:r w:rsidR="00F53CD1">
        <w:rPr>
          <w:color w:val="000000"/>
        </w:rPr>
        <w:t xml:space="preserve"> civil </w:t>
      </w:r>
      <w:r>
        <w:rPr>
          <w:color w:val="000000"/>
        </w:rPr>
        <w:t xml:space="preserve">standard of proof applies. </w:t>
      </w:r>
    </w:p>
    <w:p w14:paraId="28C83E81" w14:textId="2512B5D4" w:rsidR="00F47228" w:rsidRDefault="00F47228" w:rsidP="00F47228">
      <w:pPr>
        <w:spacing w:line="360" w:lineRule="auto"/>
        <w:ind w:left="567" w:hanging="567"/>
        <w:jc w:val="both"/>
        <w:rPr>
          <w:color w:val="000000"/>
        </w:rPr>
      </w:pPr>
    </w:p>
    <w:p w14:paraId="398B2D70" w14:textId="3E27AE05" w:rsidR="003D6980" w:rsidRDefault="00F47228" w:rsidP="003D6980">
      <w:pPr>
        <w:spacing w:line="360" w:lineRule="auto"/>
        <w:ind w:left="567" w:hanging="567"/>
        <w:jc w:val="both"/>
        <w:rPr>
          <w:rFonts w:cs="Arial"/>
        </w:rPr>
      </w:pPr>
      <w:r>
        <w:rPr>
          <w:color w:val="000000"/>
        </w:rPr>
        <w:t>9.</w:t>
      </w:r>
      <w:r>
        <w:rPr>
          <w:color w:val="000000"/>
        </w:rPr>
        <w:tab/>
      </w:r>
      <w:r w:rsidR="003D6980">
        <w:rPr>
          <w:rFonts w:cs="Arial"/>
        </w:rPr>
        <w:t xml:space="preserve">The Appellant took his TOEIC tests at New College of Finance and the Respondent relied on an ETS SELT Source Data excerpt which stated that he had been recorded as scoring 170 for </w:t>
      </w:r>
      <w:r w:rsidR="003D6980">
        <w:rPr>
          <w:rFonts w:cs="Arial"/>
        </w:rPr>
        <w:lastRenderedPageBreak/>
        <w:t xml:space="preserve">his speaking test and 200 for his writing test but that these tests had been deemed by ETS to be invalid. The details given on this excerpt mirrored those on the Official Score Report relied upon by the Appellant. </w:t>
      </w:r>
    </w:p>
    <w:p w14:paraId="5AE0ADB1" w14:textId="77777777" w:rsidR="003D6980" w:rsidRDefault="003D6980" w:rsidP="003D6980">
      <w:pPr>
        <w:spacing w:line="360" w:lineRule="auto"/>
        <w:ind w:left="567" w:hanging="567"/>
        <w:jc w:val="both"/>
        <w:rPr>
          <w:rFonts w:cs="Arial"/>
        </w:rPr>
      </w:pPr>
    </w:p>
    <w:p w14:paraId="502C2246" w14:textId="03543E38" w:rsidR="00F53CD1" w:rsidRDefault="00F47228" w:rsidP="0059557A">
      <w:pPr>
        <w:spacing w:line="360" w:lineRule="auto"/>
        <w:ind w:left="567" w:hanging="567"/>
        <w:jc w:val="both"/>
        <w:rPr>
          <w:rFonts w:cs="Arial"/>
        </w:rPr>
      </w:pPr>
      <w:r>
        <w:rPr>
          <w:rFonts w:cs="Arial"/>
        </w:rPr>
        <w:t>10</w:t>
      </w:r>
      <w:r w:rsidR="003D6980">
        <w:rPr>
          <w:rFonts w:cs="Arial"/>
        </w:rPr>
        <w:t>.</w:t>
      </w:r>
      <w:r w:rsidR="003D6980">
        <w:rPr>
          <w:rFonts w:cs="Arial"/>
        </w:rPr>
        <w:tab/>
      </w:r>
      <w:r w:rsidR="00BF4E1B">
        <w:rPr>
          <w:rFonts w:cs="Arial"/>
        </w:rPr>
        <w:t>The First-tier Tribunal Judge also relied on other objective evidence relating to the manner in which these tests were investigated.</w:t>
      </w:r>
      <w:r w:rsidR="007479A8">
        <w:rPr>
          <w:rFonts w:cs="Arial"/>
        </w:rPr>
        <w:t xml:space="preserve"> However, when doing so he</w:t>
      </w:r>
      <w:r w:rsidR="00F53CD1">
        <w:rPr>
          <w:rFonts w:cs="Arial"/>
        </w:rPr>
        <w:t xml:space="preserve"> purported to rely </w:t>
      </w:r>
      <w:r w:rsidR="007479A8">
        <w:rPr>
          <w:rFonts w:cs="Arial"/>
        </w:rPr>
        <w:t xml:space="preserve">on a document, entitled </w:t>
      </w:r>
      <w:r w:rsidR="007479A8">
        <w:rPr>
          <w:rFonts w:cs="Arial"/>
          <w:i/>
        </w:rPr>
        <w:t>Project Façade</w:t>
      </w:r>
      <w:r w:rsidR="007479A8">
        <w:rPr>
          <w:rFonts w:cs="Arial"/>
        </w:rPr>
        <w:t>, which documented the widespread ETS fraud taking place at Colwell College. Clearly this was not the college at which the Appellant took his tests.</w:t>
      </w:r>
      <w:r w:rsidR="00F53CD1">
        <w:rPr>
          <w:rFonts w:cs="Arial"/>
        </w:rPr>
        <w:t xml:space="preserve"> The index of the Home Office’s Supplementary Bundle does refer to a report on New College of Finance but the item is not numbered or included. </w:t>
      </w:r>
    </w:p>
    <w:p w14:paraId="52E58B94" w14:textId="77777777" w:rsidR="00F53CD1" w:rsidRDefault="00F53CD1" w:rsidP="0059557A">
      <w:pPr>
        <w:spacing w:line="360" w:lineRule="auto"/>
        <w:ind w:left="567" w:hanging="567"/>
        <w:jc w:val="both"/>
        <w:rPr>
          <w:rFonts w:cs="Arial"/>
        </w:rPr>
      </w:pPr>
    </w:p>
    <w:p w14:paraId="725A3279" w14:textId="12874ADA" w:rsidR="007479A8" w:rsidRDefault="00F53CD1" w:rsidP="0059557A">
      <w:pPr>
        <w:spacing w:line="360" w:lineRule="auto"/>
        <w:ind w:left="567" w:hanging="567"/>
        <w:jc w:val="both"/>
        <w:rPr>
          <w:rFonts w:cs="Arial"/>
        </w:rPr>
      </w:pPr>
      <w:r>
        <w:rPr>
          <w:rFonts w:cs="Arial"/>
        </w:rPr>
        <w:t>11.</w:t>
      </w:r>
      <w:r>
        <w:rPr>
          <w:rFonts w:cs="Arial"/>
        </w:rPr>
        <w:tab/>
      </w:r>
      <w:r w:rsidR="007479A8">
        <w:rPr>
          <w:rFonts w:cs="Arial"/>
        </w:rPr>
        <w:t xml:space="preserve">The fact that the First-tier Tribunal Judge appeared to have relied on the fact that there was an individual report into deception at a college raises the clear possibility that this resulted in him placing some or significant weight on such a report and that, if there was no such report, deprived the Appellant of the opportunity to rebut the contents of any such report. </w:t>
      </w:r>
      <w:r w:rsidR="00CF7E81">
        <w:rPr>
          <w:rFonts w:cs="Arial"/>
        </w:rPr>
        <w:t xml:space="preserve">This was an error of law. </w:t>
      </w:r>
    </w:p>
    <w:p w14:paraId="405667D3" w14:textId="4DD9CEBC" w:rsidR="007479A8" w:rsidRDefault="007479A8" w:rsidP="0059557A">
      <w:pPr>
        <w:spacing w:line="360" w:lineRule="auto"/>
        <w:ind w:left="567" w:hanging="567"/>
        <w:jc w:val="both"/>
        <w:rPr>
          <w:rFonts w:cs="Arial"/>
        </w:rPr>
      </w:pPr>
    </w:p>
    <w:p w14:paraId="37DCEE45" w14:textId="20EE48A5" w:rsidR="007479A8" w:rsidRDefault="007479A8" w:rsidP="0059557A">
      <w:pPr>
        <w:spacing w:line="360" w:lineRule="auto"/>
        <w:ind w:left="567" w:hanging="567"/>
        <w:jc w:val="both"/>
        <w:rPr>
          <w:rFonts w:cs="Arial"/>
          <w:i/>
        </w:rPr>
      </w:pPr>
      <w:r>
        <w:rPr>
          <w:rFonts w:cs="Arial"/>
        </w:rPr>
        <w:t>1</w:t>
      </w:r>
      <w:r w:rsidR="00F47228">
        <w:rPr>
          <w:rFonts w:cs="Arial"/>
        </w:rPr>
        <w:t>2</w:t>
      </w:r>
      <w:r>
        <w:rPr>
          <w:rFonts w:cs="Arial"/>
        </w:rPr>
        <w:t>.</w:t>
      </w:r>
      <w:r>
        <w:rPr>
          <w:rFonts w:cs="Arial"/>
        </w:rPr>
        <w:tab/>
        <w:t xml:space="preserve">In paragraph 45 of his decision, the First-tier Tribunal Judge also relied on the case of </w:t>
      </w:r>
      <w:r>
        <w:rPr>
          <w:rFonts w:cs="Arial"/>
          <w:i/>
        </w:rPr>
        <w:t xml:space="preserve">R (on the application of Nawaz) v Secretary of State for the Home Department (ETS review standard/evidential basis) </w:t>
      </w:r>
      <w:r w:rsidR="00113515">
        <w:rPr>
          <w:rFonts w:cs="Arial"/>
        </w:rPr>
        <w:t xml:space="preserve">[2017] UKUT 00288 (IAC) and the fact that in that case the Upper Tribunal found that “evidence obtained by use of the Look-up Tool and subject to the human verification procedure is an adequate basis for the Secretary of State’s deception findings in these cases”. However, in a judicial review hearing, the test was whether the decision by the Respondent to rely on such evidence was irrational or unlawful. The test to be applied in a statutory appeal was the more complex one adopted in </w:t>
      </w:r>
      <w:r w:rsidR="00113515">
        <w:rPr>
          <w:rFonts w:cs="Arial"/>
          <w:i/>
        </w:rPr>
        <w:t xml:space="preserve">Shehzad and Another. </w:t>
      </w:r>
    </w:p>
    <w:p w14:paraId="30E5B4E6" w14:textId="7759A25C" w:rsidR="00900FBA" w:rsidRDefault="00900FBA" w:rsidP="0059557A">
      <w:pPr>
        <w:spacing w:line="360" w:lineRule="auto"/>
        <w:ind w:left="567" w:hanging="567"/>
        <w:jc w:val="both"/>
        <w:rPr>
          <w:rFonts w:cs="Arial"/>
          <w:i/>
        </w:rPr>
      </w:pPr>
    </w:p>
    <w:p w14:paraId="3C7DBA08" w14:textId="4B881CE5" w:rsidR="00CC42D4" w:rsidRDefault="00900FBA" w:rsidP="0059557A">
      <w:pPr>
        <w:spacing w:line="360" w:lineRule="auto"/>
        <w:ind w:left="567" w:hanging="567"/>
        <w:jc w:val="both"/>
        <w:rPr>
          <w:rFonts w:cs="Arial"/>
        </w:rPr>
      </w:pPr>
      <w:r>
        <w:rPr>
          <w:rFonts w:cs="Arial"/>
        </w:rPr>
        <w:t>1</w:t>
      </w:r>
      <w:r w:rsidR="00F47228">
        <w:rPr>
          <w:rFonts w:cs="Arial"/>
        </w:rPr>
        <w:t>3</w:t>
      </w:r>
      <w:r>
        <w:rPr>
          <w:rFonts w:cs="Arial"/>
        </w:rPr>
        <w:t>.</w:t>
      </w:r>
      <w:r>
        <w:rPr>
          <w:rFonts w:cs="Arial"/>
        </w:rPr>
        <w:tab/>
        <w:t xml:space="preserve">Furthermore, in his findings at paragraph 50 of his decision the First-tier Tribunal Judge </w:t>
      </w:r>
      <w:r w:rsidR="00CF7E81">
        <w:rPr>
          <w:rFonts w:cs="Arial"/>
        </w:rPr>
        <w:t xml:space="preserve">asserted that the Appellant had failed to discharge the burden of providing a plausible innocent explanation for the evidence relied upon by the Respondent. As submitted by counsel for the Applicant, this places an impossible burden on the Appellant in relation to details to which he has no access. </w:t>
      </w:r>
      <w:r w:rsidR="00DE1121">
        <w:rPr>
          <w:rFonts w:cs="Arial"/>
        </w:rPr>
        <w:t xml:space="preserve"> All that the Appellant had to do was to submit sufficient evidence to show that there may be an innocent explanation and that his account of taking the tests was plausible. Then the burden shifted back to the Respondent. </w:t>
      </w:r>
      <w:r w:rsidR="00CF7E81">
        <w:rPr>
          <w:rFonts w:cs="Arial"/>
        </w:rPr>
        <w:t xml:space="preserve"> </w:t>
      </w:r>
    </w:p>
    <w:p w14:paraId="196E9B2A" w14:textId="43436483" w:rsidR="00BF12B5" w:rsidRDefault="00BF12B5" w:rsidP="0059557A">
      <w:pPr>
        <w:spacing w:line="360" w:lineRule="auto"/>
        <w:ind w:left="567" w:hanging="567"/>
        <w:jc w:val="both"/>
        <w:rPr>
          <w:rFonts w:cs="Arial"/>
        </w:rPr>
      </w:pPr>
    </w:p>
    <w:p w14:paraId="1209141A" w14:textId="23996A52" w:rsidR="00AF09DF" w:rsidRPr="00BF12B5" w:rsidRDefault="00ED5200" w:rsidP="0059557A">
      <w:pPr>
        <w:spacing w:line="360" w:lineRule="auto"/>
        <w:ind w:left="567" w:hanging="567"/>
        <w:jc w:val="both"/>
        <w:rPr>
          <w:rFonts w:cs="Arial"/>
        </w:rPr>
      </w:pPr>
      <w:r>
        <w:rPr>
          <w:rFonts w:cs="Arial"/>
        </w:rPr>
        <w:lastRenderedPageBreak/>
        <w:t xml:space="preserve"> </w:t>
      </w:r>
    </w:p>
    <w:p w14:paraId="55317205" w14:textId="6C5CE892" w:rsidR="00D501B3" w:rsidRPr="003278E1" w:rsidRDefault="00D501B3" w:rsidP="009239B0">
      <w:pPr>
        <w:spacing w:line="360" w:lineRule="auto"/>
        <w:ind w:left="567" w:hanging="567"/>
        <w:jc w:val="both"/>
        <w:rPr>
          <w:rFonts w:cs="Arial"/>
        </w:rPr>
      </w:pPr>
    </w:p>
    <w:p w14:paraId="1326E7CB" w14:textId="15BA95BC" w:rsidR="001B091F" w:rsidRDefault="00B5303C" w:rsidP="009239B0">
      <w:pPr>
        <w:spacing w:line="360" w:lineRule="auto"/>
        <w:ind w:left="567" w:hanging="567"/>
        <w:jc w:val="both"/>
        <w:rPr>
          <w:rFonts w:cs="Arial"/>
        </w:rPr>
      </w:pPr>
      <w:r>
        <w:rPr>
          <w:rFonts w:cs="Arial"/>
        </w:rPr>
        <w:t>1</w:t>
      </w:r>
      <w:r w:rsidR="00F47228">
        <w:rPr>
          <w:rFonts w:cs="Arial"/>
        </w:rPr>
        <w:t>4</w:t>
      </w:r>
      <w:r>
        <w:rPr>
          <w:rFonts w:cs="Arial"/>
        </w:rPr>
        <w:t>.</w:t>
      </w:r>
      <w:r>
        <w:rPr>
          <w:rFonts w:cs="Arial"/>
        </w:rPr>
        <w:tab/>
      </w:r>
      <w:r w:rsidR="001B091F">
        <w:rPr>
          <w:rFonts w:cs="Arial"/>
        </w:rPr>
        <w:t>As a consequence, I find that First-tier Tribunal Judge</w:t>
      </w:r>
      <w:r w:rsidR="009C4929">
        <w:rPr>
          <w:rFonts w:cs="Arial"/>
        </w:rPr>
        <w:t xml:space="preserve"> Thorne</w:t>
      </w:r>
      <w:r w:rsidR="0059557A">
        <w:rPr>
          <w:rFonts w:cs="Arial"/>
        </w:rPr>
        <w:t xml:space="preserve"> d</w:t>
      </w:r>
      <w:r w:rsidR="001B091F">
        <w:rPr>
          <w:rFonts w:cs="Arial"/>
        </w:rPr>
        <w:t xml:space="preserve">id </w:t>
      </w:r>
      <w:r>
        <w:rPr>
          <w:rFonts w:cs="Arial"/>
        </w:rPr>
        <w:t xml:space="preserve">err in law in </w:t>
      </w:r>
      <w:r w:rsidR="0059557A">
        <w:rPr>
          <w:rFonts w:cs="Arial"/>
        </w:rPr>
        <w:t xml:space="preserve">his decision. </w:t>
      </w:r>
    </w:p>
    <w:p w14:paraId="49D0893C" w14:textId="7BC3E8DE" w:rsidR="004E1E3A" w:rsidRDefault="004E1E3A" w:rsidP="008C12BC">
      <w:pPr>
        <w:spacing w:line="360" w:lineRule="auto"/>
        <w:ind w:left="567" w:hanging="567"/>
        <w:jc w:val="both"/>
        <w:rPr>
          <w:rFonts w:ascii="Book Antiqua" w:hAnsi="Book Antiqua" w:cs="Arial"/>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602D930B" w14:textId="77777777" w:rsidR="004E1E3A" w:rsidRPr="00C027FD" w:rsidRDefault="004E1E3A" w:rsidP="00026E39">
      <w:pPr>
        <w:ind w:left="567" w:hanging="567"/>
        <w:jc w:val="both"/>
        <w:rPr>
          <w:rFonts w:ascii="Book Antiqua" w:hAnsi="Book Antiqua" w:cs="Arial"/>
          <w:b/>
        </w:rPr>
      </w:pPr>
      <w:r w:rsidRPr="00C027FD">
        <w:rPr>
          <w:rFonts w:ascii="Book Antiqua" w:hAnsi="Book Antiqua" w:cs="Arial"/>
          <w:b/>
        </w:rPr>
        <w:t xml:space="preserve">DECISION </w:t>
      </w:r>
    </w:p>
    <w:p w14:paraId="4F6EFB71" w14:textId="77777777" w:rsidR="004E1E3A" w:rsidRPr="00C027FD" w:rsidRDefault="004E1E3A" w:rsidP="00026E39">
      <w:pPr>
        <w:ind w:left="567" w:hanging="567"/>
        <w:jc w:val="both"/>
        <w:rPr>
          <w:rFonts w:ascii="Book Antiqua" w:hAnsi="Book Antiqua" w:cs="Arial"/>
          <w:b/>
        </w:rPr>
      </w:pPr>
    </w:p>
    <w:p w14:paraId="6FB0EDD9" w14:textId="5128EF0C" w:rsidR="0099516E" w:rsidRDefault="004E1E3A" w:rsidP="00026E39">
      <w:pPr>
        <w:ind w:left="567" w:hanging="567"/>
        <w:jc w:val="both"/>
        <w:rPr>
          <w:rFonts w:ascii="Book Antiqua" w:hAnsi="Book Antiqua" w:cs="Arial"/>
        </w:rPr>
      </w:pPr>
      <w:r>
        <w:rPr>
          <w:rFonts w:ascii="Book Antiqua" w:hAnsi="Book Antiqua" w:cs="Arial"/>
        </w:rPr>
        <w:t>(1)</w:t>
      </w:r>
      <w:r>
        <w:rPr>
          <w:rFonts w:ascii="Book Antiqua" w:hAnsi="Book Antiqua" w:cs="Arial"/>
        </w:rPr>
        <w:tab/>
      </w:r>
      <w:r w:rsidR="0099516E">
        <w:rPr>
          <w:rFonts w:ascii="Book Antiqua" w:hAnsi="Book Antiqua" w:cs="Arial"/>
        </w:rPr>
        <w:t>The Appellant’s appeal</w:t>
      </w:r>
      <w:r w:rsidR="00724968">
        <w:rPr>
          <w:rFonts w:ascii="Book Antiqua" w:hAnsi="Book Antiqua" w:cs="Arial"/>
        </w:rPr>
        <w:t xml:space="preserve"> is </w:t>
      </w:r>
      <w:r w:rsidR="00B5303C">
        <w:rPr>
          <w:rFonts w:ascii="Book Antiqua" w:hAnsi="Book Antiqua" w:cs="Arial"/>
        </w:rPr>
        <w:t xml:space="preserve">allowed. </w:t>
      </w:r>
    </w:p>
    <w:p w14:paraId="71A188D4" w14:textId="77777777" w:rsidR="00CD3B1E" w:rsidRDefault="00CD3B1E" w:rsidP="00026E39">
      <w:pPr>
        <w:ind w:left="567" w:hanging="567"/>
        <w:jc w:val="both"/>
        <w:rPr>
          <w:rFonts w:ascii="Book Antiqua" w:hAnsi="Book Antiqua" w:cs="Arial"/>
        </w:rPr>
      </w:pPr>
    </w:p>
    <w:p w14:paraId="4A728F9D" w14:textId="53DE569F" w:rsidR="00B5303C" w:rsidRDefault="00F41E63" w:rsidP="00026E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B5303C">
        <w:rPr>
          <w:rFonts w:ascii="Book Antiqua" w:hAnsi="Book Antiqua" w:cs="Arial"/>
        </w:rPr>
        <w:t xml:space="preserve">The appeal is remitted to a First-tier Tribunal Judge, other than First-tier Tribunal Judge </w:t>
      </w:r>
      <w:r w:rsidR="009C4929">
        <w:rPr>
          <w:rFonts w:ascii="Book Antiqua" w:hAnsi="Book Antiqua" w:cs="Arial"/>
        </w:rPr>
        <w:t>Thorne</w:t>
      </w:r>
      <w:r w:rsidR="003D6980">
        <w:rPr>
          <w:rFonts w:ascii="Book Antiqua" w:hAnsi="Book Antiqua" w:cs="Arial"/>
        </w:rPr>
        <w:t xml:space="preserve"> or First-tier Tribunal Judge Russell</w:t>
      </w:r>
      <w:r w:rsidR="00B5303C">
        <w:rPr>
          <w:rFonts w:ascii="Book Antiqua" w:hAnsi="Book Antiqua" w:cs="Arial"/>
        </w:rPr>
        <w:t xml:space="preserve">, for </w:t>
      </w:r>
      <w:r w:rsidR="0059557A">
        <w:rPr>
          <w:rFonts w:ascii="Book Antiqua" w:hAnsi="Book Antiqua" w:cs="Arial"/>
        </w:rPr>
        <w:t xml:space="preserve">a </w:t>
      </w:r>
      <w:r w:rsidR="0059557A">
        <w:rPr>
          <w:rFonts w:ascii="Book Antiqua" w:hAnsi="Book Antiqua" w:cs="Arial"/>
          <w:i/>
        </w:rPr>
        <w:t xml:space="preserve">de novo </w:t>
      </w:r>
      <w:r w:rsidR="0059557A">
        <w:rPr>
          <w:rFonts w:ascii="Book Antiqua" w:hAnsi="Book Antiqua" w:cs="Arial"/>
        </w:rPr>
        <w:t xml:space="preserve">hearing. </w:t>
      </w:r>
      <w:r w:rsidR="00B5303C">
        <w:rPr>
          <w:rFonts w:ascii="Book Antiqua" w:hAnsi="Book Antiqua" w:cs="Arial"/>
        </w:rPr>
        <w:t xml:space="preserve"> </w:t>
      </w:r>
    </w:p>
    <w:p w14:paraId="0D4637F6" w14:textId="77777777" w:rsidR="004E1E3A" w:rsidRDefault="004E1E3A" w:rsidP="00026E39">
      <w:pPr>
        <w:ind w:left="567" w:hanging="567"/>
        <w:jc w:val="both"/>
        <w:rPr>
          <w:rFonts w:ascii="Book Antiqua" w:hAnsi="Book Antiqua" w:cs="Arial"/>
        </w:rPr>
      </w:pPr>
    </w:p>
    <w:p w14:paraId="59DD9043" w14:textId="77777777" w:rsidR="004E1E3A" w:rsidRDefault="004E1E3A" w:rsidP="00026E39">
      <w:pPr>
        <w:ind w:left="567" w:hanging="567"/>
        <w:jc w:val="both"/>
        <w:rPr>
          <w:rFonts w:ascii="Book Antiqua" w:hAnsi="Book Antiqua" w:cs="Arial"/>
        </w:rPr>
      </w:pPr>
    </w:p>
    <w:p w14:paraId="23F44783" w14:textId="77777777" w:rsidR="004E1E3A" w:rsidRDefault="004E1E3A" w:rsidP="00026E39">
      <w:pPr>
        <w:ind w:left="567" w:hanging="567"/>
        <w:jc w:val="both"/>
        <w:rPr>
          <w:rFonts w:ascii="Book Antiqua" w:hAnsi="Book Antiqua" w:cs="Arial"/>
        </w:rPr>
      </w:pPr>
    </w:p>
    <w:p w14:paraId="6D683904" w14:textId="77777777" w:rsidR="004E1E3A" w:rsidRPr="00725575" w:rsidRDefault="004E1E3A" w:rsidP="00026E39">
      <w:pPr>
        <w:jc w:val="both"/>
        <w:rPr>
          <w:rFonts w:ascii="Lucida Handwriting" w:hAnsi="Lucida Handwriting" w:cs="Arial"/>
          <w:sz w:val="40"/>
        </w:rPr>
      </w:pPr>
      <w:r>
        <w:rPr>
          <w:rFonts w:ascii="Lucida Handwriting" w:hAnsi="Lucida Handwriting" w:cs="Arial"/>
          <w:sz w:val="40"/>
        </w:rPr>
        <w:t>Nadine Finch</w:t>
      </w:r>
    </w:p>
    <w:p w14:paraId="526032C8" w14:textId="77777777" w:rsidR="004E1E3A" w:rsidRDefault="004E1E3A" w:rsidP="00026E39">
      <w:pPr>
        <w:jc w:val="both"/>
        <w:rPr>
          <w:rFonts w:ascii="Book Antiqua" w:hAnsi="Book Antiqua" w:cs="Arial"/>
        </w:rPr>
      </w:pPr>
    </w:p>
    <w:p w14:paraId="4F8904E3" w14:textId="77777777" w:rsidR="004E1E3A" w:rsidRPr="00162CB6" w:rsidRDefault="004E1E3A" w:rsidP="00026E39">
      <w:pPr>
        <w:ind w:left="567" w:hanging="567"/>
        <w:jc w:val="both"/>
        <w:rPr>
          <w:rFonts w:ascii="Book Antiqua" w:hAnsi="Book Antiqua" w:cs="Arial"/>
        </w:rPr>
      </w:pPr>
    </w:p>
    <w:p w14:paraId="568D5753" w14:textId="3C720706" w:rsidR="004E1E3A" w:rsidRDefault="004E1E3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9C4929">
        <w:rPr>
          <w:rFonts w:ascii="Book Antiqua" w:hAnsi="Book Antiqua" w:cs="Arial"/>
        </w:rPr>
        <w:t>18 May 2018</w:t>
      </w:r>
    </w:p>
    <w:p w14:paraId="075BE359" w14:textId="77777777" w:rsidR="004E1E3A" w:rsidRDefault="004E1E3A" w:rsidP="00847259">
      <w:pPr>
        <w:jc w:val="both"/>
        <w:rPr>
          <w:rFonts w:ascii="Book Antiqua" w:hAnsi="Book Antiqua" w:cs="Arial"/>
        </w:rPr>
      </w:pPr>
    </w:p>
    <w:p w14:paraId="6B2D78CA" w14:textId="77777777" w:rsidR="004E1E3A" w:rsidRDefault="004E1E3A" w:rsidP="00847259">
      <w:pPr>
        <w:jc w:val="both"/>
        <w:rPr>
          <w:rFonts w:ascii="Book Antiqua" w:hAnsi="Book Antiqua" w:cs="Arial"/>
          <w:color w:val="000000"/>
        </w:rPr>
      </w:pPr>
      <w:r>
        <w:rPr>
          <w:rFonts w:ascii="Book Antiqua" w:hAnsi="Book Antiqua" w:cs="Arial"/>
          <w:color w:val="000000"/>
        </w:rPr>
        <w:t xml:space="preserve">Upper Tribunal Judge Finch </w:t>
      </w:r>
    </w:p>
    <w:p w14:paraId="4A7FC4B5" w14:textId="77777777" w:rsidR="004E1E3A" w:rsidRDefault="004E1E3A" w:rsidP="00847259">
      <w:pPr>
        <w:jc w:val="both"/>
        <w:rPr>
          <w:rFonts w:ascii="Book Antiqua" w:hAnsi="Book Antiqua" w:cs="Arial"/>
          <w:color w:val="000000"/>
        </w:rPr>
      </w:pPr>
    </w:p>
    <w:p w14:paraId="22AA402D" w14:textId="77777777" w:rsidR="004E1E3A" w:rsidRDefault="004E1E3A" w:rsidP="00847259">
      <w:pPr>
        <w:jc w:val="both"/>
        <w:rPr>
          <w:rFonts w:ascii="Book Antiqua" w:hAnsi="Book Antiqua" w:cs="Arial"/>
          <w:color w:val="000000"/>
        </w:rPr>
      </w:pPr>
    </w:p>
    <w:sectPr w:rsidR="004E1E3A" w:rsidSect="0073076B">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4892B" w14:textId="77777777" w:rsidR="00620B82" w:rsidRDefault="00620B82">
      <w:r>
        <w:separator/>
      </w:r>
    </w:p>
  </w:endnote>
  <w:endnote w:type="continuationSeparator" w:id="0">
    <w:p w14:paraId="35E2FB88" w14:textId="77777777" w:rsidR="00620B82" w:rsidRDefault="0062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737097793"/>
      <w:docPartObj>
        <w:docPartGallery w:val="Page Numbers (Bottom of Page)"/>
        <w:docPartUnique/>
      </w:docPartObj>
    </w:sdtPr>
    <w:sdtEndPr>
      <w:rPr>
        <w:noProof/>
      </w:rPr>
    </w:sdtEndPr>
    <w:sdtContent>
      <w:p w14:paraId="6A479727" w14:textId="151D0E1E" w:rsidR="00D5742B" w:rsidRPr="00D5742B" w:rsidRDefault="00D5742B">
        <w:pPr>
          <w:pStyle w:val="Footer"/>
          <w:jc w:val="center"/>
          <w:rPr>
            <w:rFonts w:ascii="Book Antiqua" w:hAnsi="Book Antiqua"/>
            <w:sz w:val="20"/>
            <w:szCs w:val="20"/>
          </w:rPr>
        </w:pPr>
        <w:r w:rsidRPr="00D5742B">
          <w:rPr>
            <w:rFonts w:ascii="Book Antiqua" w:hAnsi="Book Antiqua"/>
            <w:sz w:val="20"/>
            <w:szCs w:val="20"/>
          </w:rPr>
          <w:fldChar w:fldCharType="begin"/>
        </w:r>
        <w:r w:rsidRPr="00D5742B">
          <w:rPr>
            <w:rFonts w:ascii="Book Antiqua" w:hAnsi="Book Antiqua"/>
            <w:sz w:val="20"/>
            <w:szCs w:val="20"/>
          </w:rPr>
          <w:instrText xml:space="preserve"> PAGE   \* MERGEFORMAT </w:instrText>
        </w:r>
        <w:r w:rsidRPr="00D5742B">
          <w:rPr>
            <w:rFonts w:ascii="Book Antiqua" w:hAnsi="Book Antiqua"/>
            <w:sz w:val="20"/>
            <w:szCs w:val="20"/>
          </w:rPr>
          <w:fldChar w:fldCharType="separate"/>
        </w:r>
        <w:r w:rsidR="00AB76DD">
          <w:rPr>
            <w:rFonts w:ascii="Book Antiqua" w:hAnsi="Book Antiqua"/>
            <w:noProof/>
            <w:sz w:val="20"/>
            <w:szCs w:val="20"/>
          </w:rPr>
          <w:t>5</w:t>
        </w:r>
        <w:r w:rsidRPr="00D5742B">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F6178" w14:textId="4324C22B" w:rsidR="004E1E3A" w:rsidRPr="009B7433" w:rsidRDefault="004E1E3A" w:rsidP="00A82254">
    <w:pPr>
      <w:jc w:val="center"/>
      <w:rPr>
        <w:rFonts w:ascii="Book Antiqua" w:hAnsi="Book Antiqua" w:cs="Arial"/>
        <w:b/>
      </w:rPr>
    </w:pPr>
    <w:r w:rsidRPr="009B7433">
      <w:rPr>
        <w:rFonts w:ascii="Book Antiqua" w:hAnsi="Book Antiqua" w:cs="Arial"/>
        <w:b/>
        <w:spacing w:val="-6"/>
      </w:rPr>
      <w:t>©</w:t>
    </w:r>
    <w:r w:rsidR="002852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CED4" w14:textId="77777777" w:rsidR="00620B82" w:rsidRDefault="00620B82">
      <w:r>
        <w:separator/>
      </w:r>
    </w:p>
  </w:footnote>
  <w:footnote w:type="continuationSeparator" w:id="0">
    <w:p w14:paraId="63FA11C7" w14:textId="77777777" w:rsidR="00620B82" w:rsidRDefault="00620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04E37" w14:textId="77971FFD" w:rsidR="004E1E3A" w:rsidRPr="00D5742B" w:rsidRDefault="004E1E3A" w:rsidP="00D5742B">
    <w:pPr>
      <w:tabs>
        <w:tab w:val="right" w:pos="9638"/>
      </w:tabs>
      <w:rPr>
        <w:rFonts w:ascii="Book Antiqua" w:hAnsi="Book Antiqua" w:cs="Arial"/>
        <w:color w:val="000000"/>
        <w:sz w:val="20"/>
        <w:szCs w:val="20"/>
      </w:rPr>
    </w:pPr>
    <w:r w:rsidRPr="00D5742B">
      <w:rPr>
        <w:rFonts w:ascii="Book Antiqua" w:hAnsi="Book Antiqua" w:cs="Arial"/>
        <w:caps/>
        <w:color w:val="000000"/>
        <w:sz w:val="20"/>
        <w:szCs w:val="20"/>
      </w:rPr>
      <w:t>IAC-AR-AR-V1</w:t>
    </w:r>
    <w:r w:rsidR="00D5742B">
      <w:rPr>
        <w:rFonts w:ascii="Book Antiqua" w:hAnsi="Book Antiqua" w:cs="Arial"/>
        <w:caps/>
        <w:color w:val="000000"/>
        <w:sz w:val="20"/>
        <w:szCs w:val="20"/>
      </w:rPr>
      <w:tab/>
    </w:r>
    <w:r w:rsidRPr="00D5742B">
      <w:rPr>
        <w:rFonts w:ascii="Book Antiqua" w:hAnsi="Book Antiqua" w:cs="Arial"/>
        <w:color w:val="000000"/>
        <w:sz w:val="20"/>
        <w:szCs w:val="20"/>
      </w:rPr>
      <w:t>Appeal Numbe</w:t>
    </w:r>
    <w:r w:rsidR="00B14A0F" w:rsidRPr="00D5742B">
      <w:rPr>
        <w:rFonts w:ascii="Book Antiqua" w:hAnsi="Book Antiqua" w:cs="Arial"/>
        <w:color w:val="000000"/>
        <w:sz w:val="20"/>
        <w:szCs w:val="20"/>
      </w:rPr>
      <w:t>r</w:t>
    </w:r>
    <w:r w:rsidR="00AB20E4" w:rsidRPr="00D5742B">
      <w:rPr>
        <w:rFonts w:ascii="Book Antiqua" w:hAnsi="Book Antiqua" w:cs="Arial"/>
        <w:color w:val="000000"/>
        <w:sz w:val="20"/>
        <w:szCs w:val="20"/>
      </w:rPr>
      <w:t>:</w:t>
    </w:r>
    <w:r w:rsidR="00D5742B" w:rsidRPr="00D5742B">
      <w:rPr>
        <w:rFonts w:ascii="Book Antiqua" w:hAnsi="Book Antiqua" w:cs="Arial"/>
        <w:color w:val="000000"/>
        <w:sz w:val="20"/>
        <w:szCs w:val="20"/>
      </w:rPr>
      <w:t xml:space="preserve"> </w:t>
    </w:r>
    <w:r w:rsidR="009C4929" w:rsidRPr="00D5742B">
      <w:rPr>
        <w:rFonts w:ascii="Book Antiqua" w:hAnsi="Book Antiqua" w:cs="Arial"/>
        <w:color w:val="000000"/>
        <w:sz w:val="20"/>
        <w:szCs w:val="20"/>
      </w:rPr>
      <w:t>IA/31358/2015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5891632"/>
    <w:multiLevelType w:val="hybridMultilevel"/>
    <w:tmpl w:val="DE1442FA"/>
    <w:lvl w:ilvl="0" w:tplc="5FEA0562">
      <w:start w:val="1"/>
      <w:numFmt w:val="upperRoman"/>
      <w:lvlText w:val="(%1)"/>
      <w:lvlJc w:val="left"/>
      <w:pPr>
        <w:ind w:left="3760" w:hanging="720"/>
      </w:pPr>
      <w:rPr>
        <w:rFonts w:cs="Times New Roman"/>
      </w:rPr>
    </w:lvl>
    <w:lvl w:ilvl="1" w:tplc="08090019">
      <w:start w:val="1"/>
      <w:numFmt w:val="lowerLetter"/>
      <w:lvlText w:val="%2."/>
      <w:lvlJc w:val="left"/>
      <w:pPr>
        <w:ind w:left="4120" w:hanging="360"/>
      </w:pPr>
      <w:rPr>
        <w:rFonts w:cs="Times New Roman"/>
      </w:rPr>
    </w:lvl>
    <w:lvl w:ilvl="2" w:tplc="0809001B">
      <w:start w:val="1"/>
      <w:numFmt w:val="lowerRoman"/>
      <w:lvlText w:val="%3."/>
      <w:lvlJc w:val="right"/>
      <w:pPr>
        <w:ind w:left="4840" w:hanging="180"/>
      </w:pPr>
      <w:rPr>
        <w:rFonts w:cs="Times New Roman"/>
      </w:rPr>
    </w:lvl>
    <w:lvl w:ilvl="3" w:tplc="0809000F">
      <w:start w:val="1"/>
      <w:numFmt w:val="decimal"/>
      <w:lvlText w:val="%4."/>
      <w:lvlJc w:val="left"/>
      <w:pPr>
        <w:ind w:left="5560" w:hanging="360"/>
      </w:pPr>
      <w:rPr>
        <w:rFonts w:cs="Times New Roman"/>
      </w:rPr>
    </w:lvl>
    <w:lvl w:ilvl="4" w:tplc="08090019">
      <w:start w:val="1"/>
      <w:numFmt w:val="lowerLetter"/>
      <w:lvlText w:val="%5."/>
      <w:lvlJc w:val="left"/>
      <w:pPr>
        <w:ind w:left="6280" w:hanging="360"/>
      </w:pPr>
      <w:rPr>
        <w:rFonts w:cs="Times New Roman"/>
      </w:rPr>
    </w:lvl>
    <w:lvl w:ilvl="5" w:tplc="0809001B">
      <w:start w:val="1"/>
      <w:numFmt w:val="lowerRoman"/>
      <w:lvlText w:val="%6."/>
      <w:lvlJc w:val="right"/>
      <w:pPr>
        <w:ind w:left="7000" w:hanging="180"/>
      </w:pPr>
      <w:rPr>
        <w:rFonts w:cs="Times New Roman"/>
      </w:rPr>
    </w:lvl>
    <w:lvl w:ilvl="6" w:tplc="0809000F">
      <w:start w:val="1"/>
      <w:numFmt w:val="decimal"/>
      <w:lvlText w:val="%7."/>
      <w:lvlJc w:val="left"/>
      <w:pPr>
        <w:ind w:left="7720" w:hanging="360"/>
      </w:pPr>
      <w:rPr>
        <w:rFonts w:cs="Times New Roman"/>
      </w:rPr>
    </w:lvl>
    <w:lvl w:ilvl="7" w:tplc="08090019">
      <w:start w:val="1"/>
      <w:numFmt w:val="lowerLetter"/>
      <w:lvlText w:val="%8."/>
      <w:lvlJc w:val="left"/>
      <w:pPr>
        <w:ind w:left="8440" w:hanging="360"/>
      </w:pPr>
      <w:rPr>
        <w:rFonts w:cs="Times New Roman"/>
      </w:rPr>
    </w:lvl>
    <w:lvl w:ilvl="8" w:tplc="0809001B">
      <w:start w:val="1"/>
      <w:numFmt w:val="lowerRoman"/>
      <w:lvlText w:val="%9."/>
      <w:lvlJc w:val="right"/>
      <w:pPr>
        <w:ind w:left="9160" w:hanging="180"/>
      </w:pPr>
      <w:rPr>
        <w:rFonts w:cs="Times New Roman"/>
      </w:rPr>
    </w:lvl>
  </w:abstractNum>
  <w:abstractNum w:abstractNumId="2" w15:restartNumberingAfterBreak="0">
    <w:nsid w:val="0E75413C"/>
    <w:multiLevelType w:val="multilevel"/>
    <w:tmpl w:val="6BB0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A6B8C"/>
    <w:multiLevelType w:val="multilevel"/>
    <w:tmpl w:val="847C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7773DB4"/>
    <w:multiLevelType w:val="multilevel"/>
    <w:tmpl w:val="6BB0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7"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653B5060"/>
    <w:multiLevelType w:val="multilevel"/>
    <w:tmpl w:val="847C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num w:numId="1">
    <w:abstractNumId w:val="9"/>
  </w:num>
  <w:num w:numId="2">
    <w:abstractNumId w:val="6"/>
  </w:num>
  <w:num w:numId="3">
    <w:abstractNumId w:val="4"/>
  </w:num>
  <w:num w:numId="4">
    <w:abstractNumId w:val="0"/>
  </w:num>
  <w:num w:numId="5">
    <w:abstractNumId w:val="7"/>
  </w:num>
  <w:num w:numId="6">
    <w:abstractNumId w:val="2"/>
    <w:lvlOverride w:ilvl="0">
      <w:startOverride w:val="52"/>
    </w:lvlOverride>
  </w:num>
  <w:num w:numId="7">
    <w:abstractNumId w:val="2"/>
    <w:lvlOverride w:ilvl="0">
      <w:startOverride w:val="53"/>
    </w:lvlOverride>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3"/>
    </w:lvlOverride>
  </w:num>
  <w:num w:numId="11">
    <w:abstractNumId w:val="8"/>
    <w:lvlOverride w:ilvl="0">
      <w:startOverride w:val="4"/>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36C2"/>
    <w:rsid w:val="00005C5B"/>
    <w:rsid w:val="00011C5D"/>
    <w:rsid w:val="00013EFF"/>
    <w:rsid w:val="00016BC5"/>
    <w:rsid w:val="00025E48"/>
    <w:rsid w:val="00026E39"/>
    <w:rsid w:val="00033D3D"/>
    <w:rsid w:val="0003772C"/>
    <w:rsid w:val="00040A6C"/>
    <w:rsid w:val="000428C0"/>
    <w:rsid w:val="00045E7E"/>
    <w:rsid w:val="00052233"/>
    <w:rsid w:val="00062F02"/>
    <w:rsid w:val="00071A7E"/>
    <w:rsid w:val="000746C0"/>
    <w:rsid w:val="0007473F"/>
    <w:rsid w:val="00074D1D"/>
    <w:rsid w:val="00087721"/>
    <w:rsid w:val="00092580"/>
    <w:rsid w:val="00093D4D"/>
    <w:rsid w:val="000A3F67"/>
    <w:rsid w:val="000A5B67"/>
    <w:rsid w:val="000B024E"/>
    <w:rsid w:val="000B24F7"/>
    <w:rsid w:val="000B51C2"/>
    <w:rsid w:val="000B5402"/>
    <w:rsid w:val="000B6640"/>
    <w:rsid w:val="000C00D4"/>
    <w:rsid w:val="000C2CDE"/>
    <w:rsid w:val="000C3CB0"/>
    <w:rsid w:val="000C4B36"/>
    <w:rsid w:val="000C4CC2"/>
    <w:rsid w:val="000D4BC9"/>
    <w:rsid w:val="000D5D94"/>
    <w:rsid w:val="000F1A0E"/>
    <w:rsid w:val="00100617"/>
    <w:rsid w:val="00106C24"/>
    <w:rsid w:val="001107AD"/>
    <w:rsid w:val="00111206"/>
    <w:rsid w:val="00111800"/>
    <w:rsid w:val="0011268F"/>
    <w:rsid w:val="0011302C"/>
    <w:rsid w:val="00113515"/>
    <w:rsid w:val="00114C50"/>
    <w:rsid w:val="001165A7"/>
    <w:rsid w:val="00121A51"/>
    <w:rsid w:val="001222AE"/>
    <w:rsid w:val="00124BCD"/>
    <w:rsid w:val="001263DC"/>
    <w:rsid w:val="001430C7"/>
    <w:rsid w:val="0014653D"/>
    <w:rsid w:val="00151509"/>
    <w:rsid w:val="001521D5"/>
    <w:rsid w:val="00161D7A"/>
    <w:rsid w:val="00162CB6"/>
    <w:rsid w:val="00166E37"/>
    <w:rsid w:val="00167D3A"/>
    <w:rsid w:val="00173946"/>
    <w:rsid w:val="00174D95"/>
    <w:rsid w:val="00176B08"/>
    <w:rsid w:val="00183704"/>
    <w:rsid w:val="001971C8"/>
    <w:rsid w:val="001A19A9"/>
    <w:rsid w:val="001A2558"/>
    <w:rsid w:val="001A3082"/>
    <w:rsid w:val="001B091F"/>
    <w:rsid w:val="001B186A"/>
    <w:rsid w:val="001B2F75"/>
    <w:rsid w:val="001B768F"/>
    <w:rsid w:val="001F245E"/>
    <w:rsid w:val="001F2716"/>
    <w:rsid w:val="00203467"/>
    <w:rsid w:val="00206D4A"/>
    <w:rsid w:val="00207617"/>
    <w:rsid w:val="0021618E"/>
    <w:rsid w:val="002165E3"/>
    <w:rsid w:val="00224D49"/>
    <w:rsid w:val="0023134B"/>
    <w:rsid w:val="00235362"/>
    <w:rsid w:val="002367B0"/>
    <w:rsid w:val="00236A9B"/>
    <w:rsid w:val="002376E5"/>
    <w:rsid w:val="00251A86"/>
    <w:rsid w:val="00253110"/>
    <w:rsid w:val="00253D70"/>
    <w:rsid w:val="00254DBC"/>
    <w:rsid w:val="00256EEF"/>
    <w:rsid w:val="002630D9"/>
    <w:rsid w:val="00264D85"/>
    <w:rsid w:val="00266099"/>
    <w:rsid w:val="00267EBB"/>
    <w:rsid w:val="00271A88"/>
    <w:rsid w:val="002809C0"/>
    <w:rsid w:val="00283659"/>
    <w:rsid w:val="002852BB"/>
    <w:rsid w:val="00287C9C"/>
    <w:rsid w:val="002946D1"/>
    <w:rsid w:val="002A3A5B"/>
    <w:rsid w:val="002A5013"/>
    <w:rsid w:val="002A78E2"/>
    <w:rsid w:val="002C6BD4"/>
    <w:rsid w:val="002D083B"/>
    <w:rsid w:val="002D0E6D"/>
    <w:rsid w:val="002D68BF"/>
    <w:rsid w:val="002E7EA9"/>
    <w:rsid w:val="002F6B98"/>
    <w:rsid w:val="002F7BBB"/>
    <w:rsid w:val="00300D36"/>
    <w:rsid w:val="00300EFA"/>
    <w:rsid w:val="00303BAF"/>
    <w:rsid w:val="00321375"/>
    <w:rsid w:val="00322667"/>
    <w:rsid w:val="003278E1"/>
    <w:rsid w:val="00335737"/>
    <w:rsid w:val="00336CBF"/>
    <w:rsid w:val="00343FE3"/>
    <w:rsid w:val="00353B0E"/>
    <w:rsid w:val="003546C8"/>
    <w:rsid w:val="003626A1"/>
    <w:rsid w:val="00363410"/>
    <w:rsid w:val="0037519F"/>
    <w:rsid w:val="00376618"/>
    <w:rsid w:val="00384748"/>
    <w:rsid w:val="003863F7"/>
    <w:rsid w:val="00390A01"/>
    <w:rsid w:val="00395C30"/>
    <w:rsid w:val="003A0375"/>
    <w:rsid w:val="003A7CF2"/>
    <w:rsid w:val="003C5CE5"/>
    <w:rsid w:val="003D3F1E"/>
    <w:rsid w:val="003D461D"/>
    <w:rsid w:val="003D549E"/>
    <w:rsid w:val="003D6980"/>
    <w:rsid w:val="003E267B"/>
    <w:rsid w:val="003E7CC8"/>
    <w:rsid w:val="003E7CD1"/>
    <w:rsid w:val="003F4C6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E3C"/>
    <w:rsid w:val="00477193"/>
    <w:rsid w:val="00484940"/>
    <w:rsid w:val="004931D1"/>
    <w:rsid w:val="004A00B4"/>
    <w:rsid w:val="004A1848"/>
    <w:rsid w:val="004A1985"/>
    <w:rsid w:val="004A34EE"/>
    <w:rsid w:val="004A6F4A"/>
    <w:rsid w:val="004B2449"/>
    <w:rsid w:val="004B5275"/>
    <w:rsid w:val="004B66BF"/>
    <w:rsid w:val="004B7E8C"/>
    <w:rsid w:val="004C5D11"/>
    <w:rsid w:val="004E1E3A"/>
    <w:rsid w:val="004E4717"/>
    <w:rsid w:val="004F3592"/>
    <w:rsid w:val="004F55F8"/>
    <w:rsid w:val="004F672C"/>
    <w:rsid w:val="005016E0"/>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90558"/>
    <w:rsid w:val="00593795"/>
    <w:rsid w:val="00595102"/>
    <w:rsid w:val="0059557A"/>
    <w:rsid w:val="00596130"/>
    <w:rsid w:val="005A6895"/>
    <w:rsid w:val="005A75FF"/>
    <w:rsid w:val="005B7413"/>
    <w:rsid w:val="005C2B9C"/>
    <w:rsid w:val="005C720F"/>
    <w:rsid w:val="005D0062"/>
    <w:rsid w:val="005D10AB"/>
    <w:rsid w:val="005D5462"/>
    <w:rsid w:val="005E34E2"/>
    <w:rsid w:val="005E3B61"/>
    <w:rsid w:val="005F3EB4"/>
    <w:rsid w:val="005F7557"/>
    <w:rsid w:val="00601D8F"/>
    <w:rsid w:val="00602C67"/>
    <w:rsid w:val="00602FB3"/>
    <w:rsid w:val="0060435A"/>
    <w:rsid w:val="00604A30"/>
    <w:rsid w:val="00606611"/>
    <w:rsid w:val="00610B20"/>
    <w:rsid w:val="0062078F"/>
    <w:rsid w:val="00620B82"/>
    <w:rsid w:val="00627B05"/>
    <w:rsid w:val="0063325D"/>
    <w:rsid w:val="00636BB7"/>
    <w:rsid w:val="006408F7"/>
    <w:rsid w:val="00643D0C"/>
    <w:rsid w:val="00643F31"/>
    <w:rsid w:val="00646D54"/>
    <w:rsid w:val="006479DD"/>
    <w:rsid w:val="00652381"/>
    <w:rsid w:val="00653E97"/>
    <w:rsid w:val="006705BC"/>
    <w:rsid w:val="00672884"/>
    <w:rsid w:val="00684A74"/>
    <w:rsid w:val="00690B8A"/>
    <w:rsid w:val="00693BA8"/>
    <w:rsid w:val="006B3E15"/>
    <w:rsid w:val="006C0A52"/>
    <w:rsid w:val="006C2275"/>
    <w:rsid w:val="006C5055"/>
    <w:rsid w:val="006C7066"/>
    <w:rsid w:val="006D091B"/>
    <w:rsid w:val="006E47C4"/>
    <w:rsid w:val="006F2CF1"/>
    <w:rsid w:val="006F73F1"/>
    <w:rsid w:val="00701A03"/>
    <w:rsid w:val="00702B91"/>
    <w:rsid w:val="00703184"/>
    <w:rsid w:val="007038ED"/>
    <w:rsid w:val="00703BC3"/>
    <w:rsid w:val="00704B61"/>
    <w:rsid w:val="00705AFB"/>
    <w:rsid w:val="00723084"/>
    <w:rsid w:val="00724968"/>
    <w:rsid w:val="00725575"/>
    <w:rsid w:val="007276FF"/>
    <w:rsid w:val="0073076B"/>
    <w:rsid w:val="00745C27"/>
    <w:rsid w:val="00747519"/>
    <w:rsid w:val="007479A8"/>
    <w:rsid w:val="007552A9"/>
    <w:rsid w:val="00761858"/>
    <w:rsid w:val="00767019"/>
    <w:rsid w:val="00767D59"/>
    <w:rsid w:val="00772B71"/>
    <w:rsid w:val="007736D2"/>
    <w:rsid w:val="00776E97"/>
    <w:rsid w:val="00780F86"/>
    <w:rsid w:val="00782593"/>
    <w:rsid w:val="007912AD"/>
    <w:rsid w:val="0079216A"/>
    <w:rsid w:val="007A0794"/>
    <w:rsid w:val="007A5C26"/>
    <w:rsid w:val="007B0824"/>
    <w:rsid w:val="007B0DDF"/>
    <w:rsid w:val="007B2BD6"/>
    <w:rsid w:val="007B5330"/>
    <w:rsid w:val="007B5D3C"/>
    <w:rsid w:val="007C6FA5"/>
    <w:rsid w:val="007D4375"/>
    <w:rsid w:val="007D63FF"/>
    <w:rsid w:val="007E2895"/>
    <w:rsid w:val="007F2534"/>
    <w:rsid w:val="007F339D"/>
    <w:rsid w:val="00806A73"/>
    <w:rsid w:val="00817D48"/>
    <w:rsid w:val="00821B72"/>
    <w:rsid w:val="00823EF2"/>
    <w:rsid w:val="00826B2A"/>
    <w:rsid w:val="00827025"/>
    <w:rsid w:val="008303B8"/>
    <w:rsid w:val="00830810"/>
    <w:rsid w:val="00831918"/>
    <w:rsid w:val="00831E27"/>
    <w:rsid w:val="00833D8D"/>
    <w:rsid w:val="00833DCE"/>
    <w:rsid w:val="00841072"/>
    <w:rsid w:val="00847259"/>
    <w:rsid w:val="008478F6"/>
    <w:rsid w:val="008516F1"/>
    <w:rsid w:val="008537F9"/>
    <w:rsid w:val="00854534"/>
    <w:rsid w:val="008566D0"/>
    <w:rsid w:val="00871063"/>
    <w:rsid w:val="00871D34"/>
    <w:rsid w:val="00871EC2"/>
    <w:rsid w:val="00874D45"/>
    <w:rsid w:val="0087528C"/>
    <w:rsid w:val="00877198"/>
    <w:rsid w:val="00881860"/>
    <w:rsid w:val="0089348F"/>
    <w:rsid w:val="00897C8C"/>
    <w:rsid w:val="008A2695"/>
    <w:rsid w:val="008A7E3E"/>
    <w:rsid w:val="008B270C"/>
    <w:rsid w:val="008B2F0F"/>
    <w:rsid w:val="008B5078"/>
    <w:rsid w:val="008C12BC"/>
    <w:rsid w:val="008C3D3D"/>
    <w:rsid w:val="008D4131"/>
    <w:rsid w:val="008E284D"/>
    <w:rsid w:val="008E7B93"/>
    <w:rsid w:val="008F1932"/>
    <w:rsid w:val="008F48D0"/>
    <w:rsid w:val="008F4C67"/>
    <w:rsid w:val="00900FBA"/>
    <w:rsid w:val="00901A46"/>
    <w:rsid w:val="00921062"/>
    <w:rsid w:val="00922444"/>
    <w:rsid w:val="009239B0"/>
    <w:rsid w:val="00924D93"/>
    <w:rsid w:val="009276B8"/>
    <w:rsid w:val="00947565"/>
    <w:rsid w:val="009530C8"/>
    <w:rsid w:val="00953E15"/>
    <w:rsid w:val="009604E6"/>
    <w:rsid w:val="00961434"/>
    <w:rsid w:val="009617A1"/>
    <w:rsid w:val="00963E6D"/>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C0687"/>
    <w:rsid w:val="009C4929"/>
    <w:rsid w:val="009D1EA3"/>
    <w:rsid w:val="009D341B"/>
    <w:rsid w:val="009E7D56"/>
    <w:rsid w:val="009F45F1"/>
    <w:rsid w:val="009F5220"/>
    <w:rsid w:val="009F6F01"/>
    <w:rsid w:val="009F7540"/>
    <w:rsid w:val="00A0236C"/>
    <w:rsid w:val="00A11735"/>
    <w:rsid w:val="00A13119"/>
    <w:rsid w:val="00A15234"/>
    <w:rsid w:val="00A201AB"/>
    <w:rsid w:val="00A2642D"/>
    <w:rsid w:val="00A31C8B"/>
    <w:rsid w:val="00A32CD1"/>
    <w:rsid w:val="00A40BC5"/>
    <w:rsid w:val="00A46E02"/>
    <w:rsid w:val="00A509FA"/>
    <w:rsid w:val="00A54BD6"/>
    <w:rsid w:val="00A564E3"/>
    <w:rsid w:val="00A575DA"/>
    <w:rsid w:val="00A57B5D"/>
    <w:rsid w:val="00A6017F"/>
    <w:rsid w:val="00A659B5"/>
    <w:rsid w:val="00A743D3"/>
    <w:rsid w:val="00A759FF"/>
    <w:rsid w:val="00A75BCD"/>
    <w:rsid w:val="00A80595"/>
    <w:rsid w:val="00A82254"/>
    <w:rsid w:val="00A845DC"/>
    <w:rsid w:val="00A872EE"/>
    <w:rsid w:val="00A92942"/>
    <w:rsid w:val="00AA557A"/>
    <w:rsid w:val="00AA708B"/>
    <w:rsid w:val="00AA77BE"/>
    <w:rsid w:val="00AB0C35"/>
    <w:rsid w:val="00AB20E4"/>
    <w:rsid w:val="00AB76DD"/>
    <w:rsid w:val="00AC12EB"/>
    <w:rsid w:val="00AD5231"/>
    <w:rsid w:val="00AD7BB2"/>
    <w:rsid w:val="00AE1861"/>
    <w:rsid w:val="00AE47FD"/>
    <w:rsid w:val="00AE6DDE"/>
    <w:rsid w:val="00AE7D0A"/>
    <w:rsid w:val="00AE7D4D"/>
    <w:rsid w:val="00AF09DF"/>
    <w:rsid w:val="00AF6109"/>
    <w:rsid w:val="00B03D62"/>
    <w:rsid w:val="00B04BD3"/>
    <w:rsid w:val="00B14A0F"/>
    <w:rsid w:val="00B14DB5"/>
    <w:rsid w:val="00B25CB9"/>
    <w:rsid w:val="00B26AA2"/>
    <w:rsid w:val="00B30647"/>
    <w:rsid w:val="00B3524D"/>
    <w:rsid w:val="00B40F69"/>
    <w:rsid w:val="00B40FFF"/>
    <w:rsid w:val="00B46616"/>
    <w:rsid w:val="00B5248D"/>
    <w:rsid w:val="00B5303C"/>
    <w:rsid w:val="00B601E0"/>
    <w:rsid w:val="00B7040A"/>
    <w:rsid w:val="00B73518"/>
    <w:rsid w:val="00B83391"/>
    <w:rsid w:val="00B84192"/>
    <w:rsid w:val="00B84A71"/>
    <w:rsid w:val="00B87C01"/>
    <w:rsid w:val="00B95326"/>
    <w:rsid w:val="00BA295F"/>
    <w:rsid w:val="00BB5234"/>
    <w:rsid w:val="00BB7A60"/>
    <w:rsid w:val="00BB7C68"/>
    <w:rsid w:val="00BC042A"/>
    <w:rsid w:val="00BD4196"/>
    <w:rsid w:val="00BE0FBA"/>
    <w:rsid w:val="00BE10F9"/>
    <w:rsid w:val="00BE6E17"/>
    <w:rsid w:val="00BF023D"/>
    <w:rsid w:val="00BF12B5"/>
    <w:rsid w:val="00BF21F8"/>
    <w:rsid w:val="00BF22CA"/>
    <w:rsid w:val="00BF23BB"/>
    <w:rsid w:val="00BF4E1B"/>
    <w:rsid w:val="00BF4F4A"/>
    <w:rsid w:val="00BF66E5"/>
    <w:rsid w:val="00C00C8D"/>
    <w:rsid w:val="00C027FD"/>
    <w:rsid w:val="00C13AB5"/>
    <w:rsid w:val="00C15C10"/>
    <w:rsid w:val="00C15D25"/>
    <w:rsid w:val="00C17D15"/>
    <w:rsid w:val="00C26032"/>
    <w:rsid w:val="00C31242"/>
    <w:rsid w:val="00C32F37"/>
    <w:rsid w:val="00C345E1"/>
    <w:rsid w:val="00C355A8"/>
    <w:rsid w:val="00C43662"/>
    <w:rsid w:val="00C43BFD"/>
    <w:rsid w:val="00C53074"/>
    <w:rsid w:val="00C63FCE"/>
    <w:rsid w:val="00C671C5"/>
    <w:rsid w:val="00C74B35"/>
    <w:rsid w:val="00C94635"/>
    <w:rsid w:val="00CB4AB2"/>
    <w:rsid w:val="00CB5088"/>
    <w:rsid w:val="00CB575C"/>
    <w:rsid w:val="00CB5C75"/>
    <w:rsid w:val="00CB6E35"/>
    <w:rsid w:val="00CC42D4"/>
    <w:rsid w:val="00CD3634"/>
    <w:rsid w:val="00CD3B1E"/>
    <w:rsid w:val="00CD3E3A"/>
    <w:rsid w:val="00CD58CE"/>
    <w:rsid w:val="00CD59AC"/>
    <w:rsid w:val="00CD643A"/>
    <w:rsid w:val="00CE1A46"/>
    <w:rsid w:val="00CE3602"/>
    <w:rsid w:val="00CF20B6"/>
    <w:rsid w:val="00CF7E81"/>
    <w:rsid w:val="00D01A25"/>
    <w:rsid w:val="00D06C8C"/>
    <w:rsid w:val="00D11C22"/>
    <w:rsid w:val="00D20757"/>
    <w:rsid w:val="00D22636"/>
    <w:rsid w:val="00D27055"/>
    <w:rsid w:val="00D33AF2"/>
    <w:rsid w:val="00D40687"/>
    <w:rsid w:val="00D40FD9"/>
    <w:rsid w:val="00D42BE3"/>
    <w:rsid w:val="00D45631"/>
    <w:rsid w:val="00D501B3"/>
    <w:rsid w:val="00D53769"/>
    <w:rsid w:val="00D558B3"/>
    <w:rsid w:val="00D5742B"/>
    <w:rsid w:val="00D576FD"/>
    <w:rsid w:val="00D57890"/>
    <w:rsid w:val="00D76EB4"/>
    <w:rsid w:val="00D80907"/>
    <w:rsid w:val="00D858C5"/>
    <w:rsid w:val="00D85C13"/>
    <w:rsid w:val="00D87AF7"/>
    <w:rsid w:val="00D9111A"/>
    <w:rsid w:val="00D91BE3"/>
    <w:rsid w:val="00D9445B"/>
    <w:rsid w:val="00D94AFC"/>
    <w:rsid w:val="00DA31CD"/>
    <w:rsid w:val="00DA7299"/>
    <w:rsid w:val="00DB0FA2"/>
    <w:rsid w:val="00DB197C"/>
    <w:rsid w:val="00DB2824"/>
    <w:rsid w:val="00DB4CF2"/>
    <w:rsid w:val="00DB6169"/>
    <w:rsid w:val="00DB70AE"/>
    <w:rsid w:val="00DC1BD4"/>
    <w:rsid w:val="00DC39E7"/>
    <w:rsid w:val="00DC6179"/>
    <w:rsid w:val="00DC719A"/>
    <w:rsid w:val="00DD1BBC"/>
    <w:rsid w:val="00DD228A"/>
    <w:rsid w:val="00DD5071"/>
    <w:rsid w:val="00DD5C39"/>
    <w:rsid w:val="00DE1121"/>
    <w:rsid w:val="00DE6345"/>
    <w:rsid w:val="00DE7DB7"/>
    <w:rsid w:val="00DF01B2"/>
    <w:rsid w:val="00DF09E9"/>
    <w:rsid w:val="00DF0EC0"/>
    <w:rsid w:val="00DF7CE2"/>
    <w:rsid w:val="00E00973"/>
    <w:rsid w:val="00E00A0A"/>
    <w:rsid w:val="00E029EE"/>
    <w:rsid w:val="00E03875"/>
    <w:rsid w:val="00E066DE"/>
    <w:rsid w:val="00E07F57"/>
    <w:rsid w:val="00E14C03"/>
    <w:rsid w:val="00E17463"/>
    <w:rsid w:val="00E17E24"/>
    <w:rsid w:val="00E25182"/>
    <w:rsid w:val="00E30683"/>
    <w:rsid w:val="00E453D8"/>
    <w:rsid w:val="00E47401"/>
    <w:rsid w:val="00E50BCE"/>
    <w:rsid w:val="00E51F18"/>
    <w:rsid w:val="00E52B70"/>
    <w:rsid w:val="00E574BF"/>
    <w:rsid w:val="00E57959"/>
    <w:rsid w:val="00E61292"/>
    <w:rsid w:val="00E6703A"/>
    <w:rsid w:val="00E67616"/>
    <w:rsid w:val="00E75E86"/>
    <w:rsid w:val="00E77C4D"/>
    <w:rsid w:val="00E81D01"/>
    <w:rsid w:val="00E83B41"/>
    <w:rsid w:val="00E841E4"/>
    <w:rsid w:val="00E845A5"/>
    <w:rsid w:val="00E848CE"/>
    <w:rsid w:val="00E85E57"/>
    <w:rsid w:val="00EA53CE"/>
    <w:rsid w:val="00EB5FC7"/>
    <w:rsid w:val="00EB772A"/>
    <w:rsid w:val="00EC0100"/>
    <w:rsid w:val="00EC3926"/>
    <w:rsid w:val="00ED345E"/>
    <w:rsid w:val="00ED5200"/>
    <w:rsid w:val="00ED5594"/>
    <w:rsid w:val="00ED56AC"/>
    <w:rsid w:val="00ED5C52"/>
    <w:rsid w:val="00ED7C65"/>
    <w:rsid w:val="00EE1E3E"/>
    <w:rsid w:val="00EE45D8"/>
    <w:rsid w:val="00EF488C"/>
    <w:rsid w:val="00F115EC"/>
    <w:rsid w:val="00F15CE3"/>
    <w:rsid w:val="00F179F0"/>
    <w:rsid w:val="00F22EDA"/>
    <w:rsid w:val="00F301F6"/>
    <w:rsid w:val="00F34B59"/>
    <w:rsid w:val="00F41E63"/>
    <w:rsid w:val="00F47228"/>
    <w:rsid w:val="00F53CD1"/>
    <w:rsid w:val="00F563E7"/>
    <w:rsid w:val="00F63267"/>
    <w:rsid w:val="00F729E6"/>
    <w:rsid w:val="00F74FA7"/>
    <w:rsid w:val="00F75D7A"/>
    <w:rsid w:val="00F760DA"/>
    <w:rsid w:val="00F84B01"/>
    <w:rsid w:val="00F85BA0"/>
    <w:rsid w:val="00F97364"/>
    <w:rsid w:val="00FA040C"/>
    <w:rsid w:val="00FA608B"/>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1924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rsid w:val="00E85E57"/>
    <w:rPr>
      <w:vanish w:val="0"/>
      <w:webHidden w:val="0"/>
      <w:specVanish w:val="0"/>
    </w:rPr>
  </w:style>
  <w:style w:type="character" w:customStyle="1" w:styleId="legextentrestriction7">
    <w:name w:val="legextentrestriction7"/>
    <w:basedOn w:val="DefaultParagraphFont"/>
    <w:rsid w:val="00E85E57"/>
    <w:rPr>
      <w:b/>
      <w:bCs/>
      <w:i w:val="0"/>
      <w:iCs w:val="0"/>
      <w:vanish/>
      <w:webHidden w:val="0"/>
      <w:color w:val="FFFFFF"/>
      <w:sz w:val="22"/>
      <w:szCs w:val="22"/>
      <w:shd w:val="clear" w:color="auto" w:fill="660066"/>
      <w:specVanish w:val="0"/>
    </w:rPr>
  </w:style>
  <w:style w:type="paragraph" w:customStyle="1" w:styleId="legclearfix2">
    <w:name w:val="legclearfix2"/>
    <w:basedOn w:val="Normal"/>
    <w:rsid w:val="00E85E57"/>
    <w:pPr>
      <w:shd w:val="clear" w:color="auto" w:fill="FFFFFF"/>
      <w:spacing w:after="120" w:line="360" w:lineRule="atLeast"/>
    </w:pPr>
    <w:rPr>
      <w:color w:val="000000"/>
      <w:sz w:val="19"/>
      <w:szCs w:val="19"/>
    </w:rPr>
  </w:style>
  <w:style w:type="paragraph" w:styleId="ListParagraph">
    <w:name w:val="List Paragraph"/>
    <w:basedOn w:val="Normal"/>
    <w:qFormat/>
    <w:rsid w:val="00D501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610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79">
          <w:marLeft w:val="0"/>
          <w:marRight w:val="0"/>
          <w:marTop w:val="0"/>
          <w:marBottom w:val="0"/>
          <w:divBdr>
            <w:top w:val="none" w:sz="0" w:space="0" w:color="auto"/>
            <w:left w:val="none" w:sz="0" w:space="0" w:color="auto"/>
            <w:bottom w:val="none" w:sz="0" w:space="0" w:color="auto"/>
            <w:right w:val="none" w:sz="0" w:space="0" w:color="auto"/>
          </w:divBdr>
          <w:divsChild>
            <w:div w:id="1895002880">
              <w:marLeft w:val="0"/>
              <w:marRight w:val="0"/>
              <w:marTop w:val="0"/>
              <w:marBottom w:val="0"/>
              <w:divBdr>
                <w:top w:val="single" w:sz="2" w:space="0" w:color="FFFFFF"/>
                <w:left w:val="single" w:sz="6" w:space="0" w:color="FFFFFF"/>
                <w:bottom w:val="single" w:sz="6" w:space="0" w:color="FFFFFF"/>
                <w:right w:val="single" w:sz="6" w:space="0" w:color="FFFFFF"/>
              </w:divBdr>
              <w:divsChild>
                <w:div w:id="2065061266">
                  <w:marLeft w:val="0"/>
                  <w:marRight w:val="0"/>
                  <w:marTop w:val="0"/>
                  <w:marBottom w:val="0"/>
                  <w:divBdr>
                    <w:top w:val="single" w:sz="6" w:space="1" w:color="D3D3D3"/>
                    <w:left w:val="none" w:sz="0" w:space="0" w:color="auto"/>
                    <w:bottom w:val="none" w:sz="0" w:space="0" w:color="auto"/>
                    <w:right w:val="none" w:sz="0" w:space="0" w:color="auto"/>
                  </w:divBdr>
                  <w:divsChild>
                    <w:div w:id="8306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4968">
      <w:marLeft w:val="0"/>
      <w:marRight w:val="0"/>
      <w:marTop w:val="0"/>
      <w:marBottom w:val="0"/>
      <w:divBdr>
        <w:top w:val="none" w:sz="0" w:space="0" w:color="auto"/>
        <w:left w:val="none" w:sz="0" w:space="0" w:color="auto"/>
        <w:bottom w:val="none" w:sz="0" w:space="0" w:color="auto"/>
        <w:right w:val="none" w:sz="0" w:space="0" w:color="auto"/>
      </w:divBdr>
    </w:div>
    <w:div w:id="857934969">
      <w:marLeft w:val="0"/>
      <w:marRight w:val="0"/>
      <w:marTop w:val="0"/>
      <w:marBottom w:val="0"/>
      <w:divBdr>
        <w:top w:val="none" w:sz="0" w:space="0" w:color="auto"/>
        <w:left w:val="none" w:sz="0" w:space="0" w:color="auto"/>
        <w:bottom w:val="none" w:sz="0" w:space="0" w:color="auto"/>
        <w:right w:val="none" w:sz="0" w:space="0" w:color="auto"/>
      </w:divBdr>
    </w:div>
    <w:div w:id="857934970">
      <w:marLeft w:val="0"/>
      <w:marRight w:val="0"/>
      <w:marTop w:val="0"/>
      <w:marBottom w:val="0"/>
      <w:divBdr>
        <w:top w:val="none" w:sz="0" w:space="0" w:color="auto"/>
        <w:left w:val="none" w:sz="0" w:space="0" w:color="auto"/>
        <w:bottom w:val="none" w:sz="0" w:space="0" w:color="auto"/>
        <w:right w:val="none" w:sz="0" w:space="0" w:color="auto"/>
      </w:divBdr>
    </w:div>
    <w:div w:id="857934971">
      <w:marLeft w:val="0"/>
      <w:marRight w:val="0"/>
      <w:marTop w:val="0"/>
      <w:marBottom w:val="0"/>
      <w:divBdr>
        <w:top w:val="none" w:sz="0" w:space="0" w:color="auto"/>
        <w:left w:val="none" w:sz="0" w:space="0" w:color="auto"/>
        <w:bottom w:val="none" w:sz="0" w:space="0" w:color="auto"/>
        <w:right w:val="none" w:sz="0" w:space="0" w:color="auto"/>
      </w:divBdr>
    </w:div>
    <w:div w:id="1198548928">
      <w:bodyDiv w:val="1"/>
      <w:marLeft w:val="0"/>
      <w:marRight w:val="0"/>
      <w:marTop w:val="0"/>
      <w:marBottom w:val="0"/>
      <w:divBdr>
        <w:top w:val="none" w:sz="0" w:space="0" w:color="auto"/>
        <w:left w:val="none" w:sz="0" w:space="0" w:color="auto"/>
        <w:bottom w:val="none" w:sz="0" w:space="0" w:color="auto"/>
        <w:right w:val="none" w:sz="0" w:space="0" w:color="auto"/>
      </w:divBdr>
    </w:div>
    <w:div w:id="1646550438">
      <w:bodyDiv w:val="1"/>
      <w:marLeft w:val="0"/>
      <w:marRight w:val="0"/>
      <w:marTop w:val="0"/>
      <w:marBottom w:val="0"/>
      <w:divBdr>
        <w:top w:val="none" w:sz="0" w:space="0" w:color="auto"/>
        <w:left w:val="none" w:sz="0" w:space="0" w:color="auto"/>
        <w:bottom w:val="none" w:sz="0" w:space="0" w:color="auto"/>
        <w:right w:val="none" w:sz="0" w:space="0" w:color="auto"/>
      </w:divBdr>
    </w:div>
    <w:div w:id="16503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uk/cases/UKHL/2008/3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ailii.org/cgi-bin/redirect.cgi?path=/uk/cases/UKHL/2008/3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1344</Words>
  <Characters>7578</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2018-06-19T11:44:00Z</dcterms:created>
  <dcterms:modified xsi:type="dcterms:W3CDTF">2018-06-19T11:44:00Z</dcterms:modified>
</cp:coreProperties>
</file>