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B161AA" w:rsidRDefault="00CB5474" w:rsidP="00C321B5">
      <w:pPr>
        <w:jc w:val="center"/>
        <w:rPr>
          <w:rFonts w:ascii="Book Antiqua" w:hAnsi="Book Antiqua" w:cs="Arial"/>
          <w:sz w:val="16"/>
          <w:szCs w:val="16"/>
        </w:rPr>
      </w:pPr>
      <w:r w:rsidRPr="00B161AA">
        <w:rPr>
          <w:noProof/>
          <w:sz w:val="16"/>
          <w:szCs w:val="16"/>
          <w:lang w:val="en-US" w:eastAsia="en-US"/>
        </w:rPr>
        <w:drawing>
          <wp:inline distT="0" distB="0" distL="0" distR="0">
            <wp:extent cx="11880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7524F">
        <w:rPr>
          <w:rFonts w:ascii="Book Antiqua" w:hAnsi="Book Antiqua" w:cs="Arial"/>
          <w:b/>
        </w:rPr>
        <w:t xml:space="preserve">   </w:t>
      </w:r>
      <w:proofErr w:type="gramEnd"/>
      <w:r w:rsidR="0057524F">
        <w:rPr>
          <w:rFonts w:ascii="Book Antiqua" w:hAnsi="Book Antiqua" w:cs="Arial"/>
          <w:b/>
        </w:rPr>
        <w:t xml:space="preserve">                      </w:t>
      </w:r>
      <w:r w:rsidR="00B3524D" w:rsidRPr="0057524F">
        <w:rPr>
          <w:rFonts w:ascii="Book Antiqua" w:hAnsi="Book Antiqua" w:cs="Arial"/>
          <w:b/>
        </w:rPr>
        <w:t>Appeal Number</w:t>
      </w:r>
      <w:r w:rsidR="00D53769" w:rsidRPr="0057524F">
        <w:rPr>
          <w:rFonts w:ascii="Book Antiqua" w:hAnsi="Book Antiqua" w:cs="Arial"/>
          <w:b/>
        </w:rPr>
        <w:t>:</w:t>
      </w:r>
      <w:r w:rsidR="00B3524D" w:rsidRPr="0057524F">
        <w:rPr>
          <w:rFonts w:ascii="Book Antiqua" w:hAnsi="Book Antiqua" w:cs="Arial"/>
          <w:b/>
        </w:rPr>
        <w:t xml:space="preserve"> </w:t>
      </w:r>
      <w:r w:rsidR="00EB70CF" w:rsidRPr="0057524F">
        <w:rPr>
          <w:rFonts w:ascii="Book Antiqua" w:hAnsi="Book Antiqua" w:cs="Arial"/>
          <w:b/>
          <w:caps/>
        </w:rPr>
        <w:t>IA/32833/2011</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F5664C" w:rsidTr="00CB5474">
        <w:tc>
          <w:tcPr>
            <w:tcW w:w="5353" w:type="dxa"/>
            <w:shd w:val="clear" w:color="auto" w:fill="auto"/>
          </w:tcPr>
          <w:p w:rsidR="00D22636" w:rsidRPr="00B465FB" w:rsidRDefault="00D22636" w:rsidP="00B465FB">
            <w:pPr>
              <w:jc w:val="both"/>
              <w:rPr>
                <w:rFonts w:ascii="Book Antiqua" w:hAnsi="Book Antiqua" w:cs="Arial"/>
                <w:b/>
              </w:rPr>
            </w:pPr>
            <w:r w:rsidRPr="00B465FB">
              <w:rPr>
                <w:rFonts w:ascii="Book Antiqua" w:hAnsi="Book Antiqua" w:cs="Arial"/>
                <w:b/>
              </w:rPr>
              <w:t xml:space="preserve">Heard at </w:t>
            </w:r>
            <w:r w:rsidR="00EB70CF" w:rsidRPr="00B465FB">
              <w:rPr>
                <w:rFonts w:ascii="Book Antiqua" w:hAnsi="Book Antiqua" w:cs="Arial"/>
                <w:b/>
              </w:rPr>
              <w:t>Field House</w:t>
            </w:r>
          </w:p>
        </w:tc>
        <w:tc>
          <w:tcPr>
            <w:tcW w:w="4655" w:type="dxa"/>
            <w:gridSpan w:val="2"/>
            <w:shd w:val="clear" w:color="auto" w:fill="auto"/>
          </w:tcPr>
          <w:p w:rsidR="00D22636" w:rsidRPr="00B465FB" w:rsidRDefault="000E34AA" w:rsidP="00B465FB">
            <w:pPr>
              <w:jc w:val="both"/>
              <w:rPr>
                <w:rFonts w:ascii="Book Antiqua" w:hAnsi="Book Antiqua" w:cs="Arial"/>
                <w:b/>
              </w:rPr>
            </w:pPr>
            <w:r w:rsidRPr="00B465FB">
              <w:rPr>
                <w:rFonts w:ascii="Book Antiqua" w:hAnsi="Book Antiqua" w:cs="Arial"/>
                <w:b/>
              </w:rPr>
              <w:t>Decision &amp; Reasons</w:t>
            </w:r>
            <w:r w:rsidR="00283659" w:rsidRPr="00B465FB">
              <w:rPr>
                <w:rFonts w:ascii="Book Antiqua" w:hAnsi="Book Antiqua" w:cs="Arial"/>
                <w:b/>
              </w:rPr>
              <w:t xml:space="preserve"> Promulgated</w:t>
            </w:r>
          </w:p>
        </w:tc>
      </w:tr>
      <w:tr w:rsidR="00D22636" w:rsidRPr="00F5664C" w:rsidTr="00CB5474">
        <w:tc>
          <w:tcPr>
            <w:tcW w:w="5353" w:type="dxa"/>
            <w:shd w:val="clear" w:color="auto" w:fill="auto"/>
          </w:tcPr>
          <w:p w:rsidR="00D22636" w:rsidRPr="00B465FB" w:rsidRDefault="00D22636" w:rsidP="00B465FB">
            <w:pPr>
              <w:jc w:val="both"/>
              <w:rPr>
                <w:rFonts w:ascii="Book Antiqua" w:hAnsi="Book Antiqua" w:cs="Arial"/>
                <w:b/>
              </w:rPr>
            </w:pPr>
            <w:r w:rsidRPr="00B465FB">
              <w:rPr>
                <w:rFonts w:ascii="Book Antiqua" w:hAnsi="Book Antiqua" w:cs="Arial"/>
                <w:b/>
              </w:rPr>
              <w:t xml:space="preserve">On </w:t>
            </w:r>
            <w:r w:rsidR="00EB70CF" w:rsidRPr="00B465FB">
              <w:rPr>
                <w:rFonts w:ascii="Book Antiqua" w:hAnsi="Book Antiqua" w:cs="Arial"/>
                <w:b/>
              </w:rPr>
              <w:t>3</w:t>
            </w:r>
            <w:r w:rsidR="00EB70CF" w:rsidRPr="00B465FB">
              <w:rPr>
                <w:rFonts w:ascii="Book Antiqua" w:hAnsi="Book Antiqua" w:cs="Arial"/>
                <w:b/>
                <w:vertAlign w:val="superscript"/>
              </w:rPr>
              <w:t>rd</w:t>
            </w:r>
            <w:r w:rsidR="00EB70CF" w:rsidRPr="00B465FB">
              <w:rPr>
                <w:rFonts w:ascii="Book Antiqua" w:hAnsi="Book Antiqua" w:cs="Arial"/>
                <w:b/>
              </w:rPr>
              <w:t xml:space="preserve"> April 2018</w:t>
            </w:r>
          </w:p>
        </w:tc>
        <w:tc>
          <w:tcPr>
            <w:tcW w:w="4655" w:type="dxa"/>
            <w:gridSpan w:val="2"/>
            <w:shd w:val="clear" w:color="auto" w:fill="auto"/>
          </w:tcPr>
          <w:p w:rsidR="00D22636" w:rsidRPr="00B465FB" w:rsidRDefault="00CB5474" w:rsidP="00B465FB">
            <w:pPr>
              <w:jc w:val="both"/>
              <w:rPr>
                <w:rFonts w:ascii="Book Antiqua" w:hAnsi="Book Antiqua" w:cs="Arial"/>
                <w:b/>
              </w:rPr>
            </w:pPr>
            <w:r>
              <w:rPr>
                <w:rFonts w:ascii="Book Antiqua" w:hAnsi="Book Antiqua" w:cs="Arial"/>
                <w:b/>
              </w:rPr>
              <w:t>On 17</w:t>
            </w:r>
            <w:r w:rsidRPr="00CB5474">
              <w:rPr>
                <w:rFonts w:ascii="Book Antiqua" w:hAnsi="Book Antiqua" w:cs="Arial"/>
                <w:b/>
                <w:vertAlign w:val="superscript"/>
              </w:rPr>
              <w:t>th</w:t>
            </w:r>
            <w:r>
              <w:rPr>
                <w:rFonts w:ascii="Book Antiqua" w:hAnsi="Book Antiqua" w:cs="Arial"/>
                <w:b/>
              </w:rPr>
              <w:t xml:space="preserve"> May 2018 </w:t>
            </w:r>
          </w:p>
        </w:tc>
      </w:tr>
      <w:tr w:rsidR="00D22636" w:rsidRPr="00F5664C" w:rsidTr="00CB5474">
        <w:tc>
          <w:tcPr>
            <w:tcW w:w="6048" w:type="dxa"/>
            <w:gridSpan w:val="2"/>
            <w:shd w:val="clear" w:color="auto" w:fill="auto"/>
          </w:tcPr>
          <w:p w:rsidR="00D22636" w:rsidRPr="00B465FB" w:rsidRDefault="00D22636" w:rsidP="00B465FB">
            <w:pPr>
              <w:jc w:val="both"/>
              <w:rPr>
                <w:rFonts w:ascii="Book Antiqua" w:hAnsi="Book Antiqua" w:cs="Arial"/>
                <w:b/>
              </w:rPr>
            </w:pPr>
          </w:p>
        </w:tc>
        <w:tc>
          <w:tcPr>
            <w:tcW w:w="3960" w:type="dxa"/>
            <w:shd w:val="clear" w:color="auto" w:fill="auto"/>
          </w:tcPr>
          <w:p w:rsidR="00D22636" w:rsidRPr="00B465FB" w:rsidRDefault="00D22636" w:rsidP="00B465F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B2116E" w:rsidP="00EB70CF">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891669" w:rsidP="00742A8D">
      <w:pPr>
        <w:jc w:val="center"/>
        <w:rPr>
          <w:rFonts w:ascii="Book Antiqua" w:hAnsi="Book Antiqua" w:cs="Arial"/>
          <w:b/>
          <w:caps/>
        </w:rPr>
      </w:pPr>
      <w:r>
        <w:rPr>
          <w:rFonts w:ascii="Book Antiqua" w:hAnsi="Book Antiqua" w:cs="Arial"/>
          <w:b/>
          <w:caps/>
        </w:rPr>
        <w:t>mr a b</w:t>
      </w:r>
    </w:p>
    <w:p w:rsidR="000E34AA" w:rsidRPr="0057524F" w:rsidRDefault="000E34AA" w:rsidP="000E34AA">
      <w:pPr>
        <w:jc w:val="center"/>
        <w:rPr>
          <w:rFonts w:ascii="Book Antiqua" w:hAnsi="Book Antiqua" w:cs="Arial"/>
          <w:caps/>
        </w:rPr>
      </w:pPr>
      <w:r w:rsidRPr="0057524F">
        <w:rPr>
          <w:rFonts w:ascii="Book Antiqua" w:hAnsi="Book Antiqua" w:cs="Arial"/>
          <w:caps/>
        </w:rPr>
        <w:t xml:space="preserve">(ANONYMITY DIRECTION </w:t>
      </w:r>
      <w:r w:rsidR="00AA72EC" w:rsidRPr="0057524F">
        <w:rPr>
          <w:rFonts w:ascii="Book Antiqua" w:hAnsi="Book Antiqua" w:cs="Arial"/>
          <w:caps/>
        </w:rPr>
        <w:t>made</w:t>
      </w:r>
      <w:r w:rsidRPr="0057524F">
        <w:rPr>
          <w:rFonts w:ascii="Book Antiqua" w:hAnsi="Book Antiqua" w:cs="Arial"/>
          <w:caps/>
        </w:rPr>
        <w:t>)</w:t>
      </w:r>
    </w:p>
    <w:p w:rsidR="00704B61" w:rsidRPr="00F5664C" w:rsidRDefault="00AA72EC" w:rsidP="00704B61">
      <w:pPr>
        <w:jc w:val="right"/>
        <w:rPr>
          <w:rFonts w:ascii="Book Antiqua" w:hAnsi="Book Antiqua" w:cs="Arial"/>
          <w:u w:val="single"/>
        </w:rPr>
      </w:pPr>
      <w:r>
        <w:rPr>
          <w:rFonts w:ascii="Book Antiqua" w:hAnsi="Book Antiqua" w:cs="Arial"/>
          <w:u w:val="single"/>
        </w:rPr>
        <w:t>Appellant</w:t>
      </w:r>
    </w:p>
    <w:p w:rsidR="0057524F" w:rsidRDefault="0057524F"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57524F" w:rsidRPr="00F5664C" w:rsidRDefault="0057524F"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57524F" w:rsidRPr="00F5664C" w:rsidRDefault="0057524F"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A72EC">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EB70CF">
        <w:rPr>
          <w:rFonts w:ascii="Book Antiqua" w:hAnsi="Book Antiqua" w:cs="Arial"/>
        </w:rPr>
        <w:t>Mr P Haywood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B70CF">
        <w:rPr>
          <w:rFonts w:ascii="Book Antiqua" w:hAnsi="Book Antiqua" w:cs="Arial"/>
        </w:rPr>
        <w:t xml:space="preserve">Ms A </w:t>
      </w:r>
      <w:proofErr w:type="spellStart"/>
      <w:r w:rsidR="00EB70CF">
        <w:rPr>
          <w:rFonts w:ascii="Book Antiqua" w:hAnsi="Book Antiqua" w:cs="Arial"/>
        </w:rPr>
        <w:t>Fijiwala</w:t>
      </w:r>
      <w:proofErr w:type="spellEnd"/>
      <w:r w:rsidR="00EB70CF">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Default="000E34AA"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4F66B0" w:rsidRPr="00F5664C" w:rsidRDefault="004F66B0" w:rsidP="00402B9E">
      <w:pPr>
        <w:tabs>
          <w:tab w:val="left" w:pos="2520"/>
        </w:tabs>
        <w:jc w:val="center"/>
        <w:rPr>
          <w:rFonts w:ascii="Book Antiqua" w:hAnsi="Book Antiqua" w:cs="Arial"/>
        </w:rPr>
      </w:pPr>
    </w:p>
    <w:p w:rsidR="00B465FB" w:rsidRDefault="00EB70CF" w:rsidP="00D33B16">
      <w:pPr>
        <w:numPr>
          <w:ilvl w:val="0"/>
          <w:numId w:val="3"/>
        </w:numPr>
        <w:spacing w:before="240"/>
        <w:jc w:val="both"/>
        <w:rPr>
          <w:rFonts w:ascii="Book Antiqua" w:hAnsi="Book Antiqua" w:cs="Arial"/>
        </w:rPr>
      </w:pPr>
      <w:r>
        <w:rPr>
          <w:rFonts w:ascii="Book Antiqua" w:hAnsi="Book Antiqua" w:cs="Arial"/>
        </w:rPr>
        <w:t xml:space="preserve">This appeal has a long and protracted history.  The </w:t>
      </w:r>
      <w:r w:rsidR="00AA72EC">
        <w:rPr>
          <w:rFonts w:ascii="Book Antiqua" w:hAnsi="Book Antiqua" w:cs="Arial"/>
        </w:rPr>
        <w:t>Appellant</w:t>
      </w:r>
      <w:r>
        <w:rPr>
          <w:rFonts w:ascii="Book Antiqua" w:hAnsi="Book Antiqua" w:cs="Arial"/>
        </w:rPr>
        <w:t>, a male, and a citizen of Jamaica, born on 9</w:t>
      </w:r>
      <w:r w:rsidRPr="00EB70CF">
        <w:rPr>
          <w:rFonts w:ascii="Book Antiqua" w:hAnsi="Book Antiqua" w:cs="Arial"/>
          <w:vertAlign w:val="superscript"/>
        </w:rPr>
        <w:t>th</w:t>
      </w:r>
      <w:r>
        <w:rPr>
          <w:rFonts w:ascii="Book Antiqua" w:hAnsi="Book Antiqua" w:cs="Arial"/>
        </w:rPr>
        <w:t xml:space="preserve"> August 1959, had arrived in the UK with his family on 29</w:t>
      </w:r>
      <w:r w:rsidRPr="00EB70CF">
        <w:rPr>
          <w:rFonts w:ascii="Book Antiqua" w:hAnsi="Book Antiqua" w:cs="Arial"/>
          <w:vertAlign w:val="superscript"/>
        </w:rPr>
        <w:t>th</w:t>
      </w:r>
      <w:r>
        <w:rPr>
          <w:rFonts w:ascii="Book Antiqua" w:hAnsi="Book Antiqua" w:cs="Arial"/>
        </w:rPr>
        <w:t xml:space="preserve"> August 1973, and had been granted indefinite leave to remain.  Following a series of criminal offences, involving theft, threatening behaviour, possession of Class A drugs, the </w:t>
      </w:r>
      <w:r w:rsidR="00AA72EC">
        <w:rPr>
          <w:rFonts w:ascii="Book Antiqua" w:hAnsi="Book Antiqua" w:cs="Arial"/>
        </w:rPr>
        <w:t>Appellant</w:t>
      </w:r>
      <w:r>
        <w:rPr>
          <w:rFonts w:ascii="Book Antiqua" w:hAnsi="Book Antiqua" w:cs="Arial"/>
        </w:rPr>
        <w:t xml:space="preserve"> served a prison sentence.  He was then on 19</w:t>
      </w:r>
      <w:r w:rsidRPr="00EB70CF">
        <w:rPr>
          <w:rFonts w:ascii="Book Antiqua" w:hAnsi="Book Antiqua" w:cs="Arial"/>
          <w:vertAlign w:val="superscript"/>
        </w:rPr>
        <w:t>th</w:t>
      </w:r>
      <w:r>
        <w:rPr>
          <w:rFonts w:ascii="Book Antiqua" w:hAnsi="Book Antiqua" w:cs="Arial"/>
        </w:rPr>
        <w:t xml:space="preserve"> March 2010 issued with notice of liability to deportation.  He appealed that decision whereupon it was heard by Immigration Judge </w:t>
      </w:r>
      <w:proofErr w:type="spellStart"/>
      <w:r>
        <w:rPr>
          <w:rFonts w:ascii="Book Antiqua" w:hAnsi="Book Antiqua" w:cs="Arial"/>
        </w:rPr>
        <w:t>Tiffen</w:t>
      </w:r>
      <w:proofErr w:type="spellEnd"/>
      <w:r>
        <w:rPr>
          <w:rFonts w:ascii="Book Antiqua" w:hAnsi="Book Antiqua" w:cs="Arial"/>
        </w:rPr>
        <w:t>, in a panel hearing, on 5</w:t>
      </w:r>
      <w:r w:rsidRPr="00EB70CF">
        <w:rPr>
          <w:rFonts w:ascii="Book Antiqua" w:hAnsi="Book Antiqua" w:cs="Arial"/>
          <w:vertAlign w:val="superscript"/>
        </w:rPr>
        <w:t>th</w:t>
      </w:r>
      <w:r>
        <w:rPr>
          <w:rFonts w:ascii="Book Antiqua" w:hAnsi="Book Antiqua" w:cs="Arial"/>
        </w:rPr>
        <w:t xml:space="preserve"> October 2010.  The </w:t>
      </w:r>
      <w:r w:rsidR="00AA72EC">
        <w:rPr>
          <w:rFonts w:ascii="Book Antiqua" w:hAnsi="Book Antiqua" w:cs="Arial"/>
        </w:rPr>
        <w:t>Appellant</w:t>
      </w:r>
      <w:r>
        <w:rPr>
          <w:rFonts w:ascii="Book Antiqua" w:hAnsi="Book Antiqua" w:cs="Arial"/>
        </w:rPr>
        <w:t>’s appeal was dismissed, whereupon on 9</w:t>
      </w:r>
      <w:r w:rsidRPr="00EB70CF">
        <w:rPr>
          <w:rFonts w:ascii="Book Antiqua" w:hAnsi="Book Antiqua" w:cs="Arial"/>
          <w:vertAlign w:val="superscript"/>
        </w:rPr>
        <w:t>th</w:t>
      </w:r>
      <w:r>
        <w:rPr>
          <w:rFonts w:ascii="Book Antiqua" w:hAnsi="Book Antiqua" w:cs="Arial"/>
        </w:rPr>
        <w:t xml:space="preserve"> March 2011, a deportation order was signed and removal directions were set for 24</w:t>
      </w:r>
      <w:r w:rsidRPr="00EB70CF">
        <w:rPr>
          <w:rFonts w:ascii="Book Antiqua" w:hAnsi="Book Antiqua" w:cs="Arial"/>
          <w:vertAlign w:val="superscript"/>
        </w:rPr>
        <w:t>th</w:t>
      </w:r>
      <w:r>
        <w:rPr>
          <w:rFonts w:ascii="Book Antiqua" w:hAnsi="Book Antiqua" w:cs="Arial"/>
        </w:rPr>
        <w:t xml:space="preserve"> March 2011.  </w:t>
      </w:r>
    </w:p>
    <w:p w:rsidR="00B465FB" w:rsidRDefault="00EB70CF" w:rsidP="00D33B16">
      <w:pPr>
        <w:numPr>
          <w:ilvl w:val="0"/>
          <w:numId w:val="3"/>
        </w:numPr>
        <w:spacing w:before="240"/>
        <w:jc w:val="both"/>
        <w:rPr>
          <w:rFonts w:ascii="Book Antiqua" w:hAnsi="Book Antiqua" w:cs="Arial"/>
        </w:rPr>
      </w:pPr>
      <w:r>
        <w:rPr>
          <w:rFonts w:ascii="Book Antiqua" w:hAnsi="Book Antiqua" w:cs="Arial"/>
        </w:rPr>
        <w:lastRenderedPageBreak/>
        <w:t xml:space="preserve">The </w:t>
      </w:r>
      <w:r w:rsidR="00AA72EC">
        <w:rPr>
          <w:rFonts w:ascii="Book Antiqua" w:hAnsi="Book Antiqua" w:cs="Arial"/>
        </w:rPr>
        <w:t>Appellant</w:t>
      </w:r>
      <w:r>
        <w:rPr>
          <w:rFonts w:ascii="Book Antiqua" w:hAnsi="Book Antiqua" w:cs="Arial"/>
        </w:rPr>
        <w:t>, a father of two UK born children, and one granddaughter, subsequently thereafter applied for a revocation of the deportation order, and this came for determination before Judge Rothwell on 19</w:t>
      </w:r>
      <w:r w:rsidRPr="00EB70CF">
        <w:rPr>
          <w:rFonts w:ascii="Book Antiqua" w:hAnsi="Book Antiqua" w:cs="Arial"/>
          <w:vertAlign w:val="superscript"/>
        </w:rPr>
        <w:t>th</w:t>
      </w:r>
      <w:r>
        <w:rPr>
          <w:rFonts w:ascii="Book Antiqua" w:hAnsi="Book Antiqua" w:cs="Arial"/>
        </w:rPr>
        <w:t xml:space="preserve"> December 2011, who after a panel hearing, rejected the application for revocation on 9</w:t>
      </w:r>
      <w:r w:rsidRPr="00EB70CF">
        <w:rPr>
          <w:rFonts w:ascii="Book Antiqua" w:hAnsi="Book Antiqua" w:cs="Arial"/>
          <w:vertAlign w:val="superscript"/>
        </w:rPr>
        <w:t>th</w:t>
      </w:r>
      <w:r>
        <w:rPr>
          <w:rFonts w:ascii="Book Antiqua" w:hAnsi="Book Antiqua" w:cs="Arial"/>
        </w:rPr>
        <w:t xml:space="preserve"> January 2012.  Permission to appeal against that decision was thereafter granted by the Court of Appeal by Elias LJ at an oral hearing on 13</w:t>
      </w:r>
      <w:r w:rsidRPr="00EB70CF">
        <w:rPr>
          <w:rFonts w:ascii="Book Antiqua" w:hAnsi="Book Antiqua" w:cs="Arial"/>
          <w:vertAlign w:val="superscript"/>
        </w:rPr>
        <w:t>th</w:t>
      </w:r>
      <w:r>
        <w:rPr>
          <w:rFonts w:ascii="Book Antiqua" w:hAnsi="Book Antiqua" w:cs="Arial"/>
        </w:rPr>
        <w:t xml:space="preserve"> February 2013.  The matter returned to the Upper Tribunal where Mr Justice Mitting, following a panel hearing, allowed the </w:t>
      </w:r>
      <w:r w:rsidR="00AA72EC">
        <w:rPr>
          <w:rFonts w:ascii="Book Antiqua" w:hAnsi="Book Antiqua" w:cs="Arial"/>
        </w:rPr>
        <w:t>Appellant</w:t>
      </w:r>
      <w:r>
        <w:rPr>
          <w:rFonts w:ascii="Book Antiqua" w:hAnsi="Book Antiqua" w:cs="Arial"/>
        </w:rPr>
        <w:t>’s appeal on 4</w:t>
      </w:r>
      <w:r w:rsidRPr="00EB70CF">
        <w:rPr>
          <w:rFonts w:ascii="Book Antiqua" w:hAnsi="Book Antiqua" w:cs="Arial"/>
          <w:vertAlign w:val="superscript"/>
        </w:rPr>
        <w:t>th</w:t>
      </w:r>
      <w:r>
        <w:rPr>
          <w:rFonts w:ascii="Book Antiqua" w:hAnsi="Book Antiqua" w:cs="Arial"/>
        </w:rPr>
        <w:t xml:space="preserve"> December 2013.  </w:t>
      </w:r>
    </w:p>
    <w:p w:rsidR="00B465FB" w:rsidRDefault="00EB70CF" w:rsidP="00B465FB">
      <w:pPr>
        <w:numPr>
          <w:ilvl w:val="0"/>
          <w:numId w:val="3"/>
        </w:numPr>
        <w:spacing w:before="240"/>
        <w:jc w:val="both"/>
        <w:rPr>
          <w:rFonts w:ascii="Book Antiqua" w:hAnsi="Book Antiqua" w:cs="Arial"/>
        </w:rPr>
      </w:pPr>
      <w:r>
        <w:rPr>
          <w:rFonts w:ascii="Book Antiqua" w:hAnsi="Book Antiqua" w:cs="Arial"/>
        </w:rPr>
        <w:t>Thereafter the Secretary of State appealed the determination to the Court of Appeal on the basis that the Tribunal had materially erred because it applied the Rules on depor</w:t>
      </w:r>
      <w:r w:rsidR="000420BC">
        <w:rPr>
          <w:rFonts w:ascii="Book Antiqua" w:hAnsi="Book Antiqua" w:cs="Arial"/>
        </w:rPr>
        <w:t>t</w:t>
      </w:r>
      <w:r>
        <w:rPr>
          <w:rFonts w:ascii="Book Antiqua" w:hAnsi="Book Antiqua" w:cs="Arial"/>
        </w:rPr>
        <w:t>ation as a “relevant matter”, rather than a “complete code”</w:t>
      </w:r>
      <w:r w:rsidR="000420BC">
        <w:rPr>
          <w:rFonts w:ascii="Book Antiqua" w:hAnsi="Book Antiqua" w:cs="Arial"/>
        </w:rPr>
        <w:t>.  Tomlinson LJ granted permission to the Secretary of State on 13</w:t>
      </w:r>
      <w:r w:rsidR="000420BC" w:rsidRPr="000420BC">
        <w:rPr>
          <w:rFonts w:ascii="Book Antiqua" w:hAnsi="Book Antiqua" w:cs="Arial"/>
          <w:vertAlign w:val="superscript"/>
        </w:rPr>
        <w:t>th</w:t>
      </w:r>
      <w:r w:rsidR="000420BC">
        <w:rPr>
          <w:rFonts w:ascii="Book Antiqua" w:hAnsi="Book Antiqua" w:cs="Arial"/>
        </w:rPr>
        <w:t xml:space="preserve"> December 2014, and the appeal was subsequently allowed by consent (see bundle at 1-3).  </w:t>
      </w:r>
      <w:r w:rsidR="000420BC" w:rsidRPr="00B465FB">
        <w:rPr>
          <w:rFonts w:ascii="Book Antiqua" w:hAnsi="Book Antiqua" w:cs="Arial"/>
        </w:rPr>
        <w:t xml:space="preserve">The effect of the consent order was that the Upper Tribunal’s determination, allowing the </w:t>
      </w:r>
      <w:r w:rsidR="00AA72EC" w:rsidRPr="00B465FB">
        <w:rPr>
          <w:rFonts w:ascii="Book Antiqua" w:hAnsi="Book Antiqua" w:cs="Arial"/>
        </w:rPr>
        <w:t>Appellant</w:t>
      </w:r>
      <w:r w:rsidR="000420BC" w:rsidRPr="00B465FB">
        <w:rPr>
          <w:rFonts w:ascii="Book Antiqua" w:hAnsi="Book Antiqua" w:cs="Arial"/>
        </w:rPr>
        <w:t xml:space="preserve">’s appeal was set aside, and the matter was remitted back to the First-tier Tribunal for further consideration.  </w:t>
      </w:r>
    </w:p>
    <w:p w:rsidR="00B465FB" w:rsidRDefault="000420BC" w:rsidP="00B465FB">
      <w:pPr>
        <w:numPr>
          <w:ilvl w:val="0"/>
          <w:numId w:val="3"/>
        </w:numPr>
        <w:spacing w:before="240"/>
        <w:jc w:val="both"/>
        <w:rPr>
          <w:rFonts w:ascii="Book Antiqua" w:hAnsi="Book Antiqua" w:cs="Arial"/>
        </w:rPr>
      </w:pPr>
      <w:r w:rsidRPr="00B465FB">
        <w:rPr>
          <w:rFonts w:ascii="Book Antiqua" w:hAnsi="Book Antiqua" w:cs="Arial"/>
        </w:rPr>
        <w:t>When Judge Malone</w:t>
      </w:r>
      <w:r w:rsidR="005A3BC6" w:rsidRPr="00B465FB">
        <w:rPr>
          <w:rFonts w:ascii="Book Antiqua" w:hAnsi="Book Antiqua" w:cs="Arial"/>
        </w:rPr>
        <w:t>, heard the appeal on 26</w:t>
      </w:r>
      <w:r w:rsidR="005A3BC6" w:rsidRPr="00B465FB">
        <w:rPr>
          <w:rFonts w:ascii="Book Antiqua" w:hAnsi="Book Antiqua" w:cs="Arial"/>
          <w:vertAlign w:val="superscript"/>
        </w:rPr>
        <w:t>th</w:t>
      </w:r>
      <w:r w:rsidR="005A3BC6" w:rsidRPr="00B465FB">
        <w:rPr>
          <w:rFonts w:ascii="Book Antiqua" w:hAnsi="Book Antiqua" w:cs="Arial"/>
        </w:rPr>
        <w:t xml:space="preserve"> October 2017 at Taylor House, the judge went on thereafter to allow the appeal, on the basis that the </w:t>
      </w:r>
      <w:r w:rsidR="00AA72EC" w:rsidRPr="00B465FB">
        <w:rPr>
          <w:rFonts w:ascii="Book Antiqua" w:hAnsi="Book Antiqua" w:cs="Arial"/>
        </w:rPr>
        <w:t>Appellant</w:t>
      </w:r>
      <w:r w:rsidR="005A3BC6" w:rsidRPr="00B465FB">
        <w:rPr>
          <w:rFonts w:ascii="Book Antiqua" w:hAnsi="Book Antiqua" w:cs="Arial"/>
        </w:rPr>
        <w:t xml:space="preserve"> had no-one with whom he was in contact in Jamaica, had never been back since coming to the UK in 1973 at the age of 14, was now 58</w:t>
      </w:r>
      <w:r w:rsidRPr="00B465FB">
        <w:rPr>
          <w:rFonts w:ascii="Book Antiqua" w:hAnsi="Book Antiqua" w:cs="Arial"/>
        </w:rPr>
        <w:t xml:space="preserve"> </w:t>
      </w:r>
      <w:r w:rsidR="005A3BC6" w:rsidRPr="00B465FB">
        <w:rPr>
          <w:rFonts w:ascii="Book Antiqua" w:hAnsi="Book Antiqua" w:cs="Arial"/>
        </w:rPr>
        <w:t xml:space="preserve">years old, was particularly vulnerable, and that his </w:t>
      </w:r>
      <w:r w:rsidR="0003337E" w:rsidRPr="00B465FB">
        <w:rPr>
          <w:rFonts w:ascii="Book Antiqua" w:hAnsi="Book Antiqua" w:cs="Arial"/>
        </w:rPr>
        <w:t>mental</w:t>
      </w:r>
      <w:r w:rsidR="005A3BC6" w:rsidRPr="00B465FB">
        <w:rPr>
          <w:rFonts w:ascii="Book Antiqua" w:hAnsi="Book Antiqua" w:cs="Arial"/>
        </w:rPr>
        <w:t xml:space="preserve"> vulnerability would be exacerbated, in that there was a report by Mr de </w:t>
      </w:r>
      <w:proofErr w:type="spellStart"/>
      <w:r w:rsidR="005A3BC6" w:rsidRPr="00B465FB">
        <w:rPr>
          <w:rFonts w:ascii="Book Antiqua" w:hAnsi="Book Antiqua" w:cs="Arial"/>
        </w:rPr>
        <w:t>Moronha</w:t>
      </w:r>
      <w:proofErr w:type="spellEnd"/>
      <w:r w:rsidR="005A3BC6" w:rsidRPr="00B465FB">
        <w:rPr>
          <w:rFonts w:ascii="Book Antiqua" w:hAnsi="Book Antiqua" w:cs="Arial"/>
        </w:rPr>
        <w:t xml:space="preserve"> to the effect that obtaining medical treatment would be very difficult in Jamaica for the </w:t>
      </w:r>
      <w:r w:rsidR="00AA72EC" w:rsidRPr="00B465FB">
        <w:rPr>
          <w:rFonts w:ascii="Book Antiqua" w:hAnsi="Book Antiqua" w:cs="Arial"/>
        </w:rPr>
        <w:t>Appellant</w:t>
      </w:r>
      <w:r w:rsidR="005A3BC6" w:rsidRPr="00B465FB">
        <w:rPr>
          <w:rFonts w:ascii="Book Antiqua" w:hAnsi="Book Antiqua" w:cs="Arial"/>
        </w:rPr>
        <w:t xml:space="preserve"> and there was any risk that he would be overwhelmed by feeling of hopelessness that he might start</w:t>
      </w:r>
      <w:r w:rsidR="00A403E1" w:rsidRPr="00B465FB">
        <w:rPr>
          <w:rFonts w:ascii="Book Antiqua" w:hAnsi="Book Antiqua" w:cs="Arial"/>
        </w:rPr>
        <w:t xml:space="preserve"> harm</w:t>
      </w:r>
      <w:r w:rsidR="005A3BC6" w:rsidRPr="00B465FB">
        <w:rPr>
          <w:rFonts w:ascii="Book Antiqua" w:hAnsi="Book Antiqua" w:cs="Arial"/>
        </w:rPr>
        <w:t xml:space="preserve">ing himself.  </w:t>
      </w:r>
    </w:p>
    <w:p w:rsidR="00D33B16" w:rsidRPr="00B465FB" w:rsidRDefault="005A3BC6" w:rsidP="00B465FB">
      <w:pPr>
        <w:numPr>
          <w:ilvl w:val="0"/>
          <w:numId w:val="3"/>
        </w:numPr>
        <w:spacing w:before="240"/>
        <w:jc w:val="both"/>
        <w:rPr>
          <w:rFonts w:ascii="Book Antiqua" w:hAnsi="Book Antiqua" w:cs="Arial"/>
        </w:rPr>
      </w:pPr>
      <w:r w:rsidRPr="00B465FB">
        <w:rPr>
          <w:rFonts w:ascii="Book Antiqua" w:hAnsi="Book Antiqua" w:cs="Arial"/>
        </w:rPr>
        <w:t>The decision of First-tier Tribunal Judge Malone, promulgated on 23</w:t>
      </w:r>
      <w:r w:rsidRPr="00B465FB">
        <w:rPr>
          <w:rFonts w:ascii="Book Antiqua" w:hAnsi="Book Antiqua" w:cs="Arial"/>
          <w:vertAlign w:val="superscript"/>
        </w:rPr>
        <w:t>rd</w:t>
      </w:r>
      <w:r w:rsidRPr="00B465FB">
        <w:rPr>
          <w:rFonts w:ascii="Book Antiqua" w:hAnsi="Book Antiqua" w:cs="Arial"/>
        </w:rPr>
        <w:t xml:space="preserve"> November 2017, allowing the </w:t>
      </w:r>
      <w:r w:rsidR="00AA72EC" w:rsidRPr="00B465FB">
        <w:rPr>
          <w:rFonts w:ascii="Book Antiqua" w:hAnsi="Book Antiqua" w:cs="Arial"/>
        </w:rPr>
        <w:t>Appellant</w:t>
      </w:r>
      <w:r w:rsidRPr="00B465FB">
        <w:rPr>
          <w:rFonts w:ascii="Book Antiqua" w:hAnsi="Book Antiqua" w:cs="Arial"/>
        </w:rPr>
        <w:t>’s appeal, was appealed by the Respondent Secretary of State, and on 30</w:t>
      </w:r>
      <w:r w:rsidRPr="00B465FB">
        <w:rPr>
          <w:rFonts w:ascii="Book Antiqua" w:hAnsi="Book Antiqua" w:cs="Arial"/>
          <w:vertAlign w:val="superscript"/>
        </w:rPr>
        <w:t>th</w:t>
      </w:r>
      <w:r w:rsidRPr="00B465FB">
        <w:rPr>
          <w:rFonts w:ascii="Book Antiqua" w:hAnsi="Book Antiqua" w:cs="Arial"/>
        </w:rPr>
        <w:t xml:space="preserve"> January 2018, the First-tier Tribunal granted permission, expressly on the basis that the judge erred in concluding that the </w:t>
      </w:r>
      <w:r w:rsidR="00AA72EC" w:rsidRPr="00B465FB">
        <w:rPr>
          <w:rFonts w:ascii="Book Antiqua" w:hAnsi="Book Antiqua" w:cs="Arial"/>
        </w:rPr>
        <w:t>Appellant</w:t>
      </w:r>
      <w:r w:rsidRPr="00B465FB">
        <w:rPr>
          <w:rFonts w:ascii="Book Antiqua" w:hAnsi="Book Antiqua" w:cs="Arial"/>
        </w:rPr>
        <w:t xml:space="preserve"> was at risk as a perceived homosexual when the evidence of press coverage about his case confirmed the claim that he was gay to be fake.  The judge had also erred with respect to the</w:t>
      </w:r>
      <w:r w:rsidR="00075B5A" w:rsidRPr="00B465FB">
        <w:rPr>
          <w:rFonts w:ascii="Book Antiqua" w:hAnsi="Book Antiqua" w:cs="Arial"/>
        </w:rPr>
        <w:t xml:space="preserve"> decision in </w:t>
      </w:r>
      <w:r w:rsidR="00075B5A" w:rsidRPr="00B465FB">
        <w:rPr>
          <w:rFonts w:ascii="Book Antiqua" w:hAnsi="Book Antiqua" w:cs="Arial"/>
          <w:b/>
          <w:u w:val="single"/>
        </w:rPr>
        <w:t>CP</w:t>
      </w:r>
      <w:r w:rsidR="00075B5A" w:rsidRPr="00B465FB">
        <w:rPr>
          <w:rFonts w:ascii="Book Antiqua" w:hAnsi="Book Antiqua" w:cs="Arial"/>
        </w:rPr>
        <w:t xml:space="preserve"> </w:t>
      </w:r>
      <w:r w:rsidR="00075B5A" w:rsidRPr="00B465FB">
        <w:rPr>
          <w:rFonts w:ascii="Book Antiqua" w:hAnsi="Book Antiqua" w:cs="Arial"/>
          <w:b/>
        </w:rPr>
        <w:t>(Vietnam)</w:t>
      </w:r>
      <w:r w:rsidR="00075B5A" w:rsidRPr="00B465FB">
        <w:rPr>
          <w:rFonts w:ascii="Book Antiqua" w:hAnsi="Book Antiqua" w:cs="Arial"/>
        </w:rPr>
        <w:t xml:space="preserve"> </w:t>
      </w:r>
      <w:r w:rsidR="00075B5A" w:rsidRPr="00B465FB">
        <w:rPr>
          <w:rFonts w:ascii="Book Antiqua" w:hAnsi="Book Antiqua" w:cs="Arial"/>
          <w:b/>
        </w:rPr>
        <w:t xml:space="preserve">[2016] EWCA </w:t>
      </w:r>
      <w:proofErr w:type="spellStart"/>
      <w:r w:rsidR="00075B5A" w:rsidRPr="00B465FB">
        <w:rPr>
          <w:rFonts w:ascii="Book Antiqua" w:hAnsi="Book Antiqua" w:cs="Arial"/>
          <w:b/>
        </w:rPr>
        <w:t>Civ</w:t>
      </w:r>
      <w:proofErr w:type="spellEnd"/>
      <w:r w:rsidR="00075B5A" w:rsidRPr="00B465FB">
        <w:rPr>
          <w:rFonts w:ascii="Book Antiqua" w:hAnsi="Book Antiqua" w:cs="Arial"/>
          <w:b/>
        </w:rPr>
        <w:t xml:space="preserve"> 488</w:t>
      </w:r>
      <w:r w:rsidR="00075B5A" w:rsidRPr="00B465FB">
        <w:rPr>
          <w:rFonts w:ascii="Book Antiqua" w:hAnsi="Book Antiqua" w:cs="Arial"/>
        </w:rPr>
        <w:t>.  It is in these circumstances that the appeal now comes before me.</w:t>
      </w:r>
    </w:p>
    <w:p w:rsidR="00075B5A" w:rsidRPr="00075B5A" w:rsidRDefault="00075B5A" w:rsidP="00075B5A">
      <w:pPr>
        <w:spacing w:before="240"/>
        <w:jc w:val="both"/>
        <w:rPr>
          <w:rFonts w:ascii="Book Antiqua" w:hAnsi="Book Antiqua" w:cs="Arial"/>
          <w:b/>
          <w:u w:val="single"/>
        </w:rPr>
      </w:pPr>
      <w:r>
        <w:rPr>
          <w:rFonts w:ascii="Book Antiqua" w:hAnsi="Book Antiqua" w:cs="Arial"/>
          <w:b/>
          <w:u w:val="single"/>
        </w:rPr>
        <w:t xml:space="preserve">Submissions </w:t>
      </w:r>
    </w:p>
    <w:p w:rsidR="00075B5A" w:rsidRDefault="00075B5A" w:rsidP="00D33B16">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Fijiwala</w:t>
      </w:r>
      <w:proofErr w:type="spellEnd"/>
      <w:r>
        <w:rPr>
          <w:rFonts w:ascii="Book Antiqua" w:hAnsi="Book Antiqua" w:cs="Arial"/>
        </w:rPr>
        <w:t xml:space="preserve">, appearing on behalf of the Respondent Secretary of State, as Senior Home Office Presenting Officer, submitted that Judge Malone erred on law with respect to his findings.  First, he held that the </w:t>
      </w:r>
      <w:r w:rsidR="00AA72EC">
        <w:rPr>
          <w:rFonts w:ascii="Book Antiqua" w:hAnsi="Book Antiqua" w:cs="Arial"/>
        </w:rPr>
        <w:t>Appellant</w:t>
      </w:r>
      <w:r>
        <w:rPr>
          <w:rFonts w:ascii="Book Antiqua" w:hAnsi="Book Antiqua" w:cs="Arial"/>
        </w:rPr>
        <w:t xml:space="preserve"> was an honest and reliable witness (see paragraph 37.  However, it was plain that he was not.  He claimed to have been reformed.  Yet, as the judge recalled, “it was pointed out to the </w:t>
      </w:r>
      <w:r w:rsidR="00AA72EC">
        <w:rPr>
          <w:rFonts w:ascii="Book Antiqua" w:hAnsi="Book Antiqua" w:cs="Arial"/>
        </w:rPr>
        <w:t>Appellant</w:t>
      </w:r>
      <w:r>
        <w:rPr>
          <w:rFonts w:ascii="Book Antiqua" w:hAnsi="Book Antiqua" w:cs="Arial"/>
        </w:rPr>
        <w:t xml:space="preserve"> that he had told this Tribunal at the end of 2011 that he had reformed yet he offended again in 2015” (paragraph 52).  This was an </w:t>
      </w:r>
      <w:r w:rsidR="00AA72EC">
        <w:rPr>
          <w:rFonts w:ascii="Book Antiqua" w:hAnsi="Book Antiqua" w:cs="Arial"/>
        </w:rPr>
        <w:t>Appellant</w:t>
      </w:r>
      <w:r>
        <w:rPr>
          <w:rFonts w:ascii="Book Antiqua" w:hAnsi="Book Antiqua" w:cs="Arial"/>
        </w:rPr>
        <w:t xml:space="preserve"> who had reoffended in 2014, 2015, and again in 2017.  The PNC Report confirms this.  These matters, submitted Ms </w:t>
      </w:r>
      <w:proofErr w:type="spellStart"/>
      <w:r>
        <w:rPr>
          <w:rFonts w:ascii="Book Antiqua" w:hAnsi="Book Antiqua" w:cs="Arial"/>
        </w:rPr>
        <w:t>Fijiwala</w:t>
      </w:r>
      <w:proofErr w:type="spellEnd"/>
      <w:r>
        <w:rPr>
          <w:rFonts w:ascii="Book Antiqua" w:hAnsi="Book Antiqua" w:cs="Arial"/>
        </w:rPr>
        <w:t xml:space="preserve">, had a bearing upon the ultimate findings reached at paragraph 149, where the judge stated that, “I accept he is generally trying to change the direction of his life” because </w:t>
      </w:r>
      <w:r>
        <w:rPr>
          <w:rFonts w:ascii="Book Antiqua" w:hAnsi="Book Antiqua" w:cs="Arial"/>
        </w:rPr>
        <w:lastRenderedPageBreak/>
        <w:t xml:space="preserve">it was plain that he was not.  He had attempted to steal a purse, and got involved in a fight, in order to buy food, whilst he was in a food supermarket (see paragraph 47).  Moreover, he had falsely claimed to have been a homosexual, and this was rejected outright by the judge (at paragraph 17) as the </w:t>
      </w:r>
      <w:r w:rsidR="00AA72EC">
        <w:rPr>
          <w:rFonts w:ascii="Book Antiqua" w:hAnsi="Book Antiqua" w:cs="Arial"/>
        </w:rPr>
        <w:t>Appellant</w:t>
      </w:r>
      <w:r>
        <w:rPr>
          <w:rFonts w:ascii="Book Antiqua" w:hAnsi="Book Antiqua" w:cs="Arial"/>
        </w:rPr>
        <w:t xml:space="preserve"> tried to avoid being deported to Jamaica.</w:t>
      </w:r>
    </w:p>
    <w:p w:rsidR="00024BF5" w:rsidRDefault="00024BF5" w:rsidP="00D33B16">
      <w:pPr>
        <w:numPr>
          <w:ilvl w:val="0"/>
          <w:numId w:val="3"/>
        </w:numPr>
        <w:spacing w:before="240"/>
        <w:jc w:val="both"/>
        <w:rPr>
          <w:rFonts w:ascii="Book Antiqua" w:hAnsi="Book Antiqua" w:cs="Arial"/>
        </w:rPr>
      </w:pPr>
      <w:r>
        <w:rPr>
          <w:rFonts w:ascii="Book Antiqua" w:hAnsi="Book Antiqua" w:cs="Arial"/>
        </w:rPr>
        <w:t xml:space="preserve">Second, the judge was wrong, having rejected the </w:t>
      </w:r>
      <w:r w:rsidR="00AA72EC">
        <w:rPr>
          <w:rFonts w:ascii="Book Antiqua" w:hAnsi="Book Antiqua" w:cs="Arial"/>
        </w:rPr>
        <w:t>Appellant</w:t>
      </w:r>
      <w:r>
        <w:rPr>
          <w:rFonts w:ascii="Book Antiqua" w:hAnsi="Book Antiqua" w:cs="Arial"/>
        </w:rPr>
        <w:t xml:space="preserve">’s claim to have been homosexual, to then conclude that the false claim that he was gay was enough to bring him within Article 3 protection.  The judge put this down to Jamaican attitudes against perceived homosexuality, and the press coverage that was given to the </w:t>
      </w:r>
      <w:r w:rsidR="00AA72EC">
        <w:rPr>
          <w:rFonts w:ascii="Book Antiqua" w:hAnsi="Book Antiqua" w:cs="Arial"/>
        </w:rPr>
        <w:t>Appellant</w:t>
      </w:r>
      <w:r>
        <w:rPr>
          <w:rFonts w:ascii="Book Antiqua" w:hAnsi="Book Antiqua" w:cs="Arial"/>
        </w:rPr>
        <w:t xml:space="preserve">’s case in 2015, but in doing so, the judge completely failed to address that the news items were concentrating on the </w:t>
      </w:r>
      <w:r w:rsidR="00AA72EC">
        <w:rPr>
          <w:rFonts w:ascii="Book Antiqua" w:hAnsi="Book Antiqua" w:cs="Arial"/>
        </w:rPr>
        <w:t>Appellant</w:t>
      </w:r>
      <w:r>
        <w:rPr>
          <w:rFonts w:ascii="Book Antiqua" w:hAnsi="Book Antiqua" w:cs="Arial"/>
        </w:rPr>
        <w:t xml:space="preserve">’s criminality and fake claims, in respect of his sexuality, in order to avoid deportation, and none of the press reports in Jamaica actually confirm that the </w:t>
      </w:r>
      <w:r w:rsidR="00AA72EC">
        <w:rPr>
          <w:rFonts w:ascii="Book Antiqua" w:hAnsi="Book Antiqua" w:cs="Arial"/>
        </w:rPr>
        <w:t>Appellant</w:t>
      </w:r>
      <w:r>
        <w:rPr>
          <w:rFonts w:ascii="Book Antiqua" w:hAnsi="Book Antiqua" w:cs="Arial"/>
        </w:rPr>
        <w:t xml:space="preserve"> is indeed gay.  In fact, they confirm the opposite.  If there was a backlash to the </w:t>
      </w:r>
      <w:r w:rsidR="00AA72EC">
        <w:rPr>
          <w:rFonts w:ascii="Book Antiqua" w:hAnsi="Book Antiqua" w:cs="Arial"/>
        </w:rPr>
        <w:t>Appellant</w:t>
      </w:r>
      <w:r>
        <w:rPr>
          <w:rFonts w:ascii="Book Antiqua" w:hAnsi="Book Antiqua" w:cs="Arial"/>
        </w:rPr>
        <w:t xml:space="preserve">, it came from the British public’s outrage at the </w:t>
      </w:r>
      <w:r w:rsidR="00AA72EC">
        <w:rPr>
          <w:rFonts w:ascii="Book Antiqua" w:hAnsi="Book Antiqua" w:cs="Arial"/>
        </w:rPr>
        <w:t>Appellant</w:t>
      </w:r>
      <w:r>
        <w:rPr>
          <w:rFonts w:ascii="Book Antiqua" w:hAnsi="Book Antiqua" w:cs="Arial"/>
        </w:rPr>
        <w:t xml:space="preserve">’s behaviour.  It did not come from the Jamaican public.  Yet, the judge went on to say that the fact that the </w:t>
      </w:r>
      <w:r w:rsidR="00AA72EC">
        <w:rPr>
          <w:rFonts w:ascii="Book Antiqua" w:hAnsi="Book Antiqua" w:cs="Arial"/>
        </w:rPr>
        <w:t>Appellant</w:t>
      </w:r>
      <w:r>
        <w:rPr>
          <w:rFonts w:ascii="Book Antiqua" w:hAnsi="Book Antiqua" w:cs="Arial"/>
        </w:rPr>
        <w:t xml:space="preserve"> continued to maintain that he was gay would probably arouse suspicion, that he really was gay, and make him vulnerable to violence in Jamaica.  This, however, is entirely speculative.  It is also speculative to suggest that the </w:t>
      </w:r>
      <w:r w:rsidR="00AA72EC">
        <w:rPr>
          <w:rFonts w:ascii="Book Antiqua" w:hAnsi="Book Antiqua" w:cs="Arial"/>
        </w:rPr>
        <w:t>Appellant</w:t>
      </w:r>
      <w:r>
        <w:rPr>
          <w:rFonts w:ascii="Book Antiqua" w:hAnsi="Book Antiqua" w:cs="Arial"/>
        </w:rPr>
        <w:t xml:space="preserve"> would be disadvantaged in the labour market because he would end up with no shelter or food.  This was a case where the </w:t>
      </w:r>
      <w:r w:rsidR="00AA72EC">
        <w:rPr>
          <w:rFonts w:ascii="Book Antiqua" w:hAnsi="Book Antiqua" w:cs="Arial"/>
        </w:rPr>
        <w:t>Appellant</w:t>
      </w:r>
      <w:r>
        <w:rPr>
          <w:rFonts w:ascii="Book Antiqua" w:hAnsi="Book Antiqua" w:cs="Arial"/>
        </w:rPr>
        <w:t xml:space="preserve"> was plainly able to work and to form interpersonal relationships upon return.</w:t>
      </w:r>
      <w:r w:rsidR="00D170CF">
        <w:rPr>
          <w:rFonts w:ascii="Book Antiqua" w:hAnsi="Book Antiqua" w:cs="Arial"/>
        </w:rPr>
        <w:t xml:space="preserve">  There was no adequate evidence to support a sustainable finding that he was at real risk</w:t>
      </w:r>
      <w:r w:rsidR="004034FA">
        <w:rPr>
          <w:rFonts w:ascii="Book Antiqua" w:hAnsi="Book Antiqua" w:cs="Arial"/>
        </w:rPr>
        <w:t xml:space="preserve"> of destitution.  No evidence had been cited in the determination.  Moreover, the </w:t>
      </w:r>
      <w:r w:rsidR="00AA72EC">
        <w:rPr>
          <w:rFonts w:ascii="Book Antiqua" w:hAnsi="Book Antiqua" w:cs="Arial"/>
        </w:rPr>
        <w:t>Appellant</w:t>
      </w:r>
      <w:r w:rsidR="004034FA">
        <w:rPr>
          <w:rFonts w:ascii="Book Antiqua" w:hAnsi="Book Antiqua" w:cs="Arial"/>
        </w:rPr>
        <w:t>’s son, W</w:t>
      </w:r>
      <w:bookmarkStart w:id="0" w:name="_GoBack"/>
      <w:bookmarkEnd w:id="0"/>
      <w:r w:rsidR="004034FA">
        <w:rPr>
          <w:rFonts w:ascii="Book Antiqua" w:hAnsi="Book Antiqua" w:cs="Arial"/>
        </w:rPr>
        <w:t xml:space="preserve">, had confirmed that he would continue to help the </w:t>
      </w:r>
      <w:r w:rsidR="00AA72EC">
        <w:rPr>
          <w:rFonts w:ascii="Book Antiqua" w:hAnsi="Book Antiqua" w:cs="Arial"/>
        </w:rPr>
        <w:t>Appellant</w:t>
      </w:r>
      <w:r w:rsidR="004034FA">
        <w:rPr>
          <w:rFonts w:ascii="Book Antiqua" w:hAnsi="Book Antiqua" w:cs="Arial"/>
        </w:rPr>
        <w:t xml:space="preserve"> if he was deported (see paragraph 98).  Accordingly, as far as the judge’s findings in relation to Articles 3 and 8 ECHR were concerned, he had plainly fallen into error.  </w:t>
      </w:r>
    </w:p>
    <w:p w:rsidR="009009C5" w:rsidRDefault="004034FA" w:rsidP="00D33B16">
      <w:pPr>
        <w:numPr>
          <w:ilvl w:val="0"/>
          <w:numId w:val="3"/>
        </w:numPr>
        <w:spacing w:before="240"/>
        <w:jc w:val="both"/>
        <w:rPr>
          <w:rFonts w:ascii="Book Antiqua" w:hAnsi="Book Antiqua" w:cs="Arial"/>
        </w:rPr>
      </w:pPr>
      <w:r>
        <w:rPr>
          <w:rFonts w:ascii="Book Antiqua" w:hAnsi="Book Antiqua" w:cs="Arial"/>
        </w:rPr>
        <w:t>Third, in coming to the conclusion that the refusal letter of 21</w:t>
      </w:r>
      <w:r w:rsidRPr="004034FA">
        <w:rPr>
          <w:rFonts w:ascii="Book Antiqua" w:hAnsi="Book Antiqua" w:cs="Arial"/>
          <w:vertAlign w:val="superscript"/>
        </w:rPr>
        <w:t>st</w:t>
      </w:r>
      <w:r>
        <w:rPr>
          <w:rFonts w:ascii="Book Antiqua" w:hAnsi="Book Antiqua" w:cs="Arial"/>
        </w:rPr>
        <w:t xml:space="preserve"> September 2011 had relied only on the 2009 convictions, without drawing attention to the previous offences which could not be taken into account, the judge had failed to give proper weight to Section 117</w:t>
      </w:r>
      <w:proofErr w:type="gramStart"/>
      <w:r>
        <w:rPr>
          <w:rFonts w:ascii="Book Antiqua" w:hAnsi="Book Antiqua" w:cs="Arial"/>
        </w:rPr>
        <w:t>C(</w:t>
      </w:r>
      <w:proofErr w:type="gramEnd"/>
      <w:r>
        <w:rPr>
          <w:rFonts w:ascii="Book Antiqua" w:hAnsi="Book Antiqua" w:cs="Arial"/>
        </w:rPr>
        <w:t xml:space="preserve">6) of the NIAA 2002 which makes it clear that, </w:t>
      </w:r>
    </w:p>
    <w:p w:rsidR="009009C5" w:rsidRPr="00B161AA" w:rsidRDefault="004034FA" w:rsidP="00B161AA">
      <w:pPr>
        <w:spacing w:before="120"/>
        <w:ind w:left="1134"/>
        <w:jc w:val="both"/>
        <w:rPr>
          <w:rFonts w:ascii="Book Antiqua" w:hAnsi="Book Antiqua" w:cs="Arial"/>
          <w:sz w:val="22"/>
          <w:szCs w:val="22"/>
        </w:rPr>
      </w:pPr>
      <w:r w:rsidRPr="00B161AA">
        <w:rPr>
          <w:rFonts w:ascii="Book Antiqua" w:hAnsi="Book Antiqua" w:cs="Arial"/>
          <w:sz w:val="22"/>
          <w:szCs w:val="22"/>
        </w:rPr>
        <w:t>“</w:t>
      </w:r>
      <w:r w:rsidR="00B161AA">
        <w:rPr>
          <w:rFonts w:ascii="Book Antiqua" w:hAnsi="Book Antiqua" w:cs="Arial"/>
          <w:sz w:val="22"/>
          <w:szCs w:val="22"/>
        </w:rPr>
        <w:t xml:space="preserve">… </w:t>
      </w:r>
      <w:r w:rsidRPr="00B161AA">
        <w:rPr>
          <w:rFonts w:ascii="Book Antiqua" w:hAnsi="Book Antiqua" w:cs="Arial"/>
          <w:sz w:val="22"/>
          <w:szCs w:val="22"/>
        </w:rPr>
        <w:t>in the case of a foreign criminal who has been sentenced to a period of imprisonment of at least four years, the public interest requires deportation unless there are v</w:t>
      </w:r>
      <w:r w:rsidR="003364D3" w:rsidRPr="00B161AA">
        <w:rPr>
          <w:rFonts w:ascii="Book Antiqua" w:hAnsi="Book Antiqua" w:cs="Arial"/>
          <w:sz w:val="22"/>
          <w:szCs w:val="22"/>
        </w:rPr>
        <w:t>ery compelling circumstances, over and</w:t>
      </w:r>
      <w:r w:rsidRPr="00B161AA">
        <w:rPr>
          <w:rFonts w:ascii="Book Antiqua" w:hAnsi="Book Antiqua" w:cs="Arial"/>
          <w:sz w:val="22"/>
          <w:szCs w:val="22"/>
        </w:rPr>
        <w:t xml:space="preserve"> above those described in Exceptions 1 and 2”.  </w:t>
      </w:r>
    </w:p>
    <w:p w:rsidR="00B465FB" w:rsidRDefault="004034FA" w:rsidP="00B465FB">
      <w:pPr>
        <w:pStyle w:val="ColorfulList-Accent11"/>
        <w:numPr>
          <w:ilvl w:val="0"/>
          <w:numId w:val="3"/>
        </w:numPr>
        <w:spacing w:before="240"/>
        <w:jc w:val="both"/>
        <w:rPr>
          <w:rFonts w:ascii="Book Antiqua" w:hAnsi="Book Antiqua" w:cs="Arial"/>
        </w:rPr>
      </w:pPr>
      <w:r w:rsidRPr="00B465FB">
        <w:rPr>
          <w:rFonts w:ascii="Book Antiqua" w:hAnsi="Book Antiqua" w:cs="Arial"/>
        </w:rPr>
        <w:t xml:space="preserve">This was a case where two of the </w:t>
      </w:r>
      <w:r w:rsidR="00AA72EC" w:rsidRPr="00B465FB">
        <w:rPr>
          <w:rFonts w:ascii="Book Antiqua" w:hAnsi="Book Antiqua" w:cs="Arial"/>
        </w:rPr>
        <w:t>Appellant</w:t>
      </w:r>
      <w:r w:rsidRPr="00B465FB">
        <w:rPr>
          <w:rFonts w:ascii="Book Antiqua" w:hAnsi="Book Antiqua" w:cs="Arial"/>
        </w:rPr>
        <w:t xml:space="preserve">’s sentences were for over seven years.  As the judge was aware of the </w:t>
      </w:r>
      <w:r w:rsidR="00AA72EC" w:rsidRPr="00B465FB">
        <w:rPr>
          <w:rFonts w:ascii="Book Antiqua" w:hAnsi="Book Antiqua" w:cs="Arial"/>
        </w:rPr>
        <w:t>Appellant</w:t>
      </w:r>
      <w:r w:rsidRPr="00B465FB">
        <w:rPr>
          <w:rFonts w:ascii="Book Antiqua" w:hAnsi="Book Antiqua" w:cs="Arial"/>
        </w:rPr>
        <w:t xml:space="preserve">’s criminality, and he had the </w:t>
      </w:r>
      <w:r w:rsidR="00AA72EC" w:rsidRPr="00B465FB">
        <w:rPr>
          <w:rFonts w:ascii="Book Antiqua" w:hAnsi="Book Antiqua" w:cs="Arial"/>
        </w:rPr>
        <w:t>Appellant</w:t>
      </w:r>
      <w:r w:rsidRPr="00B465FB">
        <w:rPr>
          <w:rFonts w:ascii="Book Antiqua" w:hAnsi="Book Antiqua" w:cs="Arial"/>
        </w:rPr>
        <w:t xml:space="preserve">’s PNC Report before him, he was duty bound by the legislation to take into account all the matters that were in evidence and relevant not the public interest.  The </w:t>
      </w:r>
      <w:r w:rsidR="00AA72EC" w:rsidRPr="00B465FB">
        <w:rPr>
          <w:rFonts w:ascii="Book Antiqua" w:hAnsi="Book Antiqua" w:cs="Arial"/>
        </w:rPr>
        <w:t>Appellant</w:t>
      </w:r>
      <w:r w:rsidRPr="00B465FB">
        <w:rPr>
          <w:rFonts w:ascii="Book Antiqua" w:hAnsi="Book Antiqua" w:cs="Arial"/>
        </w:rPr>
        <w:t xml:space="preserve"> had clearly failed, within Section 117(C)(6) to show that there were any very compelling circumstances over and above those described in Exceptions 1 and 2.  </w:t>
      </w:r>
    </w:p>
    <w:p w:rsidR="00B465FB" w:rsidRPr="00B465FB" w:rsidRDefault="00B465FB" w:rsidP="00B465FB">
      <w:pPr>
        <w:pStyle w:val="ColorfulList-Accent11"/>
        <w:spacing w:before="240"/>
        <w:ind w:left="567"/>
        <w:jc w:val="both"/>
        <w:rPr>
          <w:rFonts w:ascii="Book Antiqua" w:hAnsi="Book Antiqua" w:cs="Arial"/>
        </w:rPr>
      </w:pPr>
    </w:p>
    <w:p w:rsidR="004034FA" w:rsidRPr="00B465FB" w:rsidRDefault="004034FA" w:rsidP="00B465FB">
      <w:pPr>
        <w:pStyle w:val="ColorfulList-Accent11"/>
        <w:numPr>
          <w:ilvl w:val="0"/>
          <w:numId w:val="3"/>
        </w:numPr>
        <w:spacing w:before="240"/>
        <w:jc w:val="both"/>
        <w:rPr>
          <w:rFonts w:ascii="Book Antiqua" w:hAnsi="Book Antiqua" w:cs="Arial"/>
        </w:rPr>
      </w:pPr>
      <w:r w:rsidRPr="00B465FB">
        <w:rPr>
          <w:rFonts w:ascii="Book Antiqua" w:hAnsi="Book Antiqua" w:cs="Arial"/>
        </w:rPr>
        <w:t xml:space="preserve">Fourth, although the judge had found that the </w:t>
      </w:r>
      <w:r w:rsidR="00AA72EC" w:rsidRPr="00B465FB">
        <w:rPr>
          <w:rFonts w:ascii="Book Antiqua" w:hAnsi="Book Antiqua" w:cs="Arial"/>
        </w:rPr>
        <w:t>Appellant</w:t>
      </w:r>
      <w:r w:rsidRPr="00B465FB">
        <w:rPr>
          <w:rFonts w:ascii="Book Antiqua" w:hAnsi="Book Antiqua" w:cs="Arial"/>
        </w:rPr>
        <w:t xml:space="preserve"> was integrated into UK society, he failed to take into account the fact that the </w:t>
      </w:r>
      <w:r w:rsidR="00AA72EC" w:rsidRPr="00B465FB">
        <w:rPr>
          <w:rFonts w:ascii="Book Antiqua" w:hAnsi="Book Antiqua" w:cs="Arial"/>
        </w:rPr>
        <w:t>Appellant</w:t>
      </w:r>
      <w:r w:rsidRPr="00B465FB">
        <w:rPr>
          <w:rFonts w:ascii="Book Antiqua" w:hAnsi="Book Antiqua" w:cs="Arial"/>
        </w:rPr>
        <w:t xml:space="preserve"> had been convicted of offences, that had an adverse effect on those residing in the UK, such as to demonstrate a lack of social and cultural i</w:t>
      </w:r>
      <w:r w:rsidR="00586F4B" w:rsidRPr="00B465FB">
        <w:rPr>
          <w:rFonts w:ascii="Book Antiqua" w:hAnsi="Book Antiqua" w:cs="Arial"/>
        </w:rPr>
        <w:t xml:space="preserve">ntegration in this country.  In the case of </w:t>
      </w:r>
      <w:r w:rsidR="00586F4B" w:rsidRPr="00B465FB">
        <w:rPr>
          <w:rFonts w:ascii="Book Antiqua" w:hAnsi="Book Antiqua" w:cs="Arial"/>
          <w:b/>
          <w:u w:val="single"/>
        </w:rPr>
        <w:t>SSHD v MG</w:t>
      </w:r>
      <w:r w:rsidR="00586F4B" w:rsidRPr="00B465FB">
        <w:rPr>
          <w:rFonts w:ascii="Book Antiqua" w:hAnsi="Book Antiqua" w:cs="Arial"/>
        </w:rPr>
        <w:t xml:space="preserve"> </w:t>
      </w:r>
      <w:r w:rsidR="00586F4B" w:rsidRPr="00B465FB">
        <w:rPr>
          <w:rFonts w:ascii="Book Antiqua" w:hAnsi="Book Antiqua" w:cs="Arial"/>
          <w:b/>
        </w:rPr>
        <w:t>(Portugal) (C-400/12)</w:t>
      </w:r>
      <w:r w:rsidR="00586F4B" w:rsidRPr="00B465FB">
        <w:rPr>
          <w:rFonts w:ascii="Book Antiqua" w:hAnsi="Book Antiqua" w:cs="Arial"/>
        </w:rPr>
        <w:t xml:space="preserve">, it was stated in relation to an EEA national (which the </w:t>
      </w:r>
      <w:r w:rsidR="00AA72EC" w:rsidRPr="00B465FB">
        <w:rPr>
          <w:rFonts w:ascii="Book Antiqua" w:hAnsi="Book Antiqua" w:cs="Arial"/>
        </w:rPr>
        <w:t>Appellant</w:t>
      </w:r>
      <w:r w:rsidR="00586F4B" w:rsidRPr="00B465FB">
        <w:rPr>
          <w:rFonts w:ascii="Book Antiqua" w:hAnsi="Book Antiqua" w:cs="Arial"/>
        </w:rPr>
        <w:t xml:space="preserve"> </w:t>
      </w:r>
      <w:r w:rsidR="00586F4B" w:rsidRPr="00B465FB">
        <w:rPr>
          <w:rFonts w:ascii="Book Antiqua" w:hAnsi="Book Antiqua" w:cs="Arial"/>
        </w:rPr>
        <w:lastRenderedPageBreak/>
        <w:t xml:space="preserve">was not but the analogy applied) that, “whilst in prison a person cannot be a useful member of society at large; during that time such a person cannot as a general rule show integration into society” (at paragraph 31).  In this case, the </w:t>
      </w:r>
      <w:r w:rsidR="00AA72EC" w:rsidRPr="00B465FB">
        <w:rPr>
          <w:rFonts w:ascii="Book Antiqua" w:hAnsi="Book Antiqua" w:cs="Arial"/>
        </w:rPr>
        <w:t>Appellant</w:t>
      </w:r>
      <w:r w:rsidR="00586F4B" w:rsidRPr="00B465FB">
        <w:rPr>
          <w:rFonts w:ascii="Book Antiqua" w:hAnsi="Book Antiqua" w:cs="Arial"/>
        </w:rPr>
        <w:t xml:space="preserve"> had contributed nothing to society, had spent a substantial period of time in a UK prison, with the number of convictions, and the finding of the judge must therefore be unsafe.  </w:t>
      </w:r>
    </w:p>
    <w:p w:rsidR="00586F4B" w:rsidRDefault="00586F4B" w:rsidP="00D33B16">
      <w:pPr>
        <w:numPr>
          <w:ilvl w:val="0"/>
          <w:numId w:val="3"/>
        </w:numPr>
        <w:spacing w:before="240"/>
        <w:jc w:val="both"/>
        <w:rPr>
          <w:rFonts w:ascii="Book Antiqua" w:hAnsi="Book Antiqua" w:cs="Arial"/>
        </w:rPr>
      </w:pPr>
      <w:r>
        <w:rPr>
          <w:rFonts w:ascii="Book Antiqua" w:hAnsi="Book Antiqua" w:cs="Arial"/>
        </w:rPr>
        <w:t xml:space="preserve">Finally, Ms </w:t>
      </w:r>
      <w:proofErr w:type="spellStart"/>
      <w:r>
        <w:rPr>
          <w:rFonts w:ascii="Book Antiqua" w:hAnsi="Book Antiqua" w:cs="Arial"/>
        </w:rPr>
        <w:t>Fijiwala</w:t>
      </w:r>
      <w:proofErr w:type="spellEnd"/>
      <w:r>
        <w:rPr>
          <w:rFonts w:ascii="Book Antiqua" w:hAnsi="Book Antiqua" w:cs="Arial"/>
        </w:rPr>
        <w:t xml:space="preserve"> submitted that the only Article 8 claim which would outweigh the public interest in a deportation case such as at present, where the </w:t>
      </w:r>
      <w:r w:rsidR="00AA72EC">
        <w:rPr>
          <w:rFonts w:ascii="Book Antiqua" w:hAnsi="Book Antiqua" w:cs="Arial"/>
        </w:rPr>
        <w:t>Appellant</w:t>
      </w:r>
      <w:r>
        <w:rPr>
          <w:rFonts w:ascii="Book Antiqua" w:hAnsi="Book Antiqua" w:cs="Arial"/>
        </w:rPr>
        <w:t xml:space="preserve"> had been sentenced to at least four years’ imprisonment, would be one which was exceptionally strong.  This is clear from the fact that in </w:t>
      </w:r>
      <w:r w:rsidRPr="00586F4B">
        <w:rPr>
          <w:rFonts w:ascii="Book Antiqua" w:hAnsi="Book Antiqua" w:cs="Arial"/>
          <w:b/>
          <w:u w:val="single"/>
        </w:rPr>
        <w:t>Hesham Ali</w:t>
      </w:r>
      <w:r w:rsidRPr="00586F4B">
        <w:rPr>
          <w:rFonts w:ascii="Book Antiqua" w:hAnsi="Book Antiqua" w:cs="Arial"/>
          <w:b/>
        </w:rPr>
        <w:t xml:space="preserve"> [2016] UKSC 60</w:t>
      </w:r>
      <w:r>
        <w:rPr>
          <w:rFonts w:ascii="Book Antiqua" w:hAnsi="Book Antiqua" w:cs="Arial"/>
        </w:rPr>
        <w:t xml:space="preserve">, it was confirmed that the passage of time does not dilute the seriousness of the offence or the public interest in deportation.  Accordingly, the judge had erred in stating that, “the seriousness of the offences the </w:t>
      </w:r>
      <w:r w:rsidR="00AA72EC">
        <w:rPr>
          <w:rFonts w:ascii="Book Antiqua" w:hAnsi="Book Antiqua" w:cs="Arial"/>
        </w:rPr>
        <w:t>Appellant</w:t>
      </w:r>
      <w:r>
        <w:rPr>
          <w:rFonts w:ascii="Book Antiqua" w:hAnsi="Book Antiqua" w:cs="Arial"/>
        </w:rPr>
        <w:t xml:space="preserve"> has committed has diminished over the years” (paragraph 149), and provided no evidence for this assertion.  The finding, in any event, failed to take into account the fact that there were older offences which had to be placed in the context of the </w:t>
      </w:r>
      <w:r w:rsidR="00AA72EC">
        <w:rPr>
          <w:rFonts w:ascii="Book Antiqua" w:hAnsi="Book Antiqua" w:cs="Arial"/>
        </w:rPr>
        <w:t>Appellant</w:t>
      </w:r>
      <w:r>
        <w:rPr>
          <w:rFonts w:ascii="Book Antiqua" w:hAnsi="Book Antiqua" w:cs="Arial"/>
        </w:rPr>
        <w:t xml:space="preserve">’s continuing criminality, and his more recent offending.  It also failed to take into account the full scope of public interest as set out in </w:t>
      </w:r>
      <w:r w:rsidRPr="00586F4B">
        <w:rPr>
          <w:rFonts w:ascii="Book Antiqua" w:hAnsi="Book Antiqua" w:cs="Arial"/>
          <w:b/>
          <w:u w:val="single"/>
        </w:rPr>
        <w:t>AM</w:t>
      </w:r>
      <w:r>
        <w:rPr>
          <w:rFonts w:ascii="Book Antiqua" w:hAnsi="Book Antiqua" w:cs="Arial"/>
        </w:rPr>
        <w:t xml:space="preserve"> </w:t>
      </w:r>
      <w:r w:rsidRPr="00586F4B">
        <w:rPr>
          <w:rFonts w:ascii="Book Antiqua" w:hAnsi="Book Antiqua" w:cs="Arial"/>
          <w:b/>
        </w:rPr>
        <w:t xml:space="preserve">[2012] EWCA </w:t>
      </w:r>
      <w:proofErr w:type="spellStart"/>
      <w:r w:rsidRPr="00586F4B">
        <w:rPr>
          <w:rFonts w:ascii="Book Antiqua" w:hAnsi="Book Antiqua" w:cs="Arial"/>
          <w:b/>
        </w:rPr>
        <w:t>Civ</w:t>
      </w:r>
      <w:proofErr w:type="spellEnd"/>
      <w:r w:rsidRPr="00586F4B">
        <w:rPr>
          <w:rFonts w:ascii="Book Antiqua" w:hAnsi="Book Antiqua" w:cs="Arial"/>
          <w:b/>
        </w:rPr>
        <w:t xml:space="preserve"> 1634</w:t>
      </w:r>
      <w:r>
        <w:rPr>
          <w:rFonts w:ascii="Book Antiqua" w:hAnsi="Book Antiqua" w:cs="Arial"/>
        </w:rPr>
        <w:t xml:space="preserve"> and in </w:t>
      </w:r>
      <w:r w:rsidRPr="00586F4B">
        <w:rPr>
          <w:rFonts w:ascii="Book Antiqua" w:hAnsi="Book Antiqua" w:cs="Arial"/>
          <w:b/>
          <w:u w:val="single"/>
        </w:rPr>
        <w:t>N (Kenya) v SSHD</w:t>
      </w:r>
      <w:r>
        <w:rPr>
          <w:rFonts w:ascii="Book Antiqua" w:hAnsi="Book Antiqua" w:cs="Arial"/>
        </w:rPr>
        <w:t xml:space="preserve"> </w:t>
      </w:r>
      <w:r w:rsidRPr="00586F4B">
        <w:rPr>
          <w:rFonts w:ascii="Book Antiqua" w:hAnsi="Book Antiqua" w:cs="Arial"/>
          <w:b/>
        </w:rPr>
        <w:t xml:space="preserve">[2004] EWCA </w:t>
      </w:r>
      <w:proofErr w:type="spellStart"/>
      <w:r w:rsidRPr="00586F4B">
        <w:rPr>
          <w:rFonts w:ascii="Book Antiqua" w:hAnsi="Book Antiqua" w:cs="Arial"/>
          <w:b/>
        </w:rPr>
        <w:t>Civ</w:t>
      </w:r>
      <w:proofErr w:type="spellEnd"/>
      <w:r w:rsidRPr="00586F4B">
        <w:rPr>
          <w:rFonts w:ascii="Book Antiqua" w:hAnsi="Book Antiqua" w:cs="Arial"/>
          <w:b/>
        </w:rPr>
        <w:t xml:space="preserve"> 1094</w:t>
      </w:r>
      <w:r>
        <w:rPr>
          <w:rFonts w:ascii="Book Antiqua" w:hAnsi="Book Antiqua" w:cs="Arial"/>
        </w:rPr>
        <w:t xml:space="preserve">, which places an emphasis, as far as public interest is concerned, on the deterrent value, with respect to foreign criminal, and the maintenance of public confidence in an effective system of immigration control.  </w:t>
      </w:r>
    </w:p>
    <w:p w:rsidR="001156FE" w:rsidRDefault="001156FE" w:rsidP="00D33B16">
      <w:pPr>
        <w:numPr>
          <w:ilvl w:val="0"/>
          <w:numId w:val="3"/>
        </w:numPr>
        <w:spacing w:before="240"/>
        <w:jc w:val="both"/>
        <w:rPr>
          <w:rFonts w:ascii="Book Antiqua" w:hAnsi="Book Antiqua" w:cs="Arial"/>
        </w:rPr>
      </w:pPr>
      <w:r>
        <w:rPr>
          <w:rFonts w:ascii="Book Antiqua" w:hAnsi="Book Antiqua" w:cs="Arial"/>
        </w:rPr>
        <w:t xml:space="preserve">All in all, </w:t>
      </w:r>
      <w:r w:rsidR="004304DA">
        <w:rPr>
          <w:rFonts w:ascii="Book Antiqua" w:hAnsi="Book Antiqua" w:cs="Arial"/>
        </w:rPr>
        <w:t xml:space="preserve">therefore, submitted Ms </w:t>
      </w:r>
      <w:proofErr w:type="spellStart"/>
      <w:r w:rsidR="004304DA">
        <w:rPr>
          <w:rFonts w:ascii="Book Antiqua" w:hAnsi="Book Antiqua" w:cs="Arial"/>
        </w:rPr>
        <w:t>Fijiwala</w:t>
      </w:r>
      <w:proofErr w:type="spellEnd"/>
      <w:r w:rsidR="004304DA">
        <w:rPr>
          <w:rFonts w:ascii="Book Antiqua" w:hAnsi="Book Antiqua" w:cs="Arial"/>
        </w:rPr>
        <w:t xml:space="preserve">, the decision reached at by Judge Malone was unsafe, because the deportation of this </w:t>
      </w:r>
      <w:r w:rsidR="00AA72EC">
        <w:rPr>
          <w:rFonts w:ascii="Book Antiqua" w:hAnsi="Book Antiqua" w:cs="Arial"/>
        </w:rPr>
        <w:t>Appellant</w:t>
      </w:r>
      <w:r w:rsidR="004304DA">
        <w:rPr>
          <w:rFonts w:ascii="Book Antiqua" w:hAnsi="Book Antiqua" w:cs="Arial"/>
        </w:rPr>
        <w:t xml:space="preserve"> was in the public interest, the judge had erred in holding that Rule 399A is capable of applying to this case, the finding by the judge that the </w:t>
      </w:r>
      <w:r w:rsidR="00AA72EC">
        <w:rPr>
          <w:rFonts w:ascii="Book Antiqua" w:hAnsi="Book Antiqua" w:cs="Arial"/>
        </w:rPr>
        <w:t>Appellant</w:t>
      </w:r>
      <w:r w:rsidR="004304DA">
        <w:rPr>
          <w:rFonts w:ascii="Book Antiqua" w:hAnsi="Book Antiqua" w:cs="Arial"/>
        </w:rPr>
        <w:t xml:space="preserve"> was socially and culturally integrated into the UK was unsafe, the finding that there will be very significant obstacles to the </w:t>
      </w:r>
      <w:r w:rsidR="00AA72EC">
        <w:rPr>
          <w:rFonts w:ascii="Book Antiqua" w:hAnsi="Book Antiqua" w:cs="Arial"/>
        </w:rPr>
        <w:t>Appellant</w:t>
      </w:r>
      <w:r w:rsidR="004304DA">
        <w:rPr>
          <w:rFonts w:ascii="Book Antiqua" w:hAnsi="Book Antiqua" w:cs="Arial"/>
        </w:rPr>
        <w:t xml:space="preserve">’s integration into Jamaican society was unsafe, and that the finding by the judge that there would be a real risk to the </w:t>
      </w:r>
      <w:r w:rsidR="00AA72EC">
        <w:rPr>
          <w:rFonts w:ascii="Book Antiqua" w:hAnsi="Book Antiqua" w:cs="Arial"/>
        </w:rPr>
        <w:t>Appellant</w:t>
      </w:r>
      <w:r w:rsidR="004304DA">
        <w:rPr>
          <w:rFonts w:ascii="Book Antiqua" w:hAnsi="Book Antiqua" w:cs="Arial"/>
        </w:rPr>
        <w:t xml:space="preserve"> of serious harm or destitution was also unsafe.  </w:t>
      </w:r>
    </w:p>
    <w:p w:rsidR="00AE5E8A" w:rsidRDefault="00AE5E8A" w:rsidP="00D33B16">
      <w:pPr>
        <w:numPr>
          <w:ilvl w:val="0"/>
          <w:numId w:val="3"/>
        </w:numPr>
        <w:spacing w:before="240"/>
        <w:jc w:val="both"/>
        <w:rPr>
          <w:rFonts w:ascii="Book Antiqua" w:hAnsi="Book Antiqua" w:cs="Arial"/>
        </w:rPr>
      </w:pPr>
      <w:r>
        <w:rPr>
          <w:rFonts w:ascii="Book Antiqua" w:hAnsi="Book Antiqua" w:cs="Arial"/>
        </w:rPr>
        <w:t>For his part, Mr Haywood relied upon his extensive and well-crafted skeleton argument.  The overarching point, submitted Mr Haywood, was that there was no challenge to the judge’s findings in relation to matters in the expert report of L</w:t>
      </w:r>
      <w:r w:rsidR="00CF27A9">
        <w:rPr>
          <w:rFonts w:ascii="Book Antiqua" w:hAnsi="Book Antiqua" w:cs="Arial"/>
        </w:rPr>
        <w:t>uke de No</w:t>
      </w:r>
      <w:r>
        <w:rPr>
          <w:rFonts w:ascii="Book Antiqua" w:hAnsi="Book Antiqua" w:cs="Arial"/>
        </w:rPr>
        <w:t xml:space="preserve">ronha (see paragraphs 30 to 42 of the skeleton argument).  </w:t>
      </w:r>
      <w:r w:rsidR="00CF27A9">
        <w:rPr>
          <w:rFonts w:ascii="Book Antiqua" w:hAnsi="Book Antiqua" w:cs="Arial"/>
        </w:rPr>
        <w:t xml:space="preserve">In addition, Mr Haywood made the following submissions.  The </w:t>
      </w:r>
      <w:r w:rsidR="00AA72EC">
        <w:rPr>
          <w:rFonts w:ascii="Book Antiqua" w:hAnsi="Book Antiqua" w:cs="Arial"/>
        </w:rPr>
        <w:t>Appellant</w:t>
      </w:r>
      <w:r w:rsidR="00CF27A9">
        <w:rPr>
          <w:rFonts w:ascii="Book Antiqua" w:hAnsi="Book Antiqua" w:cs="Arial"/>
        </w:rPr>
        <w:t xml:space="preserve"> was a man who was nearing the a</w:t>
      </w:r>
      <w:r w:rsidR="00231ECD">
        <w:rPr>
          <w:rFonts w:ascii="Book Antiqua" w:hAnsi="Book Antiqua" w:cs="Arial"/>
        </w:rPr>
        <w:t>ge of 60 years.  He had spent 44</w:t>
      </w:r>
      <w:r w:rsidR="00CF27A9">
        <w:rPr>
          <w:rFonts w:ascii="Book Antiqua" w:hAnsi="Book Antiqua" w:cs="Arial"/>
        </w:rPr>
        <w:t xml:space="preserve"> years of his life in the UK, 37 of which were with settled status.  He had arrived in the UK in the last part of his teenage years lawfully on 29</w:t>
      </w:r>
      <w:r w:rsidR="00CF27A9" w:rsidRPr="00CF27A9">
        <w:rPr>
          <w:rFonts w:ascii="Book Antiqua" w:hAnsi="Book Antiqua" w:cs="Arial"/>
          <w:vertAlign w:val="superscript"/>
        </w:rPr>
        <w:t>th</w:t>
      </w:r>
      <w:r w:rsidR="00CF27A9">
        <w:rPr>
          <w:rFonts w:ascii="Book Antiqua" w:hAnsi="Book Antiqua" w:cs="Arial"/>
        </w:rPr>
        <w:t xml:space="preserve"> August 1973, at the age of 14, in order to join to his mother, and was granted indefinite leave to enter, remaining in the UK permanently ever since, and never having visited Jamaica again.  He had spent his entire adult life in this country.  On any view, he would not have any meaningful connection with Jamaica.</w:t>
      </w:r>
    </w:p>
    <w:p w:rsidR="00D056D7" w:rsidRDefault="00D056D7" w:rsidP="00D33B16">
      <w:pPr>
        <w:numPr>
          <w:ilvl w:val="0"/>
          <w:numId w:val="3"/>
        </w:numPr>
        <w:spacing w:before="240"/>
        <w:jc w:val="both"/>
        <w:rPr>
          <w:rFonts w:ascii="Book Antiqua" w:hAnsi="Book Antiqua" w:cs="Arial"/>
        </w:rPr>
      </w:pPr>
      <w:r>
        <w:rPr>
          <w:rFonts w:ascii="Book Antiqua" w:hAnsi="Book Antiqua" w:cs="Arial"/>
        </w:rPr>
        <w:t xml:space="preserve">Second, his entire family were in the UK, he had no family or social connection with Jamaica, was particularly vulnerable, and given the length of residence in this country, deportation was likely to have a particularly serious effect on him.  It was more akin to exile, given his length of residence in the UK and the lack of any effective familiarity with Jamaica.  He was also mentally vulnerable and had contact with mental health </w:t>
      </w:r>
      <w:r>
        <w:rPr>
          <w:rFonts w:ascii="Book Antiqua" w:hAnsi="Book Antiqua" w:cs="Arial"/>
        </w:rPr>
        <w:lastRenderedPageBreak/>
        <w:t>services, describing feelings of hopelessness, and of harming himself, and presented with features of psychotic depression.</w:t>
      </w:r>
    </w:p>
    <w:p w:rsidR="00770E93" w:rsidRDefault="00770E93" w:rsidP="00D33B16">
      <w:pPr>
        <w:numPr>
          <w:ilvl w:val="0"/>
          <w:numId w:val="3"/>
        </w:numPr>
        <w:spacing w:before="240"/>
        <w:jc w:val="both"/>
        <w:rPr>
          <w:rFonts w:ascii="Book Antiqua" w:hAnsi="Book Antiqua" w:cs="Arial"/>
        </w:rPr>
      </w:pPr>
      <w:r>
        <w:rPr>
          <w:rFonts w:ascii="Book Antiqua" w:hAnsi="Book Antiqua" w:cs="Arial"/>
        </w:rPr>
        <w:t xml:space="preserve">Third, it was accepted that the </w:t>
      </w:r>
      <w:r w:rsidR="00AA72EC">
        <w:rPr>
          <w:rFonts w:ascii="Book Antiqua" w:hAnsi="Book Antiqua" w:cs="Arial"/>
        </w:rPr>
        <w:t>Appellant</w:t>
      </w:r>
      <w:r>
        <w:rPr>
          <w:rFonts w:ascii="Book Antiqua" w:hAnsi="Book Antiqua" w:cs="Arial"/>
        </w:rPr>
        <w:t xml:space="preserve"> had a long history of offending.  But the earlier panel who heard the </w:t>
      </w:r>
      <w:r w:rsidR="00AA72EC">
        <w:rPr>
          <w:rFonts w:ascii="Book Antiqua" w:hAnsi="Book Antiqua" w:cs="Arial"/>
        </w:rPr>
        <w:t>Appellant</w:t>
      </w:r>
      <w:r>
        <w:rPr>
          <w:rFonts w:ascii="Book Antiqua" w:hAnsi="Book Antiqua" w:cs="Arial"/>
        </w:rPr>
        <w:t>’s original revocation appeal, noted that there had been a failure by enforcement units to take action when he committed the most serious offences</w:t>
      </w:r>
      <w:r w:rsidR="00573AED">
        <w:rPr>
          <w:rFonts w:ascii="Book Antiqua" w:hAnsi="Book Antiqua" w:cs="Arial"/>
        </w:rPr>
        <w:t xml:space="preserve">, and a considered deportation now to be draconian.  </w:t>
      </w:r>
    </w:p>
    <w:p w:rsidR="00B465FB" w:rsidRDefault="003B7567" w:rsidP="00D33B16">
      <w:pPr>
        <w:numPr>
          <w:ilvl w:val="0"/>
          <w:numId w:val="3"/>
        </w:numPr>
        <w:spacing w:before="240"/>
        <w:jc w:val="both"/>
        <w:rPr>
          <w:rFonts w:ascii="Book Antiqua" w:hAnsi="Book Antiqua" w:cs="Arial"/>
        </w:rPr>
      </w:pPr>
      <w:r>
        <w:rPr>
          <w:rFonts w:ascii="Book Antiqua" w:hAnsi="Book Antiqua" w:cs="Arial"/>
        </w:rPr>
        <w:t xml:space="preserve">Fourth, if the </w:t>
      </w:r>
      <w:r w:rsidR="00AA72EC">
        <w:rPr>
          <w:rFonts w:ascii="Book Antiqua" w:hAnsi="Book Antiqua" w:cs="Arial"/>
        </w:rPr>
        <w:t>Appellant</w:t>
      </w:r>
      <w:r>
        <w:rPr>
          <w:rFonts w:ascii="Book Antiqua" w:hAnsi="Book Antiqua" w:cs="Arial"/>
        </w:rPr>
        <w:t xml:space="preserve"> were returned, then given his lack of familiarity with Jamaica, and having been in the UK for 44 years, his assimilation and familiarity with UK culture and the use of English has spoken in London, would make him stand out in Jamaica, a country where he lacks any family network to assist him.  The evidence suggested that deportees risked stigmatisation and were vulnerable to targeting and criminal action against them, finding it difficult to secure employment (with around 10% of them being street homeless) and this was not considered controversial.  The evidence also shows that employers conduct background checks, and with the </w:t>
      </w:r>
      <w:r w:rsidR="00AA72EC">
        <w:rPr>
          <w:rFonts w:ascii="Book Antiqua" w:hAnsi="Book Antiqua" w:cs="Arial"/>
        </w:rPr>
        <w:t>Appellant</w:t>
      </w:r>
      <w:r>
        <w:rPr>
          <w:rFonts w:ascii="Book Antiqua" w:hAnsi="Book Antiqua" w:cs="Arial"/>
        </w:rPr>
        <w:t>, he had no background history in Jamaica, arriving there at the age of 60, such tha</w:t>
      </w:r>
      <w:r w:rsidR="00AE2F29">
        <w:rPr>
          <w:rFonts w:ascii="Book Antiqua" w:hAnsi="Book Antiqua" w:cs="Arial"/>
        </w:rPr>
        <w:t xml:space="preserve">t employers would take to him.  </w:t>
      </w:r>
    </w:p>
    <w:p w:rsidR="003B7567" w:rsidRDefault="00AE2F29" w:rsidP="00D33B16">
      <w:pPr>
        <w:numPr>
          <w:ilvl w:val="0"/>
          <w:numId w:val="3"/>
        </w:numPr>
        <w:spacing w:before="240"/>
        <w:jc w:val="both"/>
        <w:rPr>
          <w:rFonts w:ascii="Book Antiqua" w:hAnsi="Book Antiqua" w:cs="Arial"/>
        </w:rPr>
      </w:pPr>
      <w:r>
        <w:rPr>
          <w:rFonts w:ascii="Book Antiqua" w:hAnsi="Book Antiqua" w:cs="Arial"/>
        </w:rPr>
        <w:t>At his age, he would find getting employment difficult any way, having no detailed knowledge or familiarity or connections with Jamaica.  He was returning, after all, to a country with relatively high unemployment any way,</w:t>
      </w:r>
      <w:r w:rsidR="00231ECD">
        <w:rPr>
          <w:rFonts w:ascii="Book Antiqua" w:hAnsi="Book Antiqua" w:cs="Arial"/>
        </w:rPr>
        <w:t xml:space="preserve"> and his</w:t>
      </w:r>
      <w:r>
        <w:rPr>
          <w:rFonts w:ascii="Book Antiqua" w:hAnsi="Book Antiqua" w:cs="Arial"/>
        </w:rPr>
        <w:t xml:space="preserve"> prospect</w:t>
      </w:r>
      <w:r w:rsidR="00231ECD">
        <w:rPr>
          <w:rFonts w:ascii="Book Antiqua" w:hAnsi="Book Antiqua" w:cs="Arial"/>
        </w:rPr>
        <w:t>s</w:t>
      </w:r>
      <w:r>
        <w:rPr>
          <w:rFonts w:ascii="Book Antiqua" w:hAnsi="Book Antiqua" w:cs="Arial"/>
        </w:rPr>
        <w:t xml:space="preserve"> of “integrating” and supporting himself in Jamaica were clearly poor.  Moreover, the previous proceedings in the UK were well publicised in the UK and the Jamaican</w:t>
      </w:r>
      <w:r w:rsidR="00775D01">
        <w:rPr>
          <w:rFonts w:ascii="Book Antiqua" w:hAnsi="Book Antiqua" w:cs="Arial"/>
        </w:rPr>
        <w:t xml:space="preserve"> main</w:t>
      </w:r>
      <w:r>
        <w:rPr>
          <w:rFonts w:ascii="Book Antiqua" w:hAnsi="Book Antiqua" w:cs="Arial"/>
        </w:rPr>
        <w:t xml:space="preserve"> press, and they included detailed reference to his convictions and status as a deportee, all of which was readily revealed by a simple Google search against his name.  The judge was right to refer to these matters.  The judge was also right to conclude that the news articles disclose the suggestion that he claimed to be gay.  The suggestion he</w:t>
      </w:r>
      <w:r w:rsidR="0055073F">
        <w:rPr>
          <w:rFonts w:ascii="Book Antiqua" w:hAnsi="Book Antiqua" w:cs="Arial"/>
        </w:rPr>
        <w:t>re</w:t>
      </w:r>
      <w:r>
        <w:rPr>
          <w:rFonts w:ascii="Book Antiqua" w:hAnsi="Book Antiqua" w:cs="Arial"/>
        </w:rPr>
        <w:t xml:space="preserve"> was not that he needs to demonstrate that he is openly gay.  The report simply suggested that he made a claim to be gay and this was enough to expose him to risk (a matter that had been adverted to by Diane Abbott</w:t>
      </w:r>
      <w:r w:rsidR="00702F7E">
        <w:rPr>
          <w:rFonts w:ascii="Book Antiqua" w:hAnsi="Book Antiqua" w:cs="Arial"/>
        </w:rPr>
        <w:t xml:space="preserve"> MP, in </w:t>
      </w:r>
      <w:r w:rsidR="00394EF6">
        <w:rPr>
          <w:rFonts w:ascii="Book Antiqua" w:hAnsi="Book Antiqua" w:cs="Arial"/>
        </w:rPr>
        <w:t xml:space="preserve">The </w:t>
      </w:r>
      <w:r w:rsidR="00702F7E">
        <w:rPr>
          <w:rFonts w:ascii="Book Antiqua" w:hAnsi="Book Antiqua" w:cs="Arial"/>
        </w:rPr>
        <w:t>Jamaican Obse</w:t>
      </w:r>
      <w:r w:rsidR="0095383A">
        <w:rPr>
          <w:rFonts w:ascii="Book Antiqua" w:hAnsi="Book Antiqua" w:cs="Arial"/>
        </w:rPr>
        <w:t>rver).  What is significant is the</w:t>
      </w:r>
      <w:r w:rsidR="00702F7E">
        <w:rPr>
          <w:rFonts w:ascii="Book Antiqua" w:hAnsi="Book Antiqua" w:cs="Arial"/>
        </w:rPr>
        <w:t xml:space="preserve"> perception that an individual might be gay.  An accusation that he is gay, whether true or not, would be problematic for him.  There would be a lack of “sufficiency of protection” for him.  </w:t>
      </w:r>
    </w:p>
    <w:p w:rsidR="005B0DC0" w:rsidRDefault="005B0DC0" w:rsidP="00D33B16">
      <w:pPr>
        <w:numPr>
          <w:ilvl w:val="0"/>
          <w:numId w:val="3"/>
        </w:numPr>
        <w:spacing w:before="240"/>
        <w:jc w:val="both"/>
        <w:rPr>
          <w:rFonts w:ascii="Book Antiqua" w:hAnsi="Book Antiqua" w:cs="Arial"/>
        </w:rPr>
      </w:pPr>
      <w:r>
        <w:rPr>
          <w:rFonts w:ascii="Book Antiqua" w:hAnsi="Book Antiqua" w:cs="Arial"/>
        </w:rPr>
        <w:t xml:space="preserve">In summary, all of the facts above are “exceptional” and this is what the judge found, and was entitled to find.  The </w:t>
      </w:r>
      <w:r w:rsidR="00AA72EC">
        <w:rPr>
          <w:rFonts w:ascii="Book Antiqua" w:hAnsi="Book Antiqua" w:cs="Arial"/>
        </w:rPr>
        <w:t>Appellant</w:t>
      </w:r>
      <w:r>
        <w:rPr>
          <w:rFonts w:ascii="Book Antiqua" w:hAnsi="Book Antiqua" w:cs="Arial"/>
        </w:rPr>
        <w:t xml:space="preserve"> had been lawfully resident in the UK for most of his life, was clearly assimilated here, and lived here all his adult life, had no connections in Jamaica, and would clearly encounter very significant obstacles on return.  </w:t>
      </w:r>
    </w:p>
    <w:p w:rsidR="005B0DC0" w:rsidRDefault="005B0DC0" w:rsidP="00D33B16">
      <w:pPr>
        <w:numPr>
          <w:ilvl w:val="0"/>
          <w:numId w:val="3"/>
        </w:numPr>
        <w:spacing w:before="240"/>
        <w:jc w:val="both"/>
        <w:rPr>
          <w:rFonts w:ascii="Book Antiqua" w:hAnsi="Book Antiqua" w:cs="Arial"/>
        </w:rPr>
      </w:pPr>
      <w:r>
        <w:rPr>
          <w:rFonts w:ascii="Book Antiqua" w:hAnsi="Book Antiqua" w:cs="Arial"/>
        </w:rPr>
        <w:t xml:space="preserve">In her reply, Ms </w:t>
      </w:r>
      <w:proofErr w:type="spellStart"/>
      <w:r>
        <w:rPr>
          <w:rFonts w:ascii="Book Antiqua" w:hAnsi="Book Antiqua" w:cs="Arial"/>
        </w:rPr>
        <w:t>Fijiwala</w:t>
      </w:r>
      <w:proofErr w:type="spellEnd"/>
      <w:r>
        <w:rPr>
          <w:rFonts w:ascii="Book Antiqua" w:hAnsi="Book Antiqua" w:cs="Arial"/>
        </w:rPr>
        <w:t xml:space="preserve">, submitted that the judge had given only fleeting consideration to the relevant issues, as is clear from the statement that the </w:t>
      </w:r>
      <w:r w:rsidR="00AA72EC">
        <w:rPr>
          <w:rFonts w:ascii="Book Antiqua" w:hAnsi="Book Antiqua" w:cs="Arial"/>
        </w:rPr>
        <w:t>Appellant</w:t>
      </w:r>
      <w:r>
        <w:rPr>
          <w:rFonts w:ascii="Book Antiqua" w:hAnsi="Book Antiqua" w:cs="Arial"/>
        </w:rPr>
        <w:t xml:space="preserve"> had satisfied “the criteria set out in paragraph 339A/Exception 1” (at paragraph 152</w:t>
      </w:r>
      <w:r w:rsidR="0095383A">
        <w:rPr>
          <w:rFonts w:ascii="Book Antiqua" w:hAnsi="Book Antiqua" w:cs="Arial"/>
        </w:rPr>
        <w:t>)</w:t>
      </w:r>
      <w:r>
        <w:rPr>
          <w:rFonts w:ascii="Book Antiqua" w:hAnsi="Book Antiqua" w:cs="Arial"/>
        </w:rPr>
        <w:t xml:space="preserve"> where no adequate reasons were given for this finding.  It is not acknowledged in that paragraph that the </w:t>
      </w:r>
      <w:r w:rsidR="00AA72EC">
        <w:rPr>
          <w:rFonts w:ascii="Book Antiqua" w:hAnsi="Book Antiqua" w:cs="Arial"/>
        </w:rPr>
        <w:t>Appellant</w:t>
      </w:r>
      <w:r>
        <w:rPr>
          <w:rFonts w:ascii="Book Antiqua" w:hAnsi="Book Antiqua" w:cs="Arial"/>
        </w:rPr>
        <w:t xml:space="preserve"> had served two sentences of seven years which should have weighed heavily in any calculation by the judge.  Moreover, it was significant that the </w:t>
      </w:r>
      <w:proofErr w:type="gramStart"/>
      <w:r>
        <w:rPr>
          <w:rFonts w:ascii="Book Antiqua" w:hAnsi="Book Antiqua" w:cs="Arial"/>
        </w:rPr>
        <w:t>four year</w:t>
      </w:r>
      <w:proofErr w:type="gramEnd"/>
      <w:r>
        <w:rPr>
          <w:rFonts w:ascii="Book Antiqua" w:hAnsi="Book Antiqua" w:cs="Arial"/>
        </w:rPr>
        <w:t xml:space="preserve"> threshold for a prison sentence, did not exist in 2011 when the </w:t>
      </w:r>
      <w:r>
        <w:rPr>
          <w:rFonts w:ascii="Book Antiqua" w:hAnsi="Book Antiqua" w:cs="Arial"/>
        </w:rPr>
        <w:lastRenderedPageBreak/>
        <w:t xml:space="preserve">decision to deport her had been made, but it does exist now, and the judge should have taken care to point out that this aspect of the claim now excludes the </w:t>
      </w:r>
      <w:r w:rsidR="00AA72EC">
        <w:rPr>
          <w:rFonts w:ascii="Book Antiqua" w:hAnsi="Book Antiqua" w:cs="Arial"/>
        </w:rPr>
        <w:t>Appellant</w:t>
      </w:r>
      <w:r>
        <w:rPr>
          <w:rFonts w:ascii="Book Antiqua" w:hAnsi="Book Antiqua" w:cs="Arial"/>
        </w:rPr>
        <w:t xml:space="preserve"> from the </w:t>
      </w:r>
      <w:r w:rsidR="0095383A">
        <w:rPr>
          <w:rFonts w:ascii="Book Antiqua" w:hAnsi="Book Antiqua" w:cs="Arial"/>
        </w:rPr>
        <w:t xml:space="preserve">Exceptions </w:t>
      </w:r>
      <w:r>
        <w:rPr>
          <w:rFonts w:ascii="Book Antiqua" w:hAnsi="Book Antiqua" w:cs="Arial"/>
        </w:rPr>
        <w:t xml:space="preserve">(see paragraphs 74 to 75).  The judge did not conclude that the </w:t>
      </w:r>
      <w:r w:rsidR="00AA72EC">
        <w:rPr>
          <w:rFonts w:ascii="Book Antiqua" w:hAnsi="Book Antiqua" w:cs="Arial"/>
        </w:rPr>
        <w:t>Appellant</w:t>
      </w:r>
      <w:r>
        <w:rPr>
          <w:rFonts w:ascii="Book Antiqua" w:hAnsi="Book Antiqua" w:cs="Arial"/>
        </w:rPr>
        <w:t xml:space="preserve"> was a changed man.  That made a difference.  </w:t>
      </w:r>
    </w:p>
    <w:p w:rsidR="005B0DC0" w:rsidRPr="005B0DC0" w:rsidRDefault="005B0DC0" w:rsidP="005B0DC0">
      <w:pPr>
        <w:spacing w:before="240"/>
        <w:jc w:val="both"/>
        <w:rPr>
          <w:rFonts w:ascii="Book Antiqua" w:hAnsi="Book Antiqua" w:cs="Arial"/>
          <w:b/>
          <w:u w:val="single"/>
        </w:rPr>
      </w:pPr>
      <w:r>
        <w:rPr>
          <w:rFonts w:ascii="Book Antiqua" w:hAnsi="Book Antiqua" w:cs="Arial"/>
          <w:b/>
          <w:u w:val="single"/>
        </w:rPr>
        <w:t>No Error of Law</w:t>
      </w:r>
    </w:p>
    <w:p w:rsidR="00B465FB" w:rsidRDefault="005B0DC0" w:rsidP="000F6D1D">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2007) such that I should set aside the decision.  My reasons are as follows.  </w:t>
      </w:r>
    </w:p>
    <w:p w:rsidR="00AD7708" w:rsidRPr="000F6D1D" w:rsidRDefault="005B0DC0" w:rsidP="00B465FB">
      <w:pPr>
        <w:numPr>
          <w:ilvl w:val="0"/>
          <w:numId w:val="3"/>
        </w:numPr>
        <w:spacing w:before="240"/>
        <w:jc w:val="both"/>
        <w:rPr>
          <w:rFonts w:ascii="Book Antiqua" w:hAnsi="Book Antiqua" w:cs="Arial"/>
        </w:rPr>
      </w:pPr>
      <w:r>
        <w:rPr>
          <w:rFonts w:ascii="Book Antiqua" w:hAnsi="Book Antiqua" w:cs="Arial"/>
        </w:rPr>
        <w:t xml:space="preserve">First, in a detailed and comprehensive determination, the judge was fully aware of the applicable legal provisions.  He states, that in an Article 8 appeal, the relevant Rules are those that appear at paragraphs 390, 390A, 396, 397, A398, 398, 399 and 399A.  He observes that the general Rule is that for “the public interest requiring deportation” to be outweighed, the </w:t>
      </w:r>
      <w:r w:rsidR="00AA72EC">
        <w:rPr>
          <w:rFonts w:ascii="Book Antiqua" w:hAnsi="Book Antiqua" w:cs="Arial"/>
        </w:rPr>
        <w:t>Appellant</w:t>
      </w:r>
      <w:r>
        <w:rPr>
          <w:rFonts w:ascii="Book Antiqua" w:hAnsi="Book Antiqua" w:cs="Arial"/>
        </w:rPr>
        <w:t>, if he cannot bring himself within paragraph 399 or 399A of the Im</w:t>
      </w:r>
      <w:r w:rsidR="002C29D2">
        <w:rPr>
          <w:rFonts w:ascii="Book Antiqua" w:hAnsi="Book Antiqua" w:cs="Arial"/>
        </w:rPr>
        <w:t>migration Rules and Exceptions 1</w:t>
      </w:r>
      <w:r w:rsidR="0095383A">
        <w:rPr>
          <w:rFonts w:ascii="Book Antiqua" w:hAnsi="Book Antiqua" w:cs="Arial"/>
        </w:rPr>
        <w:t xml:space="preserve"> and 2</w:t>
      </w:r>
      <w:r w:rsidR="002C29D2">
        <w:rPr>
          <w:rFonts w:ascii="Book Antiqua" w:hAnsi="Book Antiqua" w:cs="Arial"/>
        </w:rPr>
        <w:t xml:space="preserve"> in Sections 117(C)(4) and (5) of Part 5A of the 2002 Act, must show very compelling circumstances over and above those described in paragraphs 399 or 399A or Exception 1 or 2 (see </w:t>
      </w:r>
      <w:r w:rsidR="002C29D2" w:rsidRPr="002C29D2">
        <w:rPr>
          <w:rFonts w:ascii="Book Antiqua" w:hAnsi="Book Antiqua" w:cs="Arial"/>
          <w:b/>
          <w:u w:val="single"/>
        </w:rPr>
        <w:t>NE-A (Nigeria) v SSHD</w:t>
      </w:r>
      <w:r w:rsidR="002C29D2">
        <w:rPr>
          <w:rFonts w:ascii="Book Antiqua" w:hAnsi="Book Antiqua" w:cs="Arial"/>
        </w:rPr>
        <w:t xml:space="preserve"> </w:t>
      </w:r>
      <w:r w:rsidR="002C29D2" w:rsidRPr="002C29D2">
        <w:rPr>
          <w:rFonts w:ascii="Book Antiqua" w:hAnsi="Book Antiqua" w:cs="Arial"/>
          <w:b/>
        </w:rPr>
        <w:t xml:space="preserve">[2017] EWCA </w:t>
      </w:r>
      <w:proofErr w:type="spellStart"/>
      <w:r w:rsidR="002C29D2" w:rsidRPr="002C29D2">
        <w:rPr>
          <w:rFonts w:ascii="Book Antiqua" w:hAnsi="Book Antiqua" w:cs="Arial"/>
          <w:b/>
        </w:rPr>
        <w:t>Civ</w:t>
      </w:r>
      <w:proofErr w:type="spellEnd"/>
      <w:r w:rsidR="002C29D2" w:rsidRPr="002C29D2">
        <w:rPr>
          <w:rFonts w:ascii="Book Antiqua" w:hAnsi="Book Antiqua" w:cs="Arial"/>
          <w:b/>
        </w:rPr>
        <w:t xml:space="preserve"> 239</w:t>
      </w:r>
      <w:r w:rsidR="002C29D2">
        <w:rPr>
          <w:rFonts w:ascii="Book Antiqua" w:hAnsi="Book Antiqua" w:cs="Arial"/>
        </w:rPr>
        <w:t xml:space="preserve"> explaining </w:t>
      </w:r>
      <w:r w:rsidR="002C29D2" w:rsidRPr="002C29D2">
        <w:rPr>
          <w:rFonts w:ascii="Book Antiqua" w:hAnsi="Book Antiqua" w:cs="Arial"/>
          <w:b/>
          <w:u w:val="single"/>
        </w:rPr>
        <w:t>Hesham Ali v SSHD</w:t>
      </w:r>
      <w:r w:rsidR="002C29D2">
        <w:rPr>
          <w:rFonts w:ascii="Book Antiqua" w:hAnsi="Book Antiqua" w:cs="Arial"/>
        </w:rPr>
        <w:t xml:space="preserve"> </w:t>
      </w:r>
      <w:r w:rsidR="002C29D2" w:rsidRPr="002C29D2">
        <w:rPr>
          <w:rFonts w:ascii="Book Antiqua" w:hAnsi="Book Antiqua" w:cs="Arial"/>
          <w:b/>
        </w:rPr>
        <w:t>[2016] UKSC 60</w:t>
      </w:r>
      <w:r w:rsidR="002C29D2">
        <w:rPr>
          <w:rFonts w:ascii="Book Antiqua" w:hAnsi="Book Antiqua" w:cs="Arial"/>
        </w:rPr>
        <w:t xml:space="preserve">).  The judge goes on, moreover, to state that in </w:t>
      </w:r>
      <w:r w:rsidR="002C29D2" w:rsidRPr="002C29D2">
        <w:rPr>
          <w:rFonts w:ascii="Book Antiqua" w:hAnsi="Book Antiqua" w:cs="Arial"/>
          <w:b/>
          <w:u w:val="single"/>
        </w:rPr>
        <w:t>SS (Nigeria) v SSHD</w:t>
      </w:r>
      <w:r w:rsidR="002C29D2" w:rsidRPr="002C29D2">
        <w:rPr>
          <w:rFonts w:ascii="Book Antiqua" w:hAnsi="Book Antiqua" w:cs="Arial"/>
          <w:b/>
        </w:rPr>
        <w:t xml:space="preserve"> [2013] EWCA </w:t>
      </w:r>
      <w:proofErr w:type="spellStart"/>
      <w:r w:rsidR="002C29D2" w:rsidRPr="002C29D2">
        <w:rPr>
          <w:rFonts w:ascii="Book Antiqua" w:hAnsi="Book Antiqua" w:cs="Arial"/>
          <w:b/>
        </w:rPr>
        <w:t>Civ</w:t>
      </w:r>
      <w:proofErr w:type="spellEnd"/>
      <w:r w:rsidR="002C29D2" w:rsidRPr="002C29D2">
        <w:rPr>
          <w:rFonts w:ascii="Book Antiqua" w:hAnsi="Book Antiqua" w:cs="Arial"/>
          <w:b/>
        </w:rPr>
        <w:t xml:space="preserve"> 550</w:t>
      </w:r>
      <w:r w:rsidR="002C29D2">
        <w:rPr>
          <w:rFonts w:ascii="Book Antiqua" w:hAnsi="Book Antiqua" w:cs="Arial"/>
        </w:rPr>
        <w:t xml:space="preserve">, an automatic deport case, Laws LJ stated, at paragraph 54 that it would take a “very strong claim indeed” to outweigh the public interest in deportation.  He goes on to record that at paragraph 58, the Learned Lord Justice identified there “public interest in the </w:t>
      </w:r>
      <w:r w:rsidR="00AA72EC">
        <w:rPr>
          <w:rFonts w:ascii="Book Antiqua" w:hAnsi="Book Antiqua" w:cs="Arial"/>
        </w:rPr>
        <w:t>Appellant</w:t>
      </w:r>
      <w:r w:rsidR="002C29D2">
        <w:rPr>
          <w:rFonts w:ascii="Book Antiqua" w:hAnsi="Book Antiqua" w:cs="Arial"/>
        </w:rPr>
        <w:t xml:space="preserve">’s deportation” as “extremely pressing”.  He also stated that he had borne in mind the </w:t>
      </w:r>
      <w:r w:rsidR="002C29D2" w:rsidRPr="00B465FB">
        <w:rPr>
          <w:rFonts w:ascii="Book Antiqua" w:hAnsi="Book Antiqua" w:cs="Arial"/>
          <w:i/>
        </w:rPr>
        <w:t>dicta</w:t>
      </w:r>
      <w:r w:rsidR="002C29D2">
        <w:rPr>
          <w:rFonts w:ascii="Book Antiqua" w:hAnsi="Book Antiqua" w:cs="Arial"/>
        </w:rPr>
        <w:t xml:space="preserve"> of Sales LJ in </w:t>
      </w:r>
      <w:r w:rsidR="002C29D2" w:rsidRPr="002C29D2">
        <w:rPr>
          <w:rFonts w:ascii="Book Antiqua" w:hAnsi="Book Antiqua" w:cs="Arial"/>
          <w:b/>
          <w:u w:val="single"/>
        </w:rPr>
        <w:t>AJ (Angola) v SSHD</w:t>
      </w:r>
      <w:r w:rsidR="00042D0F">
        <w:rPr>
          <w:rFonts w:ascii="Book Antiqua" w:hAnsi="Book Antiqua" w:cs="Arial"/>
          <w:b/>
        </w:rPr>
        <w:t xml:space="preserve"> [2014] EWCA </w:t>
      </w:r>
      <w:proofErr w:type="spellStart"/>
      <w:r w:rsidR="00042D0F">
        <w:rPr>
          <w:rFonts w:ascii="Book Antiqua" w:hAnsi="Book Antiqua" w:cs="Arial"/>
          <w:b/>
        </w:rPr>
        <w:t>Civ</w:t>
      </w:r>
      <w:proofErr w:type="spellEnd"/>
      <w:r w:rsidR="00042D0F">
        <w:rPr>
          <w:rFonts w:ascii="Book Antiqua" w:hAnsi="Book Antiqua" w:cs="Arial"/>
          <w:b/>
        </w:rPr>
        <w:t xml:space="preserve"> 16</w:t>
      </w:r>
      <w:r w:rsidR="002C29D2" w:rsidRPr="002C29D2">
        <w:rPr>
          <w:rFonts w:ascii="Book Antiqua" w:hAnsi="Book Antiqua" w:cs="Arial"/>
          <w:b/>
        </w:rPr>
        <w:t>36</w:t>
      </w:r>
      <w:r w:rsidR="002C29D2">
        <w:rPr>
          <w:rFonts w:ascii="Book Antiqua" w:hAnsi="Book Antiqua" w:cs="Arial"/>
        </w:rPr>
        <w:t xml:space="preserve"> to the effect that the seriousness of the offence must not be brushed aside.  </w:t>
      </w:r>
    </w:p>
    <w:p w:rsidR="000D6B2E" w:rsidRDefault="00B465FB" w:rsidP="00D33B16">
      <w:pPr>
        <w:numPr>
          <w:ilvl w:val="0"/>
          <w:numId w:val="3"/>
        </w:numPr>
        <w:spacing w:before="240"/>
        <w:jc w:val="both"/>
        <w:rPr>
          <w:rFonts w:ascii="Book Antiqua" w:hAnsi="Book Antiqua" w:cs="Arial"/>
        </w:rPr>
      </w:pPr>
      <w:r>
        <w:rPr>
          <w:rFonts w:ascii="Book Antiqua" w:hAnsi="Book Antiqua" w:cs="Arial"/>
        </w:rPr>
        <w:t xml:space="preserve">Second, </w:t>
      </w:r>
      <w:r w:rsidR="00C32E88">
        <w:rPr>
          <w:rFonts w:ascii="Book Antiqua" w:hAnsi="Book Antiqua" w:cs="Arial"/>
        </w:rPr>
        <w:t xml:space="preserve">the judge then set out the </w:t>
      </w:r>
      <w:r w:rsidR="00AA72EC">
        <w:rPr>
          <w:rFonts w:ascii="Book Antiqua" w:hAnsi="Book Antiqua" w:cs="Arial"/>
        </w:rPr>
        <w:t>Appellant</w:t>
      </w:r>
      <w:r w:rsidR="00C32E88">
        <w:rPr>
          <w:rFonts w:ascii="Book Antiqua" w:hAnsi="Book Antiqua" w:cs="Arial"/>
        </w:rPr>
        <w:t xml:space="preserve">’s entire circumstances (see paragraphs 83 onwards) observing that his son, “Wesley” had told </w:t>
      </w:r>
      <w:r w:rsidR="00DB4DC2">
        <w:rPr>
          <w:rFonts w:ascii="Book Antiqua" w:hAnsi="Book Antiqua" w:cs="Arial"/>
        </w:rPr>
        <w:t xml:space="preserve">him </w:t>
      </w:r>
      <w:r w:rsidR="00C32E88">
        <w:rPr>
          <w:rFonts w:ascii="Book Antiqua" w:hAnsi="Book Antiqua" w:cs="Arial"/>
        </w:rPr>
        <w:t xml:space="preserve">that he would do the best for his father, and provide him with food, money and clothes when he could (paragraph 19).  The evidence of others </w:t>
      </w:r>
      <w:proofErr w:type="gramStart"/>
      <w:r w:rsidR="00C32E88">
        <w:rPr>
          <w:rFonts w:ascii="Book Antiqua" w:hAnsi="Book Antiqua" w:cs="Arial"/>
        </w:rPr>
        <w:t>were</w:t>
      </w:r>
      <w:proofErr w:type="gramEnd"/>
      <w:r w:rsidR="00C32E88">
        <w:rPr>
          <w:rFonts w:ascii="Book Antiqua" w:hAnsi="Book Antiqua" w:cs="Arial"/>
        </w:rPr>
        <w:t xml:space="preserve"> also taken into account (paragraph 104).  The submission of the Presenting Officer, that the </w:t>
      </w:r>
      <w:r w:rsidR="00AA72EC">
        <w:rPr>
          <w:rFonts w:ascii="Book Antiqua" w:hAnsi="Book Antiqua" w:cs="Arial"/>
        </w:rPr>
        <w:t>Appellant</w:t>
      </w:r>
      <w:r w:rsidR="00C32E88">
        <w:rPr>
          <w:rFonts w:ascii="Book Antiqua" w:hAnsi="Book Antiqua" w:cs="Arial"/>
        </w:rPr>
        <w:t xml:space="preserve"> could not demonstrate that he was socially and culturally integrated into the UK, was con</w:t>
      </w:r>
      <w:r w:rsidR="00DB4DC2">
        <w:rPr>
          <w:rFonts w:ascii="Book Antiqua" w:hAnsi="Book Antiqua" w:cs="Arial"/>
        </w:rPr>
        <w:t>sidered and rejected, with the j</w:t>
      </w:r>
      <w:r w:rsidR="00C32E88">
        <w:rPr>
          <w:rFonts w:ascii="Book Antiqua" w:hAnsi="Book Antiqua" w:cs="Arial"/>
        </w:rPr>
        <w:t xml:space="preserve">udge observing that the </w:t>
      </w:r>
      <w:r w:rsidR="00AA72EC">
        <w:rPr>
          <w:rFonts w:ascii="Book Antiqua" w:hAnsi="Book Antiqua" w:cs="Arial"/>
        </w:rPr>
        <w:t>Appellant</w:t>
      </w:r>
      <w:r w:rsidR="00C32E88">
        <w:rPr>
          <w:rFonts w:ascii="Book Antiqua" w:hAnsi="Book Antiqua" w:cs="Arial"/>
        </w:rPr>
        <w:t xml:space="preserve"> could have undoubtedly had a hard upbringing.  His mother came to the United Kingdom, leaving him in the care of his stepfather.  He was then evicted, at a very young, by his stepfather.  He lived on the streets here” (paragraph 115).  The judge also concluded that “all those who currently fund him in this country confirmed to me that they would be unable to continue doing so, were he to be deported to Jamaica.  </w:t>
      </w:r>
      <w:r w:rsidR="00843506">
        <w:rPr>
          <w:rFonts w:ascii="Book Antiqua" w:hAnsi="Book Antiqua" w:cs="Arial"/>
        </w:rPr>
        <w:t>The money they provide him with here would constitute ‘pin money’ in Jamaica” (paragraph 119).</w:t>
      </w:r>
    </w:p>
    <w:p w:rsidR="00C32E88" w:rsidRPr="00DB4DC2" w:rsidRDefault="00B465FB" w:rsidP="00DB4DC2">
      <w:pPr>
        <w:numPr>
          <w:ilvl w:val="0"/>
          <w:numId w:val="3"/>
        </w:numPr>
        <w:spacing w:before="240"/>
        <w:jc w:val="both"/>
        <w:rPr>
          <w:rFonts w:ascii="Book Antiqua" w:hAnsi="Book Antiqua" w:cs="Arial"/>
        </w:rPr>
      </w:pPr>
      <w:r>
        <w:rPr>
          <w:rFonts w:ascii="Book Antiqua" w:hAnsi="Book Antiqua" w:cs="Arial"/>
        </w:rPr>
        <w:t xml:space="preserve">Third, </w:t>
      </w:r>
      <w:r w:rsidR="000D6B2E">
        <w:rPr>
          <w:rFonts w:ascii="Book Antiqua" w:hAnsi="Book Antiqua" w:cs="Arial"/>
        </w:rPr>
        <w:t xml:space="preserve">with respect to the question as to whether the </w:t>
      </w:r>
      <w:r w:rsidR="00AA72EC">
        <w:rPr>
          <w:rFonts w:ascii="Book Antiqua" w:hAnsi="Book Antiqua" w:cs="Arial"/>
        </w:rPr>
        <w:t>Appellant</w:t>
      </w:r>
      <w:r w:rsidR="000D6B2E">
        <w:rPr>
          <w:rFonts w:ascii="Book Antiqua" w:hAnsi="Book Antiqua" w:cs="Arial"/>
        </w:rPr>
        <w:t xml:space="preserve"> was socially and culturally integrated</w:t>
      </w:r>
      <w:r w:rsidR="00C32E88">
        <w:rPr>
          <w:rFonts w:ascii="Book Antiqua" w:hAnsi="Book Antiqua" w:cs="Arial"/>
        </w:rPr>
        <w:t xml:space="preserve"> </w:t>
      </w:r>
      <w:r w:rsidR="000D6B2E">
        <w:rPr>
          <w:rFonts w:ascii="Book Antiqua" w:hAnsi="Book Antiqua" w:cs="Arial"/>
        </w:rPr>
        <w:t>in the UK, the judge was cle</w:t>
      </w:r>
      <w:r w:rsidR="00DB4DC2">
        <w:rPr>
          <w:rFonts w:ascii="Book Antiqua" w:hAnsi="Book Antiqua" w:cs="Arial"/>
        </w:rPr>
        <w:t xml:space="preserve">arly of the view that he was.  Faced with the argument from </w:t>
      </w:r>
      <w:r w:rsidR="000D6B2E">
        <w:rPr>
          <w:rFonts w:ascii="Book Antiqua" w:hAnsi="Book Antiqua" w:cs="Arial"/>
        </w:rPr>
        <w:t xml:space="preserve">the Presenting Officer that the </w:t>
      </w:r>
      <w:r w:rsidR="00AA72EC">
        <w:rPr>
          <w:rFonts w:ascii="Book Antiqua" w:hAnsi="Book Antiqua" w:cs="Arial"/>
        </w:rPr>
        <w:t>Appellant</w:t>
      </w:r>
      <w:r w:rsidR="000D6B2E">
        <w:rPr>
          <w:rFonts w:ascii="Book Antiqua" w:hAnsi="Book Antiqua" w:cs="Arial"/>
        </w:rPr>
        <w:t xml:space="preserve">, because of his criminality was not, the judge observed that, </w:t>
      </w:r>
      <w:r w:rsidR="000D6B2E" w:rsidRPr="00DB4DC2">
        <w:rPr>
          <w:rFonts w:ascii="Book Antiqua" w:hAnsi="Book Antiqua" w:cs="Arial"/>
        </w:rPr>
        <w:t xml:space="preserve">“however, there are other matters to take into account.  He has undergone virtually all his education here.  All his social life is here.  For all intents and purposes, his entire family is here” (paragraph 120).  The </w:t>
      </w:r>
      <w:r w:rsidR="000D6B2E" w:rsidRPr="00DB4DC2">
        <w:rPr>
          <w:rFonts w:ascii="Book Antiqua" w:hAnsi="Book Antiqua" w:cs="Arial"/>
        </w:rPr>
        <w:lastRenderedPageBreak/>
        <w:t xml:space="preserve">judge went on to observe that the </w:t>
      </w:r>
      <w:r w:rsidR="00AA72EC" w:rsidRPr="00DB4DC2">
        <w:rPr>
          <w:rFonts w:ascii="Book Antiqua" w:hAnsi="Book Antiqua" w:cs="Arial"/>
        </w:rPr>
        <w:t>Appellant</w:t>
      </w:r>
      <w:r w:rsidR="000D6B2E" w:rsidRPr="00DB4DC2">
        <w:rPr>
          <w:rFonts w:ascii="Book Antiqua" w:hAnsi="Book Antiqua" w:cs="Arial"/>
        </w:rPr>
        <w:t xml:space="preserve"> has “worked </w:t>
      </w:r>
      <w:r w:rsidR="00DB4DC2" w:rsidRPr="00DB4DC2">
        <w:rPr>
          <w:rFonts w:ascii="Book Antiqua" w:hAnsi="Book Antiqua" w:cs="Arial"/>
        </w:rPr>
        <w:t xml:space="preserve">in </w:t>
      </w:r>
      <w:r w:rsidR="000D6B2E" w:rsidRPr="00DB4DC2">
        <w:rPr>
          <w:rFonts w:ascii="Book Antiqua" w:hAnsi="Book Antiqua" w:cs="Arial"/>
        </w:rPr>
        <w:t xml:space="preserve">numerous jobs”.  He has been a polisher, cobbler and driver. </w:t>
      </w:r>
      <w:r w:rsidR="00215090" w:rsidRPr="00DB4DC2">
        <w:rPr>
          <w:rFonts w:ascii="Book Antiqua" w:hAnsi="Book Antiqua" w:cs="Arial"/>
        </w:rPr>
        <w:t xml:space="preserve">The </w:t>
      </w:r>
      <w:r w:rsidR="00AA72EC" w:rsidRPr="00DB4DC2">
        <w:rPr>
          <w:rFonts w:ascii="Book Antiqua" w:hAnsi="Book Antiqua" w:cs="Arial"/>
        </w:rPr>
        <w:t>Appellant</w:t>
      </w:r>
      <w:r w:rsidR="00215090" w:rsidRPr="00DB4DC2">
        <w:rPr>
          <w:rFonts w:ascii="Book Antiqua" w:hAnsi="Book Antiqua" w:cs="Arial"/>
        </w:rPr>
        <w:t xml:space="preserve"> had</w:t>
      </w:r>
      <w:r>
        <w:rPr>
          <w:rFonts w:ascii="Book Antiqua" w:hAnsi="Book Antiqua" w:cs="Arial"/>
        </w:rPr>
        <w:t xml:space="preserve"> connections </w:t>
      </w:r>
      <w:r w:rsidR="00215090" w:rsidRPr="00DB4DC2">
        <w:rPr>
          <w:rFonts w:ascii="Book Antiqua" w:hAnsi="Book Antiqua" w:cs="Arial"/>
        </w:rPr>
        <w:t>with no-one in Jamaica and he had never been back ever since the age of 14 (paragraph 137).  Without any social connection, and given his condition, he “would be particularly vulnerable” (paragraph 13</w:t>
      </w:r>
      <w:r w:rsidR="00DB4DC2">
        <w:rPr>
          <w:rFonts w:ascii="Book Antiqua" w:hAnsi="Book Antiqua" w:cs="Arial"/>
        </w:rPr>
        <w:t>8</w:t>
      </w:r>
      <w:r w:rsidR="00215090" w:rsidRPr="00DB4DC2">
        <w:rPr>
          <w:rFonts w:ascii="Book Antiqua" w:hAnsi="Book Antiqua" w:cs="Arial"/>
        </w:rPr>
        <w:t>).  A finding was made that “there would be a real risk that his mental vulner</w:t>
      </w:r>
      <w:r w:rsidR="00DB4DC2">
        <w:rPr>
          <w:rFonts w:ascii="Book Antiqua" w:hAnsi="Book Antiqua" w:cs="Arial"/>
        </w:rPr>
        <w:t>ability would be acerbate</w:t>
      </w:r>
      <w:r w:rsidR="00215090" w:rsidRPr="00DB4DC2">
        <w:rPr>
          <w:rFonts w:ascii="Book Antiqua" w:hAnsi="Book Antiqua" w:cs="Arial"/>
        </w:rPr>
        <w:t>d” (paragraph 13</w:t>
      </w:r>
      <w:r w:rsidR="00DB4DC2">
        <w:rPr>
          <w:rFonts w:ascii="Book Antiqua" w:hAnsi="Book Antiqua" w:cs="Arial"/>
        </w:rPr>
        <w:t>9</w:t>
      </w:r>
      <w:r w:rsidR="00215090" w:rsidRPr="00DB4DC2">
        <w:rPr>
          <w:rFonts w:ascii="Book Antiqua" w:hAnsi="Book Antiqua" w:cs="Arial"/>
        </w:rPr>
        <w:t>).  Due regard was given to the</w:t>
      </w:r>
      <w:r w:rsidR="00DB4DC2">
        <w:rPr>
          <w:rFonts w:ascii="Book Antiqua" w:hAnsi="Book Antiqua" w:cs="Arial"/>
        </w:rPr>
        <w:t xml:space="preserve"> expert report</w:t>
      </w:r>
      <w:r w:rsidR="00215090" w:rsidRPr="00DB4DC2">
        <w:rPr>
          <w:rFonts w:ascii="Book Antiqua" w:hAnsi="Book Antiqua" w:cs="Arial"/>
        </w:rPr>
        <w:t xml:space="preserve"> of Mr de Noronha (see paragraphs 139 to 140), and referring to paragraph 129).  </w:t>
      </w:r>
    </w:p>
    <w:p w:rsidR="007C1C73" w:rsidRDefault="00B465FB" w:rsidP="00D33B16">
      <w:pPr>
        <w:numPr>
          <w:ilvl w:val="0"/>
          <w:numId w:val="3"/>
        </w:numPr>
        <w:spacing w:before="240"/>
        <w:jc w:val="both"/>
        <w:rPr>
          <w:rFonts w:ascii="Book Antiqua" w:hAnsi="Book Antiqua" w:cs="Arial"/>
        </w:rPr>
      </w:pPr>
      <w:r>
        <w:rPr>
          <w:rFonts w:ascii="Book Antiqua" w:hAnsi="Book Antiqua" w:cs="Arial"/>
        </w:rPr>
        <w:t>Fourth</w:t>
      </w:r>
      <w:r w:rsidR="007C1C73">
        <w:rPr>
          <w:rFonts w:ascii="Book Antiqua" w:hAnsi="Book Antiqua" w:cs="Arial"/>
        </w:rPr>
        <w:t xml:space="preserve">, the judge did not find that the </w:t>
      </w:r>
      <w:r w:rsidR="00AA72EC">
        <w:rPr>
          <w:rFonts w:ascii="Book Antiqua" w:hAnsi="Book Antiqua" w:cs="Arial"/>
        </w:rPr>
        <w:t>Appellant</w:t>
      </w:r>
      <w:r w:rsidR="007C1C73">
        <w:rPr>
          <w:rFonts w:ascii="Book Antiqua" w:hAnsi="Book Antiqua" w:cs="Arial"/>
        </w:rPr>
        <w:t xml:space="preserve"> was gay.  He did find, as he was entitled to</w:t>
      </w:r>
      <w:r w:rsidR="00DB4DC2">
        <w:rPr>
          <w:rFonts w:ascii="Book Antiqua" w:hAnsi="Book Antiqua" w:cs="Arial"/>
        </w:rPr>
        <w:t xml:space="preserve"> that</w:t>
      </w:r>
      <w:r w:rsidR="007C1C73">
        <w:rPr>
          <w:rFonts w:ascii="Book Antiqua" w:hAnsi="Book Antiqua" w:cs="Arial"/>
        </w:rPr>
        <w:t xml:space="preserve">, “the chances of the </w:t>
      </w:r>
      <w:r w:rsidR="00AA72EC">
        <w:rPr>
          <w:rFonts w:ascii="Book Antiqua" w:hAnsi="Book Antiqua" w:cs="Arial"/>
        </w:rPr>
        <w:t>Appellant</w:t>
      </w:r>
      <w:r w:rsidR="007C1C73">
        <w:rPr>
          <w:rFonts w:ascii="Book Antiqua" w:hAnsi="Book Antiqua" w:cs="Arial"/>
        </w:rPr>
        <w:t xml:space="preserve"> being exposed as gay or as someone perceived as being gay is heightened by the ease with which Google searches can be made.</w:t>
      </w:r>
      <w:r>
        <w:rPr>
          <w:rFonts w:ascii="Book Antiqua" w:hAnsi="Book Antiqua" w:cs="Arial"/>
        </w:rPr>
        <w:t>”  The judge stated that “</w:t>
      </w:r>
      <w:r w:rsidR="005A56F8">
        <w:rPr>
          <w:rFonts w:ascii="Book Antiqua" w:hAnsi="Book Antiqua" w:cs="Arial"/>
        </w:rPr>
        <w:t xml:space="preserve">the </w:t>
      </w:r>
      <w:r w:rsidR="00AA72EC">
        <w:rPr>
          <w:rFonts w:ascii="Book Antiqua" w:hAnsi="Book Antiqua" w:cs="Arial"/>
        </w:rPr>
        <w:t>Appellant</w:t>
      </w:r>
      <w:r>
        <w:rPr>
          <w:rFonts w:ascii="Book Antiqua" w:hAnsi="Book Antiqua" w:cs="Arial"/>
        </w:rPr>
        <w:t xml:space="preserve">’s … </w:t>
      </w:r>
      <w:r w:rsidR="005A56F8">
        <w:rPr>
          <w:rFonts w:ascii="Book Antiqua" w:hAnsi="Book Antiqua" w:cs="Arial"/>
        </w:rPr>
        <w:t>case was given considerable media coverage in Jamaica only a couple of years ago.  Jamaica is a small country” (paragr</w:t>
      </w:r>
      <w:r w:rsidR="00DB4DC2">
        <w:rPr>
          <w:rFonts w:ascii="Book Antiqua" w:hAnsi="Book Antiqua" w:cs="Arial"/>
        </w:rPr>
        <w:t>aph 143).  The judge went on, f</w:t>
      </w:r>
      <w:r w:rsidR="005A56F8">
        <w:rPr>
          <w:rFonts w:ascii="Book Antiqua" w:hAnsi="Book Antiqua" w:cs="Arial"/>
        </w:rPr>
        <w:t>r</w:t>
      </w:r>
      <w:r w:rsidR="00DB4DC2">
        <w:rPr>
          <w:rFonts w:ascii="Book Antiqua" w:hAnsi="Book Antiqua" w:cs="Arial"/>
        </w:rPr>
        <w:t>om</w:t>
      </w:r>
      <w:r>
        <w:rPr>
          <w:rFonts w:ascii="Book Antiqua" w:hAnsi="Book Antiqua" w:cs="Arial"/>
        </w:rPr>
        <w:t xml:space="preserve"> this, to conclude that, if</w:t>
      </w:r>
      <w:r w:rsidR="005A56F8">
        <w:rPr>
          <w:rFonts w:ascii="Book Antiqua" w:hAnsi="Book Antiqua" w:cs="Arial"/>
        </w:rPr>
        <w:t xml:space="preserve"> is perceived to be gay, </w:t>
      </w:r>
      <w:r>
        <w:rPr>
          <w:rFonts w:ascii="Book Antiqua" w:hAnsi="Book Antiqua" w:cs="Arial"/>
        </w:rPr>
        <w:t>“</w:t>
      </w:r>
      <w:r w:rsidR="005A56F8">
        <w:rPr>
          <w:rFonts w:ascii="Book Antiqua" w:hAnsi="Book Antiqua" w:cs="Arial"/>
        </w:rPr>
        <w:t>he will be at real risk in Jamaica”</w:t>
      </w:r>
      <w:r w:rsidR="00F26CFE">
        <w:rPr>
          <w:rFonts w:ascii="Book Antiqua" w:hAnsi="Book Antiqua" w:cs="Arial"/>
        </w:rPr>
        <w:t xml:space="preserve"> (paragraph 144).  Th</w:t>
      </w:r>
      <w:r w:rsidR="005A56F8">
        <w:rPr>
          <w:rFonts w:ascii="Book Antiqua" w:hAnsi="Book Antiqua" w:cs="Arial"/>
        </w:rPr>
        <w:t>is conclusion</w:t>
      </w:r>
      <w:r w:rsidR="00F26CFE">
        <w:rPr>
          <w:rFonts w:ascii="Book Antiqua" w:hAnsi="Book Antiqua" w:cs="Arial"/>
        </w:rPr>
        <w:t xml:space="preserve"> follows on from</w:t>
      </w:r>
      <w:r w:rsidR="005A56F8">
        <w:rPr>
          <w:rFonts w:ascii="Book Antiqua" w:hAnsi="Book Antiqua" w:cs="Arial"/>
        </w:rPr>
        <w:t xml:space="preserve"> the recognition earlier on that Diane Abbott MP had written an article specifically on the </w:t>
      </w:r>
      <w:r w:rsidR="00AA72EC">
        <w:rPr>
          <w:rFonts w:ascii="Book Antiqua" w:hAnsi="Book Antiqua" w:cs="Arial"/>
        </w:rPr>
        <w:t>Appellant</w:t>
      </w:r>
      <w:r w:rsidR="005A56F8">
        <w:rPr>
          <w:rFonts w:ascii="Book Antiqua" w:hAnsi="Book Antiqua" w:cs="Arial"/>
        </w:rPr>
        <w:t xml:space="preserve"> in The Jamaica Observer, which had stated</w:t>
      </w:r>
      <w:r w:rsidR="00F26CFE">
        <w:rPr>
          <w:rFonts w:ascii="Book Antiqua" w:hAnsi="Book Antiqua" w:cs="Arial"/>
        </w:rPr>
        <w:t xml:space="preserve"> that</w:t>
      </w:r>
      <w:r w:rsidR="005A56F8">
        <w:rPr>
          <w:rFonts w:ascii="Book Antiqua" w:hAnsi="Book Antiqua" w:cs="Arial"/>
        </w:rPr>
        <w:t>, “</w:t>
      </w:r>
      <w:proofErr w:type="spellStart"/>
      <w:r w:rsidR="005A56F8">
        <w:rPr>
          <w:rFonts w:ascii="Book Antiqua" w:hAnsi="Book Antiqua" w:cs="Arial"/>
        </w:rPr>
        <w:t>Brissett</w:t>
      </w:r>
      <w:proofErr w:type="spellEnd"/>
      <w:r w:rsidR="005A56F8">
        <w:rPr>
          <w:rFonts w:ascii="Book Antiqua" w:hAnsi="Book Antiqua" w:cs="Arial"/>
        </w:rPr>
        <w:t xml:space="preserve"> may or may not be homosexual” (paragraph 134).</w:t>
      </w:r>
    </w:p>
    <w:p w:rsidR="005A56F8" w:rsidRDefault="005A56F8" w:rsidP="00D33B16">
      <w:pPr>
        <w:numPr>
          <w:ilvl w:val="0"/>
          <w:numId w:val="3"/>
        </w:numPr>
        <w:spacing w:before="240"/>
        <w:jc w:val="both"/>
        <w:rPr>
          <w:rFonts w:ascii="Book Antiqua" w:hAnsi="Book Antiqua" w:cs="Arial"/>
        </w:rPr>
      </w:pPr>
      <w:r>
        <w:rPr>
          <w:rFonts w:ascii="Book Antiqua" w:hAnsi="Book Antiqua" w:cs="Arial"/>
        </w:rPr>
        <w:t>Finally, it is</w:t>
      </w:r>
      <w:r w:rsidR="00B465FB">
        <w:rPr>
          <w:rFonts w:ascii="Book Antiqua" w:hAnsi="Book Antiqua" w:cs="Arial"/>
        </w:rPr>
        <w:t xml:space="preserve"> only</w:t>
      </w:r>
      <w:r>
        <w:rPr>
          <w:rFonts w:ascii="Book Antiqua" w:hAnsi="Book Antiqua" w:cs="Arial"/>
        </w:rPr>
        <w:t xml:space="preserve"> having considered all of the aforesaid, that the judge eventually comes to the conclusion that </w:t>
      </w:r>
      <w:r w:rsidR="007E5CCF">
        <w:rPr>
          <w:rFonts w:ascii="Book Antiqua" w:hAnsi="Book Antiqua" w:cs="Arial"/>
        </w:rPr>
        <w:t>he</w:t>
      </w:r>
      <w:r>
        <w:rPr>
          <w:rFonts w:ascii="Book Antiqua" w:hAnsi="Book Antiqua" w:cs="Arial"/>
        </w:rPr>
        <w:t xml:space="preserve"> does</w:t>
      </w:r>
      <w:r w:rsidR="00B465FB">
        <w:rPr>
          <w:rFonts w:ascii="Book Antiqua" w:hAnsi="Book Antiqua" w:cs="Arial"/>
        </w:rPr>
        <w:t>,</w:t>
      </w:r>
      <w:r>
        <w:rPr>
          <w:rFonts w:ascii="Book Antiqua" w:hAnsi="Book Antiqua" w:cs="Arial"/>
        </w:rPr>
        <w:t xml:space="preserve"> which is that the </w:t>
      </w:r>
      <w:r w:rsidR="00AA72EC">
        <w:rPr>
          <w:rFonts w:ascii="Book Antiqua" w:hAnsi="Book Antiqua" w:cs="Arial"/>
        </w:rPr>
        <w:t>Appellant</w:t>
      </w:r>
      <w:r>
        <w:rPr>
          <w:rFonts w:ascii="Book Antiqua" w:hAnsi="Book Antiqua" w:cs="Arial"/>
        </w:rPr>
        <w:t>’s offending “was essentially caused by his drug addiction” and that “</w:t>
      </w:r>
      <w:r w:rsidR="00075E5F">
        <w:rPr>
          <w:rFonts w:ascii="Book Antiqua" w:hAnsi="Book Antiqua" w:cs="Arial"/>
        </w:rPr>
        <w:t>he i</w:t>
      </w:r>
      <w:r>
        <w:rPr>
          <w:rFonts w:ascii="Book Antiqua" w:hAnsi="Book Antiqua" w:cs="Arial"/>
        </w:rPr>
        <w:t>s genuinely tried to change the direction of his life” and</w:t>
      </w:r>
      <w:r w:rsidR="00075E5F">
        <w:rPr>
          <w:rFonts w:ascii="Book Antiqua" w:hAnsi="Book Antiqua" w:cs="Arial"/>
        </w:rPr>
        <w:t xml:space="preserve"> that</w:t>
      </w:r>
      <w:r>
        <w:rPr>
          <w:rFonts w:ascii="Book Antiqua" w:hAnsi="Book Antiqua" w:cs="Arial"/>
        </w:rPr>
        <w:t xml:space="preserve"> “the evidence of his witnesses</w:t>
      </w:r>
      <w:r w:rsidR="00075E5F">
        <w:rPr>
          <w:rFonts w:ascii="Book Antiqua" w:hAnsi="Book Antiqua" w:cs="Arial"/>
        </w:rPr>
        <w:t xml:space="preserve"> that his express contrit</w:t>
      </w:r>
      <w:r>
        <w:rPr>
          <w:rFonts w:ascii="Book Antiqua" w:hAnsi="Book Antiqua" w:cs="Arial"/>
        </w:rPr>
        <w:t>ion for his criminal past is genuine</w:t>
      </w:r>
      <w:r w:rsidR="00B465FB">
        <w:rPr>
          <w:rFonts w:ascii="Book Antiqua" w:hAnsi="Book Antiqua" w:cs="Arial"/>
        </w:rPr>
        <w:t>.</w:t>
      </w:r>
      <w:r>
        <w:rPr>
          <w:rFonts w:ascii="Book Antiqua" w:hAnsi="Book Antiqua" w:cs="Arial"/>
        </w:rPr>
        <w:t xml:space="preserve">” The judge also concluded that the </w:t>
      </w:r>
      <w:r w:rsidR="00AA72EC">
        <w:rPr>
          <w:rFonts w:ascii="Book Antiqua" w:hAnsi="Book Antiqua" w:cs="Arial"/>
        </w:rPr>
        <w:t>Appellant</w:t>
      </w:r>
      <w:r>
        <w:rPr>
          <w:rFonts w:ascii="Book Antiqua" w:hAnsi="Book Antiqua" w:cs="Arial"/>
        </w:rPr>
        <w:t xml:space="preserve"> “is ashamed of what he has done and wishes he could undo the harm he has caused to communicate</w:t>
      </w:r>
      <w:r w:rsidR="00075E5F">
        <w:rPr>
          <w:rFonts w:ascii="Book Antiqua" w:hAnsi="Book Antiqua" w:cs="Arial"/>
        </w:rPr>
        <w:t xml:space="preserve"> and</w:t>
      </w:r>
      <w:r>
        <w:rPr>
          <w:rFonts w:ascii="Book Antiqua" w:hAnsi="Book Antiqua" w:cs="Arial"/>
        </w:rPr>
        <w:t>, in particular, his victims” (paragraph 149)</w:t>
      </w:r>
      <w:r w:rsidR="00075E5F">
        <w:rPr>
          <w:rFonts w:ascii="Book Antiqua" w:hAnsi="Book Antiqua" w:cs="Arial"/>
        </w:rPr>
        <w:t>.  The</w:t>
      </w:r>
      <w:r>
        <w:rPr>
          <w:rFonts w:ascii="Book Antiqua" w:hAnsi="Book Antiqua" w:cs="Arial"/>
        </w:rPr>
        <w:t>s</w:t>
      </w:r>
      <w:r w:rsidR="00075E5F">
        <w:rPr>
          <w:rFonts w:ascii="Book Antiqua" w:hAnsi="Book Antiqua" w:cs="Arial"/>
        </w:rPr>
        <w:t>e</w:t>
      </w:r>
      <w:r>
        <w:rPr>
          <w:rFonts w:ascii="Book Antiqua" w:hAnsi="Book Antiqua" w:cs="Arial"/>
        </w:rPr>
        <w:t xml:space="preserve"> conclusion</w:t>
      </w:r>
      <w:r w:rsidR="00075E5F">
        <w:rPr>
          <w:rFonts w:ascii="Book Antiqua" w:hAnsi="Book Antiqua" w:cs="Arial"/>
        </w:rPr>
        <w:t>s</w:t>
      </w:r>
      <w:r>
        <w:rPr>
          <w:rFonts w:ascii="Book Antiqua" w:hAnsi="Book Antiqua" w:cs="Arial"/>
        </w:rPr>
        <w:t xml:space="preserve"> the judge was entitled to reach.  The conclusions were reached </w:t>
      </w:r>
      <w:r w:rsidR="00B465FB">
        <w:rPr>
          <w:rFonts w:ascii="Book Antiqua" w:hAnsi="Book Antiqua" w:cs="Arial"/>
        </w:rPr>
        <w:t>in full appreciation of the public interest because as the</w:t>
      </w:r>
      <w:r>
        <w:rPr>
          <w:rFonts w:ascii="Book Antiqua" w:hAnsi="Book Antiqua" w:cs="Arial"/>
        </w:rPr>
        <w:t xml:space="preserve"> judge</w:t>
      </w:r>
      <w:r w:rsidR="00B465FB">
        <w:rPr>
          <w:rFonts w:ascii="Book Antiqua" w:hAnsi="Book Antiqua" w:cs="Arial"/>
        </w:rPr>
        <w:t xml:space="preserve"> said, </w:t>
      </w:r>
      <w:r>
        <w:rPr>
          <w:rFonts w:ascii="Book Antiqua" w:hAnsi="Book Antiqua" w:cs="Arial"/>
        </w:rPr>
        <w:t>“I am acutely aware that deportation of foreign criminals is in the pu</w:t>
      </w:r>
      <w:r w:rsidR="00B465FB">
        <w:rPr>
          <w:rFonts w:ascii="Book Antiqua" w:hAnsi="Book Antiqua" w:cs="Arial"/>
        </w:rPr>
        <w:t xml:space="preserve">blic interest” </w:t>
      </w:r>
      <w:r w:rsidR="00075E5F">
        <w:rPr>
          <w:rFonts w:ascii="Book Antiqua" w:hAnsi="Book Antiqua" w:cs="Arial"/>
        </w:rPr>
        <w:t>(</w:t>
      </w:r>
      <w:r>
        <w:rPr>
          <w:rFonts w:ascii="Book Antiqua" w:hAnsi="Book Antiqua" w:cs="Arial"/>
        </w:rPr>
        <w:t>paragraph 150</w:t>
      </w:r>
      <w:r w:rsidR="00075E5F">
        <w:rPr>
          <w:rFonts w:ascii="Book Antiqua" w:hAnsi="Book Antiqua" w:cs="Arial"/>
        </w:rPr>
        <w:t>)</w:t>
      </w:r>
      <w:r>
        <w:rPr>
          <w:rFonts w:ascii="Book Antiqua" w:hAnsi="Book Antiqua" w:cs="Arial"/>
        </w:rPr>
        <w:t>.</w:t>
      </w:r>
    </w:p>
    <w:p w:rsidR="00EB70CF" w:rsidRPr="0023771E" w:rsidRDefault="005A56F8" w:rsidP="0023771E">
      <w:pPr>
        <w:numPr>
          <w:ilvl w:val="0"/>
          <w:numId w:val="3"/>
        </w:numPr>
        <w:spacing w:before="240"/>
        <w:jc w:val="both"/>
        <w:rPr>
          <w:rFonts w:ascii="Book Antiqua" w:hAnsi="Book Antiqua" w:cs="Arial"/>
        </w:rPr>
      </w:pPr>
      <w:r>
        <w:rPr>
          <w:rFonts w:ascii="Book Antiqua" w:hAnsi="Book Antiqua" w:cs="Arial"/>
        </w:rPr>
        <w:t xml:space="preserve">Accordingly, the judge was entitled to conclude that the Respondent’s decision not to revoke the deportation order was disproportionate because the </w:t>
      </w:r>
      <w:r w:rsidR="00AA72EC">
        <w:rPr>
          <w:rFonts w:ascii="Book Antiqua" w:hAnsi="Book Antiqua" w:cs="Arial"/>
        </w:rPr>
        <w:t>Appellant</w:t>
      </w:r>
      <w:r>
        <w:rPr>
          <w:rFonts w:ascii="Book Antiqua" w:hAnsi="Book Antiqua" w:cs="Arial"/>
        </w:rPr>
        <w:t xml:space="preserve"> had demonstrated “very compelling circumstances” as required by paragraph 398 and Section 117</w:t>
      </w:r>
      <w:proofErr w:type="gramStart"/>
      <w:r>
        <w:rPr>
          <w:rFonts w:ascii="Book Antiqua" w:hAnsi="Book Antiqua" w:cs="Arial"/>
        </w:rPr>
        <w:t>C(</w:t>
      </w:r>
      <w:proofErr w:type="gramEnd"/>
      <w:r>
        <w:rPr>
          <w:rFonts w:ascii="Book Antiqua" w:hAnsi="Book Antiqua" w:cs="Arial"/>
        </w:rPr>
        <w:t xml:space="preserve">6) of Part 5A of the 2002 Act.  The </w:t>
      </w:r>
      <w:r w:rsidR="00AA72EC">
        <w:rPr>
          <w:rFonts w:ascii="Book Antiqua" w:hAnsi="Book Antiqua" w:cs="Arial"/>
        </w:rPr>
        <w:t>Appellant</w:t>
      </w:r>
      <w:r>
        <w:rPr>
          <w:rFonts w:ascii="Book Antiqua" w:hAnsi="Book Antiqua" w:cs="Arial"/>
        </w:rPr>
        <w:t xml:space="preserve"> would be </w:t>
      </w:r>
      <w:r w:rsidR="000A06DD">
        <w:rPr>
          <w:rFonts w:ascii="Book Antiqua" w:hAnsi="Book Antiqua" w:cs="Arial"/>
        </w:rPr>
        <w:t>at real risk, as the judge found of a violation of his Article 3 rights</w:t>
      </w:r>
      <w:r w:rsidR="00B36239">
        <w:rPr>
          <w:rFonts w:ascii="Book Antiqua" w:hAnsi="Book Antiqua" w:cs="Arial"/>
        </w:rPr>
        <w:t xml:space="preserve"> and</w:t>
      </w:r>
      <w:r w:rsidR="000A06DD">
        <w:rPr>
          <w:rFonts w:ascii="Book Antiqua" w:hAnsi="Book Antiqua" w:cs="Arial"/>
        </w:rPr>
        <w:t xml:space="preserve"> </w:t>
      </w:r>
      <w:r w:rsidR="00B36239">
        <w:rPr>
          <w:rFonts w:ascii="Book Antiqua" w:hAnsi="Book Antiqua" w:cs="Arial"/>
        </w:rPr>
        <w:t>“</w:t>
      </w:r>
      <w:r w:rsidR="000A06DD">
        <w:rPr>
          <w:rFonts w:ascii="Book Antiqua" w:hAnsi="Book Antiqua" w:cs="Arial"/>
        </w:rPr>
        <w:t>he would be unable to survive in Jamaica</w:t>
      </w:r>
      <w:r w:rsidR="00B36239">
        <w:rPr>
          <w:rFonts w:ascii="Book Antiqua" w:hAnsi="Book Antiqua" w:cs="Arial"/>
        </w:rPr>
        <w:t>”</w:t>
      </w:r>
      <w:r w:rsidR="000A06DD">
        <w:rPr>
          <w:rFonts w:ascii="Book Antiqua" w:hAnsi="Book Antiqua" w:cs="Arial"/>
        </w:rPr>
        <w:t xml:space="preserve"> (paragraph 154). </w:t>
      </w:r>
      <w:r w:rsidR="00B36239">
        <w:rPr>
          <w:rFonts w:ascii="Book Antiqua" w:hAnsi="Book Antiqua" w:cs="Arial"/>
        </w:rPr>
        <w:t xml:space="preserve"> The decision not to revoke</w:t>
      </w:r>
      <w:r w:rsidR="0023771E">
        <w:rPr>
          <w:rFonts w:ascii="Book Antiqua" w:hAnsi="Book Antiqua" w:cs="Arial"/>
        </w:rPr>
        <w:t xml:space="preserve"> the deportation</w:t>
      </w:r>
      <w:r w:rsidR="00B36239">
        <w:rPr>
          <w:rFonts w:ascii="Book Antiqua" w:hAnsi="Book Antiqua" w:cs="Arial"/>
        </w:rPr>
        <w:t xml:space="preserve"> order</w:t>
      </w:r>
      <w:r w:rsidR="0023771E">
        <w:rPr>
          <w:rFonts w:ascii="Book Antiqua" w:hAnsi="Book Antiqua" w:cs="Arial"/>
        </w:rPr>
        <w:t xml:space="preserve"> infringed the </w:t>
      </w:r>
      <w:r w:rsidR="00AA72EC">
        <w:rPr>
          <w:rFonts w:ascii="Book Antiqua" w:hAnsi="Book Antiqua" w:cs="Arial"/>
        </w:rPr>
        <w:t>Appellant</w:t>
      </w:r>
      <w:r w:rsidR="0023771E">
        <w:rPr>
          <w:rFonts w:ascii="Book Antiqua" w:hAnsi="Book Antiqua" w:cs="Arial"/>
        </w:rPr>
        <w:t xml:space="preserve">’s Article 8 and Article 3 rights (paragraph 145).  </w:t>
      </w:r>
      <w:r w:rsidR="00D13C4F">
        <w:rPr>
          <w:rFonts w:ascii="Book Antiqua" w:hAnsi="Book Antiqua" w:cs="Arial"/>
        </w:rPr>
        <w:t>None of these conclusions were perverse</w:t>
      </w:r>
      <w:r w:rsidR="00B36239">
        <w:rPr>
          <w:rFonts w:ascii="Book Antiqua" w:hAnsi="Book Antiqua" w:cs="Arial"/>
        </w:rPr>
        <w:t xml:space="preserve"> or</w:t>
      </w:r>
      <w:r w:rsidR="00D13C4F">
        <w:rPr>
          <w:rFonts w:ascii="Book Antiqua" w:hAnsi="Book Antiqua" w:cs="Arial"/>
        </w:rPr>
        <w:t xml:space="preserve"> not open to the judge.</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23771E" w:rsidRDefault="00D13C4F" w:rsidP="000E34AA">
      <w:pPr>
        <w:jc w:val="both"/>
        <w:rPr>
          <w:rFonts w:ascii="Book Antiqua" w:hAnsi="Book Antiqua" w:cs="Arial"/>
        </w:rPr>
      </w:pPr>
      <w:r>
        <w:rPr>
          <w:rFonts w:ascii="Book Antiqua" w:hAnsi="Book Antiqua" w:cs="Arial"/>
        </w:rPr>
        <w:t>There is no material error of law in the original judge’s decision.  The determination shall stand.</w:t>
      </w:r>
    </w:p>
    <w:p w:rsidR="00D13C4F" w:rsidRDefault="00D13C4F" w:rsidP="000E34AA">
      <w:pPr>
        <w:jc w:val="both"/>
        <w:rPr>
          <w:rFonts w:ascii="Book Antiqua" w:hAnsi="Book Antiqua" w:cs="Arial"/>
        </w:rPr>
      </w:pPr>
    </w:p>
    <w:p w:rsidR="00D13C4F" w:rsidRDefault="00D13C4F" w:rsidP="000E34AA">
      <w:pPr>
        <w:jc w:val="both"/>
        <w:rPr>
          <w:rFonts w:ascii="Book Antiqua" w:hAnsi="Book Antiqua" w:cs="Arial"/>
        </w:rPr>
      </w:pPr>
      <w:r>
        <w:rPr>
          <w:rFonts w:ascii="Book Antiqua" w:hAnsi="Book Antiqua" w:cs="Arial"/>
        </w:rPr>
        <w:t>The Secretary of State’s appeal is dismissed.</w:t>
      </w:r>
    </w:p>
    <w:p w:rsidR="00D13C4F" w:rsidRDefault="00D13C4F" w:rsidP="000E34AA">
      <w:pPr>
        <w:jc w:val="both"/>
        <w:rPr>
          <w:rFonts w:ascii="Book Antiqua" w:hAnsi="Book Antiqua" w:cs="Arial"/>
        </w:rPr>
      </w:pPr>
    </w:p>
    <w:p w:rsidR="000E34AA" w:rsidRPr="000E34AA" w:rsidRDefault="00D13C4F" w:rsidP="000E34AA">
      <w:pPr>
        <w:jc w:val="both"/>
        <w:rPr>
          <w:rFonts w:ascii="Book Antiqua" w:hAnsi="Book Antiqua" w:cs="Arial"/>
        </w:rPr>
      </w:pPr>
      <w:r>
        <w:rPr>
          <w:rFonts w:ascii="Book Antiqua" w:hAnsi="Book Antiqua" w:cs="Arial"/>
        </w:rPr>
        <w:t>An</w:t>
      </w:r>
      <w:r w:rsidR="000E34AA" w:rsidRPr="000E34AA">
        <w:rPr>
          <w:rFonts w:ascii="Book Antiqua" w:hAnsi="Book Antiqua" w:cs="Arial"/>
        </w:rPr>
        <w:t xml:space="preserve"> anonymity direction is made.</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b/>
          <w:u w:val="single"/>
        </w:rPr>
        <w:t>Direction Regarding Anonymity – Rule 14 of the Tribunal Procedure (Upper Tribunal) Rules 2008</w:t>
      </w:r>
    </w:p>
    <w:p w:rsidR="000E34AA" w:rsidRPr="000E34AA" w:rsidRDefault="000E34AA" w:rsidP="000E34AA">
      <w:pPr>
        <w:jc w:val="both"/>
        <w:rPr>
          <w:rFonts w:ascii="Book Antiqua" w:hAnsi="Book Antiqua" w:cs="Arial"/>
        </w:rPr>
      </w:pPr>
    </w:p>
    <w:p w:rsidR="000E34AA" w:rsidRPr="00687601" w:rsidRDefault="000E34AA" w:rsidP="000E34AA">
      <w:pPr>
        <w:jc w:val="both"/>
        <w:rPr>
          <w:rFonts w:ascii="Book Antiqua" w:hAnsi="Book Antiqua" w:cs="Arial"/>
        </w:rPr>
      </w:pPr>
      <w:r w:rsidRPr="000E34AA">
        <w:rPr>
          <w:rFonts w:ascii="Book Antiqua" w:hAnsi="Book Antiqua" w:cs="Arial"/>
        </w:rPr>
        <w:t xml:space="preserve">Unless and </w:t>
      </w:r>
      <w:r w:rsidRPr="000E34AA">
        <w:rPr>
          <w:rFonts w:ascii="Book Antiqua" w:hAnsi="Book Antiqua"/>
        </w:rPr>
        <w:t xml:space="preserve">until a Tribunal or court directs otherwise, the </w:t>
      </w:r>
      <w:r w:rsidR="00AA72EC">
        <w:rPr>
          <w:rFonts w:ascii="Book Antiqua" w:hAnsi="Book Antiqua"/>
        </w:rPr>
        <w:t>Appellant</w:t>
      </w:r>
      <w:r w:rsidRPr="000E34AA">
        <w:rPr>
          <w:rFonts w:ascii="Book Antiqua" w:hAnsi="Book Antiqua"/>
        </w:rPr>
        <w:t xml:space="preserve"> is granted anonymity.  No report of these proceedings shall directly or indirectly identify him or any member of their family.  This direction applies both to the </w:t>
      </w:r>
      <w:r w:rsidR="00AA72EC">
        <w:rPr>
          <w:rFonts w:ascii="Book Antiqua" w:hAnsi="Book Antiqua"/>
        </w:rPr>
        <w:t>Appellant</w:t>
      </w:r>
      <w:r w:rsidRPr="000E34AA">
        <w:rPr>
          <w:rFonts w:ascii="Book Antiqua" w:hAnsi="Book Antiqua"/>
        </w:rPr>
        <w:t xml:space="preserve"> and to the Respondent.  Failure to comply with this direction could lead to contempt of court proceedings.</w:t>
      </w:r>
    </w:p>
    <w:p w:rsidR="000E34AA" w:rsidRPr="00F5664C" w:rsidRDefault="000E34AA" w:rsidP="000E34AA">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B465FB">
        <w:rPr>
          <w:rFonts w:ascii="Book Antiqua" w:hAnsi="Book Antiqua" w:cs="Arial"/>
        </w:rPr>
        <w:tab/>
      </w:r>
      <w:r w:rsidR="00B465FB">
        <w:rPr>
          <w:rFonts w:ascii="Book Antiqua" w:hAnsi="Book Antiqua" w:cs="Arial"/>
        </w:rPr>
        <w:tab/>
      </w:r>
      <w:r w:rsidR="00B465FB">
        <w:rPr>
          <w:rFonts w:ascii="Book Antiqua" w:hAnsi="Book Antiqua" w:cs="Arial"/>
        </w:rPr>
        <w:tab/>
      </w:r>
      <w:r w:rsidR="00B465FB">
        <w:rPr>
          <w:rFonts w:ascii="Book Antiqua" w:hAnsi="Book Antiqua" w:cs="Arial"/>
        </w:rPr>
        <w:tab/>
        <w:t>14</w:t>
      </w:r>
      <w:r w:rsidR="00B465FB" w:rsidRPr="00B465FB">
        <w:rPr>
          <w:rFonts w:ascii="Book Antiqua" w:hAnsi="Book Antiqua" w:cs="Arial"/>
          <w:vertAlign w:val="superscript"/>
        </w:rPr>
        <w:t>th</w:t>
      </w:r>
      <w:r w:rsidR="00B465FB">
        <w:rPr>
          <w:rFonts w:ascii="Book Antiqua" w:hAnsi="Book Antiqua" w:cs="Arial"/>
        </w:rPr>
        <w:t xml:space="preserve"> May 2018 </w:t>
      </w:r>
    </w:p>
    <w:p w:rsidR="000E34AA" w:rsidRDefault="000E34AA" w:rsidP="000369F5">
      <w:pPr>
        <w:tabs>
          <w:tab w:val="left" w:pos="2520"/>
        </w:tabs>
        <w:jc w:val="both"/>
        <w:rPr>
          <w:rFonts w:ascii="Book Antiqua" w:hAnsi="Book Antiqua" w:cs="Arial"/>
        </w:rPr>
      </w:pPr>
    </w:p>
    <w:p w:rsidR="000E34AA" w:rsidRDefault="000E34AA" w:rsidP="000369F5">
      <w:pPr>
        <w:tabs>
          <w:tab w:val="left" w:pos="2520"/>
        </w:tabs>
        <w:jc w:val="both"/>
        <w:rPr>
          <w:rFonts w:ascii="Book Antiqua" w:hAnsi="Book Antiqua" w:cs="Arial"/>
        </w:rPr>
      </w:pPr>
    </w:p>
    <w:p w:rsidR="000E34AA" w:rsidRDefault="000E34AA" w:rsidP="000E34AA">
      <w:pPr>
        <w:jc w:val="both"/>
        <w:rPr>
          <w:rFonts w:ascii="Book Antiqua" w:hAnsi="Book Antiqua" w:cs="Arial"/>
        </w:rPr>
      </w:pPr>
    </w:p>
    <w:p w:rsidR="00CB5474" w:rsidRDefault="00CB5474" w:rsidP="000369F5">
      <w:pPr>
        <w:tabs>
          <w:tab w:val="left" w:pos="2520"/>
        </w:tabs>
        <w:jc w:val="both"/>
        <w:rPr>
          <w:rFonts w:ascii="Book Antiqua" w:hAnsi="Book Antiqua" w:cs="Arial"/>
        </w:rPr>
      </w:pPr>
    </w:p>
    <w:p w:rsidR="00CB5474" w:rsidRPr="00CB5474" w:rsidRDefault="00CB5474" w:rsidP="00CB5474">
      <w:pPr>
        <w:rPr>
          <w:rFonts w:ascii="Book Antiqua" w:hAnsi="Book Antiqua" w:cs="Arial"/>
        </w:rPr>
      </w:pPr>
    </w:p>
    <w:p w:rsidR="00CB5474" w:rsidRPr="00CB5474" w:rsidRDefault="00CB5474" w:rsidP="00CB5474">
      <w:pPr>
        <w:rPr>
          <w:rFonts w:ascii="Book Antiqua" w:hAnsi="Book Antiqua" w:cs="Arial"/>
        </w:rPr>
      </w:pPr>
    </w:p>
    <w:p w:rsidR="00CB5474" w:rsidRPr="00CB5474" w:rsidRDefault="00CB5474" w:rsidP="00CB5474">
      <w:pPr>
        <w:rPr>
          <w:rFonts w:ascii="Book Antiqua" w:hAnsi="Book Antiqua" w:cs="Arial"/>
        </w:rPr>
      </w:pPr>
    </w:p>
    <w:p w:rsidR="00CB5474" w:rsidRPr="00CB5474" w:rsidRDefault="00CB5474" w:rsidP="00CB5474">
      <w:pPr>
        <w:rPr>
          <w:rFonts w:ascii="Book Antiqua" w:hAnsi="Book Antiqua" w:cs="Arial"/>
        </w:rPr>
      </w:pPr>
    </w:p>
    <w:p w:rsidR="00CB5474" w:rsidRDefault="00CB5474" w:rsidP="00CB5474">
      <w:pPr>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57524F">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4E5" w:rsidRDefault="007F44E5">
      <w:r>
        <w:separator/>
      </w:r>
    </w:p>
  </w:endnote>
  <w:endnote w:type="continuationSeparator" w:id="0">
    <w:p w:rsidR="007F44E5" w:rsidRDefault="007F4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C73" w:rsidRPr="0053680F" w:rsidRDefault="007C1C73" w:rsidP="00593795">
    <w:pPr>
      <w:pStyle w:val="Footer"/>
      <w:jc w:val="center"/>
      <w:rPr>
        <w:rFonts w:ascii="Book Antiqua" w:hAnsi="Book Antiqua" w:cs="Arial"/>
      </w:rPr>
    </w:pPr>
    <w:r w:rsidRPr="0053680F">
      <w:rPr>
        <w:rStyle w:val="PageNumber"/>
        <w:rFonts w:ascii="Book Antiqua" w:hAnsi="Book Antiqua" w:cs="Arial"/>
      </w:rPr>
      <w:fldChar w:fldCharType="begin"/>
    </w:r>
    <w:r w:rsidRPr="0053680F">
      <w:rPr>
        <w:rStyle w:val="PageNumber"/>
        <w:rFonts w:ascii="Book Antiqua" w:hAnsi="Book Antiqua" w:cs="Arial"/>
      </w:rPr>
      <w:instrText xml:space="preserve"> PAGE </w:instrText>
    </w:r>
    <w:r w:rsidRPr="0053680F">
      <w:rPr>
        <w:rStyle w:val="PageNumber"/>
        <w:rFonts w:ascii="Book Antiqua" w:hAnsi="Book Antiqua" w:cs="Arial"/>
      </w:rPr>
      <w:fldChar w:fldCharType="separate"/>
    </w:r>
    <w:r w:rsidR="00CD34CB">
      <w:rPr>
        <w:rStyle w:val="PageNumber"/>
        <w:rFonts w:ascii="Book Antiqua" w:hAnsi="Book Antiqua" w:cs="Arial"/>
        <w:noProof/>
      </w:rPr>
      <w:t>8</w:t>
    </w:r>
    <w:r w:rsidRPr="0053680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C73" w:rsidRPr="00F5664C" w:rsidRDefault="007C1C73"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4E5" w:rsidRDefault="007F44E5">
      <w:r>
        <w:separator/>
      </w:r>
    </w:p>
  </w:footnote>
  <w:footnote w:type="continuationSeparator" w:id="0">
    <w:p w:rsidR="007F44E5" w:rsidRDefault="007F4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C73" w:rsidRDefault="007C1C7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IA/32833/2011</w:t>
    </w:r>
  </w:p>
  <w:p w:rsidR="0053680F" w:rsidRPr="00F5664C" w:rsidRDefault="0053680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C73" w:rsidRPr="00F5664C" w:rsidRDefault="007C1C7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03"/>
    <w:rsid w:val="00000621"/>
    <w:rsid w:val="000036C2"/>
    <w:rsid w:val="00024BF5"/>
    <w:rsid w:val="00027A44"/>
    <w:rsid w:val="0003337E"/>
    <w:rsid w:val="00033D3D"/>
    <w:rsid w:val="000369F5"/>
    <w:rsid w:val="000420BC"/>
    <w:rsid w:val="00042D0F"/>
    <w:rsid w:val="00071A7E"/>
    <w:rsid w:val="000746C0"/>
    <w:rsid w:val="00074D1D"/>
    <w:rsid w:val="00075B5A"/>
    <w:rsid w:val="00075E5F"/>
    <w:rsid w:val="00092580"/>
    <w:rsid w:val="000A06DD"/>
    <w:rsid w:val="000D4112"/>
    <w:rsid w:val="000D5D94"/>
    <w:rsid w:val="000D6B2E"/>
    <w:rsid w:val="000E34AA"/>
    <w:rsid w:val="000E4830"/>
    <w:rsid w:val="000F6D1D"/>
    <w:rsid w:val="001156FE"/>
    <w:rsid w:val="001165A7"/>
    <w:rsid w:val="00151BB7"/>
    <w:rsid w:val="00167D3A"/>
    <w:rsid w:val="001962DA"/>
    <w:rsid w:val="001A1E2C"/>
    <w:rsid w:val="001E6CAB"/>
    <w:rsid w:val="001F2716"/>
    <w:rsid w:val="0020133A"/>
    <w:rsid w:val="00207617"/>
    <w:rsid w:val="00215090"/>
    <w:rsid w:val="00231ECD"/>
    <w:rsid w:val="0023771E"/>
    <w:rsid w:val="00250AF7"/>
    <w:rsid w:val="0027279E"/>
    <w:rsid w:val="00283659"/>
    <w:rsid w:val="002B0303"/>
    <w:rsid w:val="002C29D2"/>
    <w:rsid w:val="002C4E73"/>
    <w:rsid w:val="002D68BF"/>
    <w:rsid w:val="002E10BD"/>
    <w:rsid w:val="003364D3"/>
    <w:rsid w:val="00336CBF"/>
    <w:rsid w:val="00341014"/>
    <w:rsid w:val="003546C8"/>
    <w:rsid w:val="00394EF6"/>
    <w:rsid w:val="003A7CF2"/>
    <w:rsid w:val="003B7567"/>
    <w:rsid w:val="003C3633"/>
    <w:rsid w:val="003C5CE5"/>
    <w:rsid w:val="003E267B"/>
    <w:rsid w:val="003E7CD1"/>
    <w:rsid w:val="00402B9E"/>
    <w:rsid w:val="004034FA"/>
    <w:rsid w:val="00423932"/>
    <w:rsid w:val="004249CB"/>
    <w:rsid w:val="004276AD"/>
    <w:rsid w:val="004304DA"/>
    <w:rsid w:val="0044127D"/>
    <w:rsid w:val="004448DB"/>
    <w:rsid w:val="00446C9A"/>
    <w:rsid w:val="00477193"/>
    <w:rsid w:val="00481EE1"/>
    <w:rsid w:val="004937DC"/>
    <w:rsid w:val="004A1848"/>
    <w:rsid w:val="004F2E90"/>
    <w:rsid w:val="004F50BF"/>
    <w:rsid w:val="004F66B0"/>
    <w:rsid w:val="00507FEC"/>
    <w:rsid w:val="00510F0E"/>
    <w:rsid w:val="00511581"/>
    <w:rsid w:val="0053680F"/>
    <w:rsid w:val="005479E1"/>
    <w:rsid w:val="0055073F"/>
    <w:rsid w:val="005570FD"/>
    <w:rsid w:val="005575EA"/>
    <w:rsid w:val="00573AED"/>
    <w:rsid w:val="0057524F"/>
    <w:rsid w:val="0057790C"/>
    <w:rsid w:val="00586F4B"/>
    <w:rsid w:val="00593795"/>
    <w:rsid w:val="005968F3"/>
    <w:rsid w:val="005A3BC6"/>
    <w:rsid w:val="005A56F8"/>
    <w:rsid w:val="005A75FF"/>
    <w:rsid w:val="005B0DC0"/>
    <w:rsid w:val="005B4408"/>
    <w:rsid w:val="005B5BD6"/>
    <w:rsid w:val="005B7789"/>
    <w:rsid w:val="005C0C6A"/>
    <w:rsid w:val="00600570"/>
    <w:rsid w:val="006219C2"/>
    <w:rsid w:val="0065791C"/>
    <w:rsid w:val="00670D4A"/>
    <w:rsid w:val="00690B8A"/>
    <w:rsid w:val="006A31E2"/>
    <w:rsid w:val="006D1DFA"/>
    <w:rsid w:val="006D506B"/>
    <w:rsid w:val="006E3C90"/>
    <w:rsid w:val="00702F7E"/>
    <w:rsid w:val="00704B61"/>
    <w:rsid w:val="00742A8D"/>
    <w:rsid w:val="007552A9"/>
    <w:rsid w:val="00761858"/>
    <w:rsid w:val="00767D59"/>
    <w:rsid w:val="00770E93"/>
    <w:rsid w:val="00775D01"/>
    <w:rsid w:val="00776E97"/>
    <w:rsid w:val="00780FD7"/>
    <w:rsid w:val="007912AD"/>
    <w:rsid w:val="007A1F28"/>
    <w:rsid w:val="007B0824"/>
    <w:rsid w:val="007C1C73"/>
    <w:rsid w:val="007E5CCF"/>
    <w:rsid w:val="007F44E5"/>
    <w:rsid w:val="008303B8"/>
    <w:rsid w:val="00833DCE"/>
    <w:rsid w:val="00842418"/>
    <w:rsid w:val="00843506"/>
    <w:rsid w:val="00871D34"/>
    <w:rsid w:val="00891669"/>
    <w:rsid w:val="008B270C"/>
    <w:rsid w:val="008C3D3D"/>
    <w:rsid w:val="008D4131"/>
    <w:rsid w:val="008F1932"/>
    <w:rsid w:val="008F294D"/>
    <w:rsid w:val="008F5E87"/>
    <w:rsid w:val="009009C5"/>
    <w:rsid w:val="00920C76"/>
    <w:rsid w:val="00921062"/>
    <w:rsid w:val="0093083E"/>
    <w:rsid w:val="00950B4E"/>
    <w:rsid w:val="0095383A"/>
    <w:rsid w:val="00966ECF"/>
    <w:rsid w:val="009727A3"/>
    <w:rsid w:val="00987774"/>
    <w:rsid w:val="009A11E8"/>
    <w:rsid w:val="009E4E62"/>
    <w:rsid w:val="009F5220"/>
    <w:rsid w:val="009F7C4D"/>
    <w:rsid w:val="00A00716"/>
    <w:rsid w:val="00A15234"/>
    <w:rsid w:val="00A201AB"/>
    <w:rsid w:val="00A31C8B"/>
    <w:rsid w:val="00A403E1"/>
    <w:rsid w:val="00A44E24"/>
    <w:rsid w:val="00A845DC"/>
    <w:rsid w:val="00A97355"/>
    <w:rsid w:val="00A97AEE"/>
    <w:rsid w:val="00AA72EC"/>
    <w:rsid w:val="00AC5CF6"/>
    <w:rsid w:val="00AD7708"/>
    <w:rsid w:val="00AE2F29"/>
    <w:rsid w:val="00AE5E8A"/>
    <w:rsid w:val="00B144FA"/>
    <w:rsid w:val="00B161AA"/>
    <w:rsid w:val="00B16F58"/>
    <w:rsid w:val="00B2116E"/>
    <w:rsid w:val="00B30648"/>
    <w:rsid w:val="00B3524D"/>
    <w:rsid w:val="00B36239"/>
    <w:rsid w:val="00B40F69"/>
    <w:rsid w:val="00B465FB"/>
    <w:rsid w:val="00B46616"/>
    <w:rsid w:val="00B610E3"/>
    <w:rsid w:val="00B61205"/>
    <w:rsid w:val="00B617C4"/>
    <w:rsid w:val="00B626FA"/>
    <w:rsid w:val="00B7040A"/>
    <w:rsid w:val="00B96FA0"/>
    <w:rsid w:val="00BD4196"/>
    <w:rsid w:val="00BF20D7"/>
    <w:rsid w:val="00BF22CA"/>
    <w:rsid w:val="00C01616"/>
    <w:rsid w:val="00C26032"/>
    <w:rsid w:val="00C265B0"/>
    <w:rsid w:val="00C321B5"/>
    <w:rsid w:val="00C32E88"/>
    <w:rsid w:val="00C345E1"/>
    <w:rsid w:val="00C40EBB"/>
    <w:rsid w:val="00C977BA"/>
    <w:rsid w:val="00CA763C"/>
    <w:rsid w:val="00CB5474"/>
    <w:rsid w:val="00CB6E35"/>
    <w:rsid w:val="00CD34CB"/>
    <w:rsid w:val="00CE1A46"/>
    <w:rsid w:val="00CF253F"/>
    <w:rsid w:val="00CF27A9"/>
    <w:rsid w:val="00CF56B4"/>
    <w:rsid w:val="00D056D7"/>
    <w:rsid w:val="00D13C4F"/>
    <w:rsid w:val="00D170CF"/>
    <w:rsid w:val="00D20F09"/>
    <w:rsid w:val="00D22636"/>
    <w:rsid w:val="00D33B16"/>
    <w:rsid w:val="00D40FD9"/>
    <w:rsid w:val="00D53769"/>
    <w:rsid w:val="00D85C13"/>
    <w:rsid w:val="00D91BE3"/>
    <w:rsid w:val="00D94AFC"/>
    <w:rsid w:val="00DB4DC2"/>
    <w:rsid w:val="00DB70AE"/>
    <w:rsid w:val="00DB7231"/>
    <w:rsid w:val="00DD4ABC"/>
    <w:rsid w:val="00DD5071"/>
    <w:rsid w:val="00DD5C39"/>
    <w:rsid w:val="00DE26AF"/>
    <w:rsid w:val="00DE7DB7"/>
    <w:rsid w:val="00E00A0A"/>
    <w:rsid w:val="00E07F57"/>
    <w:rsid w:val="00E20872"/>
    <w:rsid w:val="00E50BCE"/>
    <w:rsid w:val="00E61292"/>
    <w:rsid w:val="00E76309"/>
    <w:rsid w:val="00E77C4D"/>
    <w:rsid w:val="00E81D01"/>
    <w:rsid w:val="00EB70CF"/>
    <w:rsid w:val="00ED2D16"/>
    <w:rsid w:val="00EE45D8"/>
    <w:rsid w:val="00F004CD"/>
    <w:rsid w:val="00F10D45"/>
    <w:rsid w:val="00F22EDA"/>
    <w:rsid w:val="00F26CFE"/>
    <w:rsid w:val="00F3224D"/>
    <w:rsid w:val="00F33E0E"/>
    <w:rsid w:val="00F36B20"/>
    <w:rsid w:val="00F42469"/>
    <w:rsid w:val="00F5664C"/>
    <w:rsid w:val="00FA0BC6"/>
    <w:rsid w:val="00FB7E80"/>
    <w:rsid w:val="00FD1751"/>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3116D3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B46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3774</Words>
  <Characters>18492</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2018-06-06T15:20:00Z</dcterms:created>
  <dcterms:modified xsi:type="dcterms:W3CDTF">2018-06-08T12:07:00Z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