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0CA2A" w14:textId="6F01AF29" w:rsidR="004513AF" w:rsidRPr="00FB3332" w:rsidRDefault="004B66A0" w:rsidP="00643BFC">
      <w:pPr>
        <w:jc w:val="center"/>
        <w:rPr>
          <w:rFonts w:ascii="Book Antiqua" w:hAnsi="Book Antiqua" w:cs="Arial"/>
          <w:caps/>
          <w:color w:val="000000"/>
          <w:sz w:val="16"/>
          <w:szCs w:val="16"/>
        </w:rPr>
      </w:pPr>
      <w:r w:rsidRPr="00FB3332">
        <w:rPr>
          <w:noProof/>
          <w:sz w:val="16"/>
          <w:szCs w:val="16"/>
        </w:rPr>
        <w:drawing>
          <wp:inline distT="0" distB="0" distL="0" distR="0" wp14:anchorId="34A3FE17" wp14:editId="3A29C1EF">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28588F44" w14:textId="77777777" w:rsidR="004513AF" w:rsidRPr="00FB3332" w:rsidRDefault="004513AF">
      <w:pPr>
        <w:rPr>
          <w:rFonts w:ascii="Book Antiqua" w:hAnsi="Book Antiqua" w:cs="Arial"/>
          <w:color w:val="000000"/>
          <w:sz w:val="16"/>
          <w:szCs w:val="16"/>
        </w:rPr>
      </w:pPr>
    </w:p>
    <w:p w14:paraId="687CEDA8" w14:textId="77777777" w:rsidR="004513AF" w:rsidRPr="008F5857" w:rsidRDefault="004513AF" w:rsidP="007B36B7">
      <w:pPr>
        <w:tabs>
          <w:tab w:val="right" w:pos="9720"/>
        </w:tabs>
        <w:ind w:right="-82"/>
        <w:outlineLvl w:val="0"/>
        <w:rPr>
          <w:rFonts w:ascii="Book Antiqua" w:hAnsi="Book Antiqua" w:cs="Arial"/>
          <w:b/>
          <w:color w:val="000000"/>
        </w:rPr>
      </w:pPr>
      <w:r w:rsidRPr="008F5857">
        <w:rPr>
          <w:rFonts w:ascii="Book Antiqua" w:hAnsi="Book Antiqua" w:cs="Arial"/>
          <w:b/>
          <w:color w:val="000000"/>
        </w:rPr>
        <w:t>Upper Tribunal</w:t>
      </w:r>
    </w:p>
    <w:p w14:paraId="1BB62A96" w14:textId="77777777" w:rsidR="004513AF" w:rsidRPr="008F5857" w:rsidRDefault="004513AF" w:rsidP="00780F86">
      <w:pPr>
        <w:tabs>
          <w:tab w:val="right" w:pos="9720"/>
        </w:tabs>
        <w:ind w:right="-82"/>
        <w:rPr>
          <w:rFonts w:ascii="Book Antiqua" w:hAnsi="Book Antiqua" w:cs="Arial"/>
          <w:caps/>
          <w:color w:val="000000"/>
        </w:rPr>
      </w:pPr>
      <w:r w:rsidRPr="008F5857">
        <w:rPr>
          <w:rFonts w:ascii="Book Antiqua" w:hAnsi="Book Antiqua" w:cs="Arial"/>
          <w:b/>
          <w:color w:val="000000"/>
        </w:rPr>
        <w:t>(Immigration and Asylum Chamber)</w:t>
      </w:r>
      <w:r w:rsidRPr="008F5857">
        <w:rPr>
          <w:rFonts w:ascii="Book Antiqua" w:hAnsi="Book Antiqua" w:cs="Arial"/>
          <w:b/>
          <w:color w:val="000000"/>
        </w:rPr>
        <w:tab/>
      </w:r>
      <w:r w:rsidRPr="008F5857">
        <w:rPr>
          <w:rFonts w:ascii="Book Antiqua" w:hAnsi="Book Antiqua" w:cs="Arial"/>
          <w:color w:val="000000"/>
        </w:rPr>
        <w:t xml:space="preserve">Appeal Numbers: </w:t>
      </w:r>
      <w:r w:rsidRPr="008F5857">
        <w:rPr>
          <w:rFonts w:ascii="Book Antiqua" w:hAnsi="Book Antiqua" w:cs="Arial"/>
          <w:caps/>
          <w:color w:val="000000"/>
        </w:rPr>
        <w:t xml:space="preserve">IA/34573/2015  </w:t>
      </w:r>
    </w:p>
    <w:p w14:paraId="368C8D31" w14:textId="77777777" w:rsidR="004513AF" w:rsidRPr="008F5857" w:rsidRDefault="004513AF" w:rsidP="007B36B7">
      <w:pPr>
        <w:tabs>
          <w:tab w:val="right" w:pos="9720"/>
        </w:tabs>
        <w:ind w:right="-82"/>
        <w:outlineLvl w:val="0"/>
        <w:rPr>
          <w:rFonts w:ascii="Book Antiqua" w:hAnsi="Book Antiqua" w:cs="Arial"/>
          <w:color w:val="000000"/>
        </w:rPr>
      </w:pPr>
      <w:r w:rsidRPr="008F5857">
        <w:rPr>
          <w:rFonts w:ascii="Book Antiqua" w:hAnsi="Book Antiqua" w:cs="Arial"/>
          <w:caps/>
          <w:color w:val="000000"/>
        </w:rPr>
        <w:tab/>
        <w:t>IA/34574/2015</w:t>
      </w:r>
    </w:p>
    <w:p w14:paraId="49115C54" w14:textId="77777777" w:rsidR="004513AF" w:rsidRPr="008F5857" w:rsidRDefault="004513AF" w:rsidP="00C345E1">
      <w:pPr>
        <w:jc w:val="center"/>
        <w:rPr>
          <w:rFonts w:ascii="Book Antiqua" w:hAnsi="Book Antiqua" w:cs="Arial"/>
          <w:color w:val="000000"/>
        </w:rPr>
      </w:pPr>
    </w:p>
    <w:p w14:paraId="3A0FDFF4" w14:textId="77777777" w:rsidR="004513AF" w:rsidRPr="008F5857" w:rsidRDefault="004513AF" w:rsidP="00C345E1">
      <w:pPr>
        <w:jc w:val="center"/>
        <w:rPr>
          <w:rFonts w:ascii="Book Antiqua" w:hAnsi="Book Antiqua" w:cs="Arial"/>
          <w:color w:val="000000"/>
        </w:rPr>
      </w:pPr>
    </w:p>
    <w:p w14:paraId="0E0F5A87" w14:textId="77777777" w:rsidR="004513AF" w:rsidRPr="008F5857" w:rsidRDefault="004513AF" w:rsidP="007B36B7">
      <w:pPr>
        <w:jc w:val="center"/>
        <w:outlineLvl w:val="0"/>
        <w:rPr>
          <w:rFonts w:ascii="Book Antiqua" w:hAnsi="Book Antiqua" w:cs="Arial"/>
          <w:b/>
          <w:color w:val="000000"/>
          <w:u w:val="single"/>
        </w:rPr>
      </w:pPr>
      <w:r w:rsidRPr="008F5857">
        <w:rPr>
          <w:rFonts w:ascii="Book Antiqua" w:hAnsi="Book Antiqua" w:cs="Arial"/>
          <w:b/>
          <w:color w:val="000000"/>
          <w:u w:val="single"/>
        </w:rPr>
        <w:t>THE IMMIGRATION ACTS</w:t>
      </w:r>
    </w:p>
    <w:p w14:paraId="7E109A12" w14:textId="77777777" w:rsidR="004513AF" w:rsidRPr="008F5857" w:rsidRDefault="004513AF" w:rsidP="00C345E1">
      <w:pPr>
        <w:jc w:val="center"/>
        <w:rPr>
          <w:rFonts w:ascii="Book Antiqua" w:hAnsi="Book Antiqua" w:cs="Arial"/>
          <w:b/>
          <w:u w:val="single"/>
        </w:rPr>
      </w:pPr>
    </w:p>
    <w:p w14:paraId="5DF3AB1C" w14:textId="77777777" w:rsidR="004513AF" w:rsidRPr="008F5857" w:rsidRDefault="004513AF"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4513AF" w:rsidRPr="008F5857" w14:paraId="4D94848C" w14:textId="77777777" w:rsidTr="00BE706A">
        <w:tc>
          <w:tcPr>
            <w:tcW w:w="6048" w:type="dxa"/>
          </w:tcPr>
          <w:p w14:paraId="67F833B3" w14:textId="77777777" w:rsidR="004513AF" w:rsidRPr="00BE706A" w:rsidRDefault="004513AF" w:rsidP="00BE706A">
            <w:pPr>
              <w:jc w:val="both"/>
              <w:rPr>
                <w:rFonts w:ascii="Book Antiqua" w:hAnsi="Book Antiqua" w:cs="Arial"/>
                <w:b/>
              </w:rPr>
            </w:pPr>
            <w:r w:rsidRPr="00BE706A">
              <w:rPr>
                <w:rFonts w:ascii="Book Antiqua" w:hAnsi="Book Antiqua" w:cs="Arial"/>
                <w:b/>
              </w:rPr>
              <w:t xml:space="preserve">Heard at Field House  </w:t>
            </w:r>
          </w:p>
        </w:tc>
        <w:tc>
          <w:tcPr>
            <w:tcW w:w="3960" w:type="dxa"/>
          </w:tcPr>
          <w:p w14:paraId="37E454C3" w14:textId="77777777" w:rsidR="004513AF" w:rsidRPr="00BE706A" w:rsidRDefault="004513AF" w:rsidP="00BE706A">
            <w:pPr>
              <w:jc w:val="both"/>
              <w:rPr>
                <w:rFonts w:ascii="Book Antiqua" w:hAnsi="Book Antiqua" w:cs="Arial"/>
                <w:b/>
                <w:color w:val="000000"/>
              </w:rPr>
            </w:pPr>
            <w:r w:rsidRPr="00BE706A">
              <w:rPr>
                <w:rFonts w:ascii="Book Antiqua" w:hAnsi="Book Antiqua" w:cs="Arial"/>
                <w:b/>
                <w:color w:val="000000"/>
              </w:rPr>
              <w:t>Decision &amp; Reasons Promulgated</w:t>
            </w:r>
          </w:p>
        </w:tc>
      </w:tr>
      <w:tr w:rsidR="004513AF" w:rsidRPr="008F5857" w14:paraId="2B124BEE" w14:textId="77777777" w:rsidTr="00BE706A">
        <w:tc>
          <w:tcPr>
            <w:tcW w:w="6048" w:type="dxa"/>
          </w:tcPr>
          <w:p w14:paraId="55ADC22E" w14:textId="77777777" w:rsidR="004513AF" w:rsidRPr="00BE706A" w:rsidRDefault="004513AF" w:rsidP="00BE706A">
            <w:pPr>
              <w:jc w:val="both"/>
              <w:rPr>
                <w:rFonts w:ascii="Book Antiqua" w:hAnsi="Book Antiqua" w:cs="Arial"/>
                <w:b/>
              </w:rPr>
            </w:pPr>
            <w:r w:rsidRPr="00BE706A">
              <w:rPr>
                <w:rFonts w:ascii="Book Antiqua" w:hAnsi="Book Antiqua" w:cs="Arial"/>
                <w:b/>
              </w:rPr>
              <w:t xml:space="preserve">On 9 April 2018  </w:t>
            </w:r>
          </w:p>
        </w:tc>
        <w:tc>
          <w:tcPr>
            <w:tcW w:w="3960" w:type="dxa"/>
          </w:tcPr>
          <w:p w14:paraId="05FF37F4" w14:textId="77777777" w:rsidR="004513AF" w:rsidRPr="00BE706A" w:rsidRDefault="007226AE" w:rsidP="00BE706A">
            <w:pPr>
              <w:jc w:val="both"/>
              <w:rPr>
                <w:rFonts w:ascii="Book Antiqua" w:hAnsi="Book Antiqua" w:cs="Arial"/>
                <w:b/>
              </w:rPr>
            </w:pPr>
            <w:r w:rsidRPr="007226AE">
              <w:rPr>
                <w:rFonts w:ascii="Book Antiqua" w:hAnsi="Book Antiqua" w:cs="Arial"/>
                <w:b/>
              </w:rPr>
              <w:t>On 24 July 2018</w:t>
            </w:r>
          </w:p>
        </w:tc>
      </w:tr>
      <w:tr w:rsidR="004513AF" w:rsidRPr="008F5857" w14:paraId="108B79DD" w14:textId="77777777" w:rsidTr="00BE706A">
        <w:tc>
          <w:tcPr>
            <w:tcW w:w="6048" w:type="dxa"/>
          </w:tcPr>
          <w:p w14:paraId="77F7BD74" w14:textId="77777777" w:rsidR="004513AF" w:rsidRPr="00BE706A" w:rsidRDefault="00BC774F" w:rsidP="00BE706A">
            <w:pPr>
              <w:jc w:val="both"/>
              <w:rPr>
                <w:rFonts w:ascii="Book Antiqua" w:hAnsi="Book Antiqua" w:cs="Arial"/>
                <w:b/>
              </w:rPr>
            </w:pPr>
            <w:r>
              <w:rPr>
                <w:rFonts w:ascii="Book Antiqua" w:hAnsi="Book Antiqua" w:cs="Arial"/>
                <w:b/>
              </w:rPr>
              <w:t>Prepared 10 April 2018</w:t>
            </w:r>
          </w:p>
        </w:tc>
        <w:tc>
          <w:tcPr>
            <w:tcW w:w="3960" w:type="dxa"/>
          </w:tcPr>
          <w:p w14:paraId="762BFCBB" w14:textId="77777777" w:rsidR="004513AF" w:rsidRPr="00BE706A" w:rsidRDefault="004513AF" w:rsidP="00BE706A">
            <w:pPr>
              <w:jc w:val="both"/>
              <w:rPr>
                <w:rFonts w:ascii="Book Antiqua" w:hAnsi="Book Antiqua" w:cs="Arial"/>
                <w:b/>
              </w:rPr>
            </w:pPr>
          </w:p>
        </w:tc>
      </w:tr>
    </w:tbl>
    <w:p w14:paraId="51CEC45D" w14:textId="77777777" w:rsidR="004513AF" w:rsidRPr="008F5857" w:rsidRDefault="004513AF" w:rsidP="00A15234">
      <w:pPr>
        <w:jc w:val="center"/>
        <w:rPr>
          <w:rFonts w:ascii="Book Antiqua" w:hAnsi="Book Antiqua" w:cs="Arial"/>
        </w:rPr>
      </w:pPr>
    </w:p>
    <w:p w14:paraId="36D0C920" w14:textId="77777777" w:rsidR="00FB3332" w:rsidRDefault="00FB3332" w:rsidP="007B36B7">
      <w:pPr>
        <w:jc w:val="center"/>
        <w:outlineLvl w:val="0"/>
        <w:rPr>
          <w:rFonts w:ascii="Book Antiqua" w:hAnsi="Book Antiqua" w:cs="Arial"/>
          <w:b/>
        </w:rPr>
      </w:pPr>
    </w:p>
    <w:p w14:paraId="044FFCA7" w14:textId="4013131B" w:rsidR="004513AF" w:rsidRPr="008F5857" w:rsidRDefault="004513AF" w:rsidP="007B36B7">
      <w:pPr>
        <w:jc w:val="center"/>
        <w:outlineLvl w:val="0"/>
        <w:rPr>
          <w:rFonts w:ascii="Book Antiqua" w:hAnsi="Book Antiqua" w:cs="Arial"/>
          <w:b/>
        </w:rPr>
      </w:pPr>
      <w:r w:rsidRPr="008F5857">
        <w:rPr>
          <w:rFonts w:ascii="Book Antiqua" w:hAnsi="Book Antiqua" w:cs="Arial"/>
          <w:b/>
        </w:rPr>
        <w:t>Before</w:t>
      </w:r>
    </w:p>
    <w:p w14:paraId="0B9C567B" w14:textId="77777777" w:rsidR="004513AF" w:rsidRPr="008F5857" w:rsidRDefault="004513AF" w:rsidP="00A15234">
      <w:pPr>
        <w:jc w:val="center"/>
        <w:rPr>
          <w:rFonts w:ascii="Book Antiqua" w:hAnsi="Book Antiqua" w:cs="Arial"/>
          <w:b/>
        </w:rPr>
      </w:pPr>
    </w:p>
    <w:p w14:paraId="07AE6EED" w14:textId="77777777" w:rsidR="004513AF" w:rsidRPr="008F5857" w:rsidRDefault="004513AF" w:rsidP="007B36B7">
      <w:pPr>
        <w:jc w:val="center"/>
        <w:outlineLvl w:val="0"/>
        <w:rPr>
          <w:rFonts w:ascii="Book Antiqua" w:hAnsi="Book Antiqua" w:cs="Arial"/>
          <w:b/>
          <w:color w:val="000000"/>
        </w:rPr>
      </w:pPr>
      <w:r w:rsidRPr="008F5857">
        <w:rPr>
          <w:rFonts w:ascii="Book Antiqua" w:hAnsi="Book Antiqua" w:cs="Arial"/>
          <w:b/>
          <w:color w:val="000000"/>
        </w:rPr>
        <w:t xml:space="preserve">DEPUTY UPPER TRIBUNAL JUDGE DAVEY  </w:t>
      </w:r>
    </w:p>
    <w:p w14:paraId="49E21D17" w14:textId="77777777" w:rsidR="004513AF" w:rsidRPr="008F5857" w:rsidRDefault="004513AF" w:rsidP="00A15234">
      <w:pPr>
        <w:jc w:val="center"/>
        <w:rPr>
          <w:rFonts w:ascii="Book Antiqua" w:hAnsi="Book Antiqua" w:cs="Arial"/>
          <w:b/>
          <w:color w:val="000000"/>
        </w:rPr>
      </w:pPr>
    </w:p>
    <w:p w14:paraId="0282CE88" w14:textId="77777777" w:rsidR="004513AF" w:rsidRPr="008F5857" w:rsidRDefault="004513AF" w:rsidP="00A15234">
      <w:pPr>
        <w:jc w:val="center"/>
        <w:rPr>
          <w:rFonts w:ascii="Book Antiqua" w:hAnsi="Book Antiqua" w:cs="Arial"/>
          <w:b/>
        </w:rPr>
      </w:pPr>
    </w:p>
    <w:p w14:paraId="6F39DC58" w14:textId="77777777" w:rsidR="004513AF" w:rsidRPr="008F5857" w:rsidRDefault="004513AF" w:rsidP="007B36B7">
      <w:pPr>
        <w:jc w:val="center"/>
        <w:outlineLvl w:val="0"/>
        <w:rPr>
          <w:rFonts w:ascii="Book Antiqua" w:hAnsi="Book Antiqua" w:cs="Arial"/>
          <w:b/>
        </w:rPr>
      </w:pPr>
      <w:r w:rsidRPr="008F5857">
        <w:rPr>
          <w:rFonts w:ascii="Book Antiqua" w:hAnsi="Book Antiqua" w:cs="Arial"/>
          <w:b/>
        </w:rPr>
        <w:t>Between</w:t>
      </w:r>
    </w:p>
    <w:p w14:paraId="19C70ADE" w14:textId="77777777" w:rsidR="004513AF" w:rsidRPr="008F5857" w:rsidRDefault="004513AF" w:rsidP="00A15234">
      <w:pPr>
        <w:jc w:val="center"/>
        <w:rPr>
          <w:rFonts w:ascii="Book Antiqua" w:hAnsi="Book Antiqua" w:cs="Arial"/>
          <w:b/>
        </w:rPr>
      </w:pPr>
    </w:p>
    <w:p w14:paraId="03F8AA9D" w14:textId="20B7F3C6" w:rsidR="004513AF" w:rsidRPr="008F5857" w:rsidRDefault="004513AF" w:rsidP="007B36B7">
      <w:pPr>
        <w:jc w:val="center"/>
        <w:outlineLvl w:val="0"/>
        <w:rPr>
          <w:rFonts w:ascii="Book Antiqua" w:hAnsi="Book Antiqua" w:cs="Arial"/>
          <w:b/>
          <w:caps/>
        </w:rPr>
      </w:pPr>
      <w:r w:rsidRPr="008F5857">
        <w:rPr>
          <w:rFonts w:ascii="Book Antiqua" w:hAnsi="Book Antiqua" w:cs="Arial"/>
          <w:b/>
          <w:caps/>
        </w:rPr>
        <w:t xml:space="preserve">Omolua </w:t>
      </w:r>
      <w:r w:rsidR="00FB3332">
        <w:rPr>
          <w:rFonts w:ascii="Book Antiqua" w:hAnsi="Book Antiqua" w:cs="Arial"/>
          <w:b/>
          <w:caps/>
        </w:rPr>
        <w:t>[</w:t>
      </w:r>
      <w:r w:rsidRPr="008F5857">
        <w:rPr>
          <w:rFonts w:ascii="Book Antiqua" w:hAnsi="Book Antiqua" w:cs="Arial"/>
          <w:b/>
          <w:caps/>
        </w:rPr>
        <w:t>L</w:t>
      </w:r>
      <w:r w:rsidR="00FB3332">
        <w:rPr>
          <w:rFonts w:ascii="Book Antiqua" w:hAnsi="Book Antiqua" w:cs="Arial"/>
          <w:b/>
          <w:caps/>
        </w:rPr>
        <w:t xml:space="preserve">] </w:t>
      </w:r>
      <w:r w:rsidRPr="008F5857">
        <w:rPr>
          <w:rFonts w:ascii="Book Antiqua" w:hAnsi="Book Antiqua" w:cs="Arial"/>
          <w:b/>
          <w:caps/>
        </w:rPr>
        <w:t>(first</w:t>
      </w:r>
      <w:r w:rsidRPr="008F5857">
        <w:rPr>
          <w:rFonts w:ascii="Book Antiqua" w:hAnsi="Book Antiqua" w:cs="Calibri"/>
          <w:b/>
          <w:caps/>
        </w:rPr>
        <w:t xml:space="preserve"> Appellant)</w:t>
      </w:r>
      <w:r w:rsidRPr="008F5857">
        <w:rPr>
          <w:rFonts w:ascii="Book Antiqua" w:hAnsi="Book Antiqua" w:cs="Arial"/>
          <w:b/>
          <w:caps/>
        </w:rPr>
        <w:t xml:space="preserve">  </w:t>
      </w:r>
    </w:p>
    <w:p w14:paraId="75B5F2D8" w14:textId="46FD8E36" w:rsidR="004513AF" w:rsidRPr="008F5857" w:rsidRDefault="00FB3332" w:rsidP="00A15234">
      <w:pPr>
        <w:jc w:val="center"/>
        <w:rPr>
          <w:rFonts w:ascii="Book Antiqua" w:hAnsi="Book Antiqua" w:cs="Arial"/>
          <w:b/>
          <w:caps/>
        </w:rPr>
      </w:pPr>
      <w:r>
        <w:rPr>
          <w:rFonts w:ascii="Book Antiqua" w:hAnsi="Book Antiqua" w:cs="Arial"/>
          <w:b/>
          <w:caps/>
        </w:rPr>
        <w:t>[</w:t>
      </w:r>
      <w:r w:rsidR="004513AF" w:rsidRPr="008F5857">
        <w:rPr>
          <w:rFonts w:ascii="Book Antiqua" w:hAnsi="Book Antiqua" w:cs="Arial"/>
          <w:b/>
          <w:caps/>
        </w:rPr>
        <w:t>N</w:t>
      </w:r>
      <w:r>
        <w:rPr>
          <w:rFonts w:ascii="Book Antiqua" w:hAnsi="Book Antiqua" w:cs="Arial"/>
          <w:b/>
          <w:caps/>
        </w:rPr>
        <w:t xml:space="preserve"> </w:t>
      </w:r>
      <w:r w:rsidR="004513AF" w:rsidRPr="008F5857">
        <w:rPr>
          <w:rFonts w:ascii="Book Antiqua" w:hAnsi="Book Antiqua" w:cs="Arial"/>
          <w:b/>
          <w:caps/>
        </w:rPr>
        <w:t>U</w:t>
      </w:r>
      <w:r>
        <w:rPr>
          <w:rFonts w:ascii="Book Antiqua" w:hAnsi="Book Antiqua" w:cs="Arial"/>
          <w:b/>
          <w:caps/>
        </w:rPr>
        <w:t xml:space="preserve">] </w:t>
      </w:r>
      <w:r w:rsidR="004513AF" w:rsidRPr="008F5857">
        <w:rPr>
          <w:rFonts w:ascii="Book Antiqua" w:hAnsi="Book Antiqua" w:cs="Arial"/>
          <w:b/>
          <w:caps/>
        </w:rPr>
        <w:t xml:space="preserve">(second Appellant)  </w:t>
      </w:r>
    </w:p>
    <w:p w14:paraId="60322FF1" w14:textId="77777777" w:rsidR="004513AF" w:rsidRPr="00FB3332" w:rsidRDefault="004513AF" w:rsidP="000B0A3F">
      <w:pPr>
        <w:jc w:val="center"/>
        <w:rPr>
          <w:rFonts w:ascii="Book Antiqua" w:hAnsi="Book Antiqua" w:cs="Arial"/>
          <w:b/>
          <w:caps/>
          <w:sz w:val="22"/>
        </w:rPr>
      </w:pPr>
      <w:r w:rsidRPr="00FB3332">
        <w:rPr>
          <w:rFonts w:ascii="Book Antiqua" w:hAnsi="Book Antiqua" w:cs="Arial"/>
          <w:b/>
          <w:caps/>
          <w:sz w:val="22"/>
        </w:rPr>
        <w:t xml:space="preserve">(ANONYMITY DIRECTION </w:t>
      </w:r>
      <w:bookmarkStart w:id="0" w:name="Text21"/>
      <w:r w:rsidR="00913AB8" w:rsidRPr="00FB3332">
        <w:rPr>
          <w:rFonts w:ascii="Book Antiqua" w:hAnsi="Book Antiqua" w:cs="Arial"/>
          <w:b/>
          <w:caps/>
          <w:sz w:val="22"/>
        </w:rPr>
        <w:fldChar w:fldCharType="begin">
          <w:ffData>
            <w:name w:val="Text21"/>
            <w:enabled/>
            <w:calcOnExit w:val="0"/>
            <w:textInput>
              <w:default w:val="NOT MADE"/>
            </w:textInput>
          </w:ffData>
        </w:fldChar>
      </w:r>
      <w:r w:rsidR="00913AB8" w:rsidRPr="00FB3332">
        <w:rPr>
          <w:rFonts w:ascii="Book Antiqua" w:hAnsi="Book Antiqua" w:cs="Arial"/>
          <w:b/>
          <w:caps/>
          <w:sz w:val="22"/>
        </w:rPr>
        <w:instrText xml:space="preserve"> FORMTEXT </w:instrText>
      </w:r>
      <w:r w:rsidR="00913AB8" w:rsidRPr="00FB3332">
        <w:rPr>
          <w:rFonts w:ascii="Book Antiqua" w:hAnsi="Book Antiqua" w:cs="Arial"/>
          <w:b/>
          <w:caps/>
          <w:sz w:val="22"/>
        </w:rPr>
      </w:r>
      <w:r w:rsidR="00913AB8" w:rsidRPr="00FB3332">
        <w:rPr>
          <w:rFonts w:ascii="Book Antiqua" w:hAnsi="Book Antiqua" w:cs="Arial"/>
          <w:b/>
          <w:caps/>
          <w:sz w:val="22"/>
        </w:rPr>
        <w:fldChar w:fldCharType="separate"/>
      </w:r>
      <w:r w:rsidR="00913AB8" w:rsidRPr="00FB3332">
        <w:rPr>
          <w:rFonts w:ascii="Book Antiqua" w:hAnsi="Book Antiqua" w:cs="Arial"/>
          <w:b/>
          <w:caps/>
          <w:noProof/>
          <w:sz w:val="22"/>
        </w:rPr>
        <w:t>NOT MADE</w:t>
      </w:r>
      <w:r w:rsidR="00913AB8" w:rsidRPr="00FB3332">
        <w:rPr>
          <w:rFonts w:ascii="Book Antiqua" w:hAnsi="Book Antiqua" w:cs="Arial"/>
          <w:b/>
          <w:caps/>
          <w:sz w:val="22"/>
        </w:rPr>
        <w:fldChar w:fldCharType="end"/>
      </w:r>
      <w:bookmarkEnd w:id="0"/>
      <w:r w:rsidRPr="00FB3332">
        <w:rPr>
          <w:rFonts w:ascii="Book Antiqua" w:hAnsi="Book Antiqua" w:cs="Arial"/>
          <w:b/>
          <w:caps/>
          <w:sz w:val="22"/>
        </w:rPr>
        <w:t>)</w:t>
      </w:r>
    </w:p>
    <w:p w14:paraId="00662AEA" w14:textId="77777777" w:rsidR="004513AF" w:rsidRPr="008F5857" w:rsidRDefault="004513AF" w:rsidP="007B36B7">
      <w:pPr>
        <w:jc w:val="right"/>
        <w:outlineLvl w:val="0"/>
        <w:rPr>
          <w:rFonts w:ascii="Book Antiqua" w:hAnsi="Book Antiqua" w:cs="Arial"/>
          <w:u w:val="single"/>
        </w:rPr>
      </w:pPr>
      <w:r w:rsidRPr="008F5857">
        <w:rPr>
          <w:rFonts w:ascii="Book Antiqua" w:hAnsi="Book Antiqua" w:cs="Arial"/>
          <w:u w:val="single"/>
        </w:rPr>
        <w:t>Appellants</w:t>
      </w:r>
    </w:p>
    <w:p w14:paraId="6A88F7DF" w14:textId="77777777" w:rsidR="004513AF" w:rsidRPr="008F5857" w:rsidRDefault="004513AF" w:rsidP="00704B61">
      <w:pPr>
        <w:jc w:val="center"/>
        <w:rPr>
          <w:rFonts w:ascii="Book Antiqua" w:hAnsi="Book Antiqua" w:cs="Arial"/>
          <w:b/>
        </w:rPr>
      </w:pPr>
      <w:bookmarkStart w:id="1" w:name="_GoBack"/>
      <w:bookmarkEnd w:id="1"/>
      <w:r w:rsidRPr="008F5857">
        <w:rPr>
          <w:rFonts w:ascii="Book Antiqua" w:hAnsi="Book Antiqua" w:cs="Arial"/>
          <w:b/>
        </w:rPr>
        <w:t>and</w:t>
      </w:r>
    </w:p>
    <w:p w14:paraId="239A0DF1" w14:textId="77777777" w:rsidR="004513AF" w:rsidRPr="008F5857" w:rsidRDefault="004513AF" w:rsidP="00704B61">
      <w:pPr>
        <w:jc w:val="center"/>
        <w:rPr>
          <w:rFonts w:ascii="Book Antiqua" w:hAnsi="Book Antiqua" w:cs="Arial"/>
          <w:b/>
        </w:rPr>
      </w:pPr>
    </w:p>
    <w:p w14:paraId="681595F0" w14:textId="77777777" w:rsidR="004513AF" w:rsidRPr="008F5857" w:rsidRDefault="004513AF" w:rsidP="007B36B7">
      <w:pPr>
        <w:jc w:val="center"/>
        <w:outlineLvl w:val="0"/>
        <w:rPr>
          <w:rFonts w:ascii="Book Antiqua" w:hAnsi="Book Antiqua" w:cs="Arial"/>
          <w:b/>
        </w:rPr>
      </w:pPr>
      <w:bookmarkStart w:id="2" w:name="Text7"/>
      <w:r w:rsidRPr="008F5857">
        <w:rPr>
          <w:rFonts w:ascii="Book Antiqua" w:hAnsi="Book Antiqua" w:cs="Arial"/>
          <w:b/>
          <w:noProof/>
        </w:rPr>
        <w:t>THE SECRETARY OF STATE FOR THE HOME DEPARTMENT</w:t>
      </w:r>
      <w:bookmarkEnd w:id="2"/>
      <w:r w:rsidRPr="008F5857">
        <w:rPr>
          <w:rFonts w:ascii="Book Antiqua" w:hAnsi="Book Antiqua" w:cs="Arial"/>
          <w:b/>
          <w:noProof/>
        </w:rPr>
        <w:t xml:space="preserve">  </w:t>
      </w:r>
    </w:p>
    <w:p w14:paraId="1F260BA8" w14:textId="77777777" w:rsidR="004513AF" w:rsidRPr="008F5857" w:rsidRDefault="004513AF" w:rsidP="007B36B7">
      <w:pPr>
        <w:jc w:val="right"/>
        <w:outlineLvl w:val="0"/>
        <w:rPr>
          <w:rFonts w:ascii="Book Antiqua" w:hAnsi="Book Antiqua" w:cs="Arial"/>
          <w:u w:val="single"/>
        </w:rPr>
      </w:pPr>
      <w:r w:rsidRPr="008F5857">
        <w:rPr>
          <w:rFonts w:ascii="Book Antiqua" w:hAnsi="Book Antiqua" w:cs="Arial"/>
          <w:u w:val="single"/>
        </w:rPr>
        <w:t>Respondent</w:t>
      </w:r>
    </w:p>
    <w:p w14:paraId="1199DBFD" w14:textId="18D8CB81" w:rsidR="004513AF" w:rsidRDefault="004513AF" w:rsidP="00DD5071">
      <w:pPr>
        <w:rPr>
          <w:rFonts w:ascii="Book Antiqua" w:hAnsi="Book Antiqua" w:cs="Arial"/>
          <w:u w:val="single"/>
        </w:rPr>
      </w:pPr>
    </w:p>
    <w:p w14:paraId="5003E54F" w14:textId="77777777" w:rsidR="00FB3332" w:rsidRPr="008F5857" w:rsidRDefault="00FB3332" w:rsidP="00DD5071">
      <w:pPr>
        <w:rPr>
          <w:rFonts w:ascii="Book Antiqua" w:hAnsi="Book Antiqua" w:cs="Arial"/>
          <w:u w:val="single"/>
        </w:rPr>
      </w:pPr>
    </w:p>
    <w:p w14:paraId="569935FA" w14:textId="77777777" w:rsidR="004513AF" w:rsidRPr="008F5857" w:rsidRDefault="004513AF" w:rsidP="007B36B7">
      <w:pPr>
        <w:outlineLvl w:val="0"/>
        <w:rPr>
          <w:rFonts w:ascii="Book Antiqua" w:hAnsi="Book Antiqua" w:cs="Arial"/>
        </w:rPr>
      </w:pPr>
      <w:r w:rsidRPr="008F5857">
        <w:rPr>
          <w:rFonts w:ascii="Book Antiqua" w:hAnsi="Book Antiqua" w:cs="Arial"/>
          <w:b/>
          <w:u w:val="single"/>
        </w:rPr>
        <w:t>Representation</w:t>
      </w:r>
      <w:r w:rsidRPr="008F5857">
        <w:rPr>
          <w:rFonts w:ascii="Book Antiqua" w:hAnsi="Book Antiqua" w:cs="Arial"/>
          <w:b/>
        </w:rPr>
        <w:t>:</w:t>
      </w:r>
    </w:p>
    <w:p w14:paraId="19EF6F9D" w14:textId="77777777" w:rsidR="004513AF" w:rsidRPr="008F5857" w:rsidRDefault="004513AF" w:rsidP="00F401F9">
      <w:pPr>
        <w:tabs>
          <w:tab w:val="left" w:pos="2520"/>
        </w:tabs>
        <w:ind w:left="2520" w:hanging="2520"/>
        <w:rPr>
          <w:rFonts w:ascii="Book Antiqua" w:hAnsi="Book Antiqua" w:cs="Arial"/>
        </w:rPr>
      </w:pPr>
      <w:r w:rsidRPr="008F5857">
        <w:rPr>
          <w:rFonts w:ascii="Book Antiqua" w:hAnsi="Book Antiqua" w:cs="Arial"/>
        </w:rPr>
        <w:t>For the Appellants:</w:t>
      </w:r>
      <w:r w:rsidRPr="008F5857">
        <w:rPr>
          <w:rFonts w:ascii="Book Antiqua" w:hAnsi="Book Antiqua" w:cs="Arial"/>
        </w:rPr>
        <w:tab/>
        <w:t xml:space="preserve">Mr G Franco, counsel, instructed by </w:t>
      </w:r>
      <w:proofErr w:type="spellStart"/>
      <w:r w:rsidRPr="008F5857">
        <w:rPr>
          <w:rFonts w:ascii="Book Antiqua" w:hAnsi="Book Antiqua" w:cs="Arial"/>
        </w:rPr>
        <w:t>Brightway</w:t>
      </w:r>
      <w:proofErr w:type="spellEnd"/>
      <w:r w:rsidRPr="008F5857">
        <w:rPr>
          <w:rFonts w:ascii="Book Antiqua" w:hAnsi="Book Antiqua" w:cs="Arial"/>
        </w:rPr>
        <w:t xml:space="preserve"> Immigration &amp; Asylum  </w:t>
      </w:r>
    </w:p>
    <w:p w14:paraId="11998B7E" w14:textId="77777777" w:rsidR="004513AF" w:rsidRPr="008F5857" w:rsidRDefault="004513AF" w:rsidP="00DE7DB7">
      <w:pPr>
        <w:tabs>
          <w:tab w:val="left" w:pos="2520"/>
        </w:tabs>
        <w:rPr>
          <w:rFonts w:ascii="Book Antiqua" w:hAnsi="Book Antiqua" w:cs="Arial"/>
        </w:rPr>
      </w:pPr>
      <w:r w:rsidRPr="008F5857">
        <w:rPr>
          <w:rFonts w:ascii="Book Antiqua" w:hAnsi="Book Antiqua" w:cs="Arial"/>
        </w:rPr>
        <w:t>For the Respondent:</w:t>
      </w:r>
      <w:r w:rsidRPr="008F5857">
        <w:rPr>
          <w:rFonts w:ascii="Book Antiqua" w:hAnsi="Book Antiqua" w:cs="Arial"/>
        </w:rPr>
        <w:tab/>
        <w:t xml:space="preserve">Ms J Isherwood, Senior Presenting Officer  </w:t>
      </w:r>
    </w:p>
    <w:p w14:paraId="4A890FC1" w14:textId="77777777" w:rsidR="004513AF" w:rsidRPr="008F5857" w:rsidRDefault="004513AF" w:rsidP="00402B9E">
      <w:pPr>
        <w:tabs>
          <w:tab w:val="left" w:pos="2520"/>
        </w:tabs>
        <w:jc w:val="center"/>
        <w:rPr>
          <w:rFonts w:ascii="Book Antiqua" w:hAnsi="Book Antiqua" w:cs="Arial"/>
        </w:rPr>
      </w:pPr>
    </w:p>
    <w:p w14:paraId="072E34AF" w14:textId="77777777" w:rsidR="004513AF" w:rsidRPr="008F5857" w:rsidRDefault="004513AF" w:rsidP="00402B9E">
      <w:pPr>
        <w:tabs>
          <w:tab w:val="left" w:pos="2520"/>
        </w:tabs>
        <w:jc w:val="center"/>
        <w:rPr>
          <w:rFonts w:ascii="Book Antiqua" w:hAnsi="Book Antiqua" w:cs="Arial"/>
        </w:rPr>
      </w:pPr>
    </w:p>
    <w:p w14:paraId="12A7E1B0" w14:textId="77777777" w:rsidR="004513AF" w:rsidRPr="008F5857" w:rsidRDefault="004513AF" w:rsidP="007B36B7">
      <w:pPr>
        <w:tabs>
          <w:tab w:val="left" w:pos="2520"/>
        </w:tabs>
        <w:jc w:val="center"/>
        <w:outlineLvl w:val="0"/>
        <w:rPr>
          <w:rFonts w:ascii="Book Antiqua" w:hAnsi="Book Antiqua" w:cs="Arial"/>
        </w:rPr>
      </w:pPr>
      <w:r w:rsidRPr="008F5857">
        <w:rPr>
          <w:rFonts w:ascii="Book Antiqua" w:hAnsi="Book Antiqua" w:cs="Arial"/>
          <w:b/>
          <w:u w:val="single"/>
        </w:rPr>
        <w:t xml:space="preserve">DECISION AND REASONS  </w:t>
      </w:r>
    </w:p>
    <w:p w14:paraId="3BB11CCF" w14:textId="77777777" w:rsidR="004513AF" w:rsidRPr="008F5857" w:rsidRDefault="004513AF" w:rsidP="00402B9E">
      <w:pPr>
        <w:tabs>
          <w:tab w:val="left" w:pos="2520"/>
        </w:tabs>
        <w:jc w:val="both"/>
        <w:rPr>
          <w:rFonts w:ascii="Book Antiqua" w:hAnsi="Book Antiqua" w:cs="Arial"/>
        </w:rPr>
      </w:pPr>
    </w:p>
    <w:p w14:paraId="14AB05DF" w14:textId="77777777" w:rsidR="004513AF" w:rsidRPr="008F5857" w:rsidRDefault="004513AF" w:rsidP="00E0794D">
      <w:pPr>
        <w:pStyle w:val="p"/>
      </w:pPr>
      <w:r w:rsidRPr="008F5857">
        <w:t>1.</w:t>
      </w:r>
      <w:r w:rsidRPr="008F5857">
        <w:tab/>
        <w:t>The Appellants</w:t>
      </w:r>
      <w:r w:rsidR="00BC774F">
        <w:t>,</w:t>
      </w:r>
      <w:r w:rsidRPr="008F5857">
        <w:t xml:space="preserve"> nationals of Nigeria, dates of birth 6 August 1969 </w:t>
      </w:r>
      <w:r w:rsidR="00E317EF">
        <w:t>and 15 March 2005</w:t>
      </w:r>
      <w:r w:rsidR="00BC774F">
        <w:t xml:space="preserve"> respectively</w:t>
      </w:r>
      <w:r w:rsidR="00E317EF">
        <w:t>.  T</w:t>
      </w:r>
      <w:r w:rsidRPr="008F5857">
        <w:t>he first Appellant is the mother of the second Appellant</w:t>
      </w:r>
      <w:r w:rsidR="00B011FC">
        <w:t xml:space="preserve"> who</w:t>
      </w:r>
      <w:r w:rsidRPr="008F5857">
        <w:t xml:space="preserve"> appealed against the Respondent’s decision</w:t>
      </w:r>
      <w:r w:rsidR="00B011FC">
        <w:t>,</w:t>
      </w:r>
      <w:r w:rsidRPr="008F5857">
        <w:t xml:space="preserve"> dated 21 November 2005</w:t>
      </w:r>
      <w:r w:rsidR="00B011FC">
        <w:t>,</w:t>
      </w:r>
      <w:r w:rsidRPr="008F5857">
        <w:t xml:space="preserve"> to refuse leave to remain </w:t>
      </w:r>
      <w:r w:rsidRPr="008F5857">
        <w:lastRenderedPageBreak/>
        <w:t>by reference to the Immigration Rules and Article 8, ECHR.  Their appeals came before First-tier Tribunal Judge Quinn</w:t>
      </w:r>
      <w:r w:rsidR="00B011FC">
        <w:t>,</w:t>
      </w:r>
      <w:r w:rsidRPr="008F5857">
        <w:t xml:space="preserve"> on 28 February 2017</w:t>
      </w:r>
      <w:r w:rsidR="00B011FC">
        <w:t>,</w:t>
      </w:r>
      <w:r w:rsidRPr="008F5857">
        <w:t xml:space="preserve"> who dismissed their appeals on 21 March 2017.  On 30 January 2018 I decided that the </w:t>
      </w:r>
      <w:r w:rsidR="00BB2A47">
        <w:t>Original Tribunal</w:t>
      </w:r>
      <w:r w:rsidRPr="008F5857">
        <w:t xml:space="preserve">’s decision could not stand because the Judge had failed to address the issue of the reasonableness of the second Appellant being required to leave the United Kingdom with the first Appellant bearing in mind he had been in the UK since he entered the UK with his mother who was on a visit visa on 17 August 2006.  The second Appellant has therefore been in the </w:t>
      </w:r>
      <w:smartTag w:uri="urn:schemas-microsoft-com:office:smarttags" w:element="place">
        <w:smartTag w:uri="urn:schemas-microsoft-com:office:smarttags" w:element="country-region">
          <w:r w:rsidRPr="008F5857">
            <w:t>United Kingdom</w:t>
          </w:r>
        </w:smartTag>
      </w:smartTag>
      <w:r w:rsidRPr="008F5857">
        <w:t xml:space="preserve"> in excess of seven years and ha</w:t>
      </w:r>
      <w:r w:rsidR="00BB2A47">
        <w:t>d</w:t>
      </w:r>
      <w:r w:rsidRPr="008F5857">
        <w:t xml:space="preserve"> never left.  </w:t>
      </w:r>
    </w:p>
    <w:p w14:paraId="000CF93B" w14:textId="77777777" w:rsidR="004513AF" w:rsidRPr="008F5857" w:rsidRDefault="004513AF" w:rsidP="00D82BC2">
      <w:pPr>
        <w:tabs>
          <w:tab w:val="left" w:pos="567"/>
        </w:tabs>
        <w:spacing w:line="360" w:lineRule="auto"/>
        <w:ind w:left="567" w:hanging="567"/>
        <w:jc w:val="both"/>
        <w:rPr>
          <w:rFonts w:ascii="Book Antiqua" w:hAnsi="Book Antiqua" w:cs="Calibri"/>
        </w:rPr>
      </w:pPr>
    </w:p>
    <w:p w14:paraId="0CC20F46" w14:textId="77777777" w:rsidR="004513AF" w:rsidRPr="008F5857" w:rsidRDefault="004513AF" w:rsidP="00E0794D">
      <w:pPr>
        <w:pStyle w:val="p"/>
      </w:pPr>
      <w:r w:rsidRPr="008F5857">
        <w:t>2.</w:t>
      </w:r>
      <w:r w:rsidRPr="008F5857">
        <w:tab/>
        <w:t xml:space="preserve">At the time the second Appellant arrived he was some 18 months of age and he is now some 12 years, 3 months old.  The Judge in originally addressing this matter I found had failed to address the right question, namely whether it was reasonable to expect the second Appellant to leave the </w:t>
      </w:r>
      <w:smartTag w:uri="urn:schemas-microsoft-com:office:smarttags" w:element="country-region">
        <w:smartTag w:uri="urn:schemas-microsoft-com:office:smarttags" w:element="place">
          <w:r w:rsidRPr="008F5857">
            <w:t>United Kingdom</w:t>
          </w:r>
        </w:smartTag>
      </w:smartTag>
      <w:r w:rsidRPr="008F5857">
        <w:t xml:space="preserve">.  </w:t>
      </w:r>
    </w:p>
    <w:p w14:paraId="0BD0A4CF" w14:textId="77777777" w:rsidR="004513AF" w:rsidRPr="008F5857" w:rsidRDefault="004513AF" w:rsidP="00D82BC2">
      <w:pPr>
        <w:tabs>
          <w:tab w:val="left" w:pos="567"/>
        </w:tabs>
        <w:spacing w:line="360" w:lineRule="auto"/>
        <w:ind w:left="567" w:hanging="567"/>
        <w:jc w:val="both"/>
        <w:rPr>
          <w:rFonts w:ascii="Book Antiqua" w:hAnsi="Book Antiqua" w:cs="Calibri"/>
        </w:rPr>
      </w:pPr>
    </w:p>
    <w:p w14:paraId="5E4F590E" w14:textId="77777777" w:rsidR="004513AF" w:rsidRPr="008F5857" w:rsidRDefault="004513AF" w:rsidP="00E0794D">
      <w:pPr>
        <w:pStyle w:val="p"/>
      </w:pPr>
      <w:r w:rsidRPr="008F5857">
        <w:t>3.</w:t>
      </w:r>
      <w:r w:rsidRPr="008F5857">
        <w:tab/>
        <w:t>The further evidence submitted in support of the resumed hearing d</w:t>
      </w:r>
      <w:r w:rsidR="00BB2A47">
        <w:t>id</w:t>
      </w:r>
      <w:r w:rsidRPr="008F5857">
        <w:t xml:space="preserve"> not particularly take this matter much further forward save to highlight some of the history of the Appellants’ lives in the UK, not least associated with the domestic violence directed at both Appellants</w:t>
      </w:r>
      <w:r w:rsidR="001F0342">
        <w:t>,</w:t>
      </w:r>
      <w:r w:rsidRPr="008F5857">
        <w:t xml:space="preserve"> recited </w:t>
      </w:r>
      <w:r w:rsidR="00C11381">
        <w:t>in</w:t>
      </w:r>
      <w:r w:rsidRPr="008F5857">
        <w:t xml:space="preserve"> the Croydon assessment made under the provisions for child protection.  </w:t>
      </w:r>
      <w:r w:rsidR="00C11381">
        <w:t>U</w:t>
      </w:r>
      <w:r w:rsidRPr="008F5857">
        <w:t xml:space="preserve">ltimately a decision by a Family Court at Croydon dismissing access claims made by the second Appellant’s father, the husband of the first Appellant.  </w:t>
      </w:r>
    </w:p>
    <w:p w14:paraId="25185D26" w14:textId="77777777" w:rsidR="004513AF" w:rsidRPr="008F5857" w:rsidRDefault="004513AF" w:rsidP="00D82BC2">
      <w:pPr>
        <w:tabs>
          <w:tab w:val="left" w:pos="567"/>
        </w:tabs>
        <w:spacing w:line="360" w:lineRule="auto"/>
        <w:ind w:left="567" w:hanging="567"/>
        <w:jc w:val="both"/>
        <w:rPr>
          <w:rFonts w:ascii="Book Antiqua" w:hAnsi="Book Antiqua" w:cs="Calibri"/>
        </w:rPr>
      </w:pPr>
    </w:p>
    <w:p w14:paraId="32BA541F" w14:textId="69F0FAFD" w:rsidR="004513AF" w:rsidRPr="008F5857" w:rsidRDefault="004513AF" w:rsidP="00E0794D">
      <w:pPr>
        <w:pStyle w:val="p"/>
      </w:pPr>
      <w:r w:rsidRPr="008F5857">
        <w:t>4.</w:t>
      </w:r>
      <w:r w:rsidRPr="008F5857">
        <w:tab/>
        <w:t>The evidence of the Appellants’ witness statement</w:t>
      </w:r>
      <w:r w:rsidR="001F0342">
        <w:t>s</w:t>
      </w:r>
      <w:r w:rsidRPr="008F5857">
        <w:t xml:space="preserve"> was contained within the papers in which the first Appellant identified not only the</w:t>
      </w:r>
      <w:r w:rsidR="00C11381">
        <w:t>m</w:t>
      </w:r>
      <w:r w:rsidRPr="008F5857">
        <w:t xml:space="preserve"> as victims of domestic violence but also the adverse effects it </w:t>
      </w:r>
      <w:r w:rsidR="001F0342">
        <w:t>had</w:t>
      </w:r>
      <w:r w:rsidRPr="008F5857">
        <w:t xml:space="preserve"> upon the second Appellant.  So far as I am aware there has been no contact between the second Appellant’s father</w:t>
      </w:r>
      <w:r w:rsidR="001F0342">
        <w:t xml:space="preserve">, </w:t>
      </w:r>
      <w:r w:rsidR="00FB3332">
        <w:t>[</w:t>
      </w:r>
      <w:r w:rsidR="001F0342">
        <w:t>TU</w:t>
      </w:r>
      <w:r w:rsidR="00FB3332">
        <w:t>]</w:t>
      </w:r>
      <w:r w:rsidR="00D75C6F">
        <w:t>,</w:t>
      </w:r>
      <w:r w:rsidR="001F0342">
        <w:t xml:space="preserve"> </w:t>
      </w:r>
      <w:r w:rsidRPr="008F5857">
        <w:t>and him for a number of years.  There is nothing to suggest that the second Appellant or first Appellant wished to re-establish an</w:t>
      </w:r>
      <w:r w:rsidR="00C11381">
        <w:t xml:space="preserve">y contact with </w:t>
      </w:r>
      <w:r w:rsidR="00D75C6F">
        <w:t xml:space="preserve">him </w:t>
      </w:r>
      <w:r w:rsidRPr="008F5857">
        <w:t>which has desist</w:t>
      </w:r>
      <w:r w:rsidR="00D75C6F">
        <w:t>ed since about September 2015.</w:t>
      </w:r>
    </w:p>
    <w:p w14:paraId="3139F085" w14:textId="77777777" w:rsidR="004513AF" w:rsidRPr="008F5857" w:rsidRDefault="004513AF" w:rsidP="00D82BC2">
      <w:pPr>
        <w:tabs>
          <w:tab w:val="left" w:pos="567"/>
        </w:tabs>
        <w:spacing w:line="360" w:lineRule="auto"/>
        <w:ind w:left="567" w:hanging="567"/>
        <w:jc w:val="both"/>
        <w:rPr>
          <w:rFonts w:ascii="Book Antiqua" w:hAnsi="Book Antiqua" w:cs="Calibri"/>
        </w:rPr>
      </w:pPr>
    </w:p>
    <w:p w14:paraId="16CCEE31" w14:textId="77777777" w:rsidR="00C11381" w:rsidRDefault="004513AF" w:rsidP="00E0794D">
      <w:pPr>
        <w:pStyle w:val="p"/>
      </w:pPr>
      <w:r w:rsidRPr="008F5857">
        <w:lastRenderedPageBreak/>
        <w:t>5.</w:t>
      </w:r>
      <w:r w:rsidRPr="008F5857">
        <w:tab/>
        <w:t>The first Appellant essentially presse</w:t>
      </w:r>
      <w:r w:rsidR="00C11381">
        <w:t>d</w:t>
      </w:r>
      <w:r w:rsidRPr="008F5857">
        <w:t xml:space="preserve"> the case why it is not reasonable for the second Appellant to leave, rather than putting forward any </w:t>
      </w:r>
      <w:r w:rsidR="00C11381">
        <w:t>of her individual circumstances.</w:t>
      </w:r>
    </w:p>
    <w:p w14:paraId="4EDA9967" w14:textId="77777777" w:rsidR="00C11381" w:rsidRDefault="00C11381" w:rsidP="00D82BC2">
      <w:pPr>
        <w:tabs>
          <w:tab w:val="left" w:pos="567"/>
        </w:tabs>
        <w:spacing w:line="360" w:lineRule="auto"/>
        <w:ind w:left="567" w:hanging="567"/>
        <w:jc w:val="both"/>
        <w:rPr>
          <w:rFonts w:ascii="Book Antiqua" w:hAnsi="Book Antiqua" w:cs="Calibri"/>
        </w:rPr>
      </w:pPr>
    </w:p>
    <w:p w14:paraId="333BE8D3" w14:textId="77777777" w:rsidR="00E0794D" w:rsidRDefault="00C11381" w:rsidP="00D75C6F">
      <w:pPr>
        <w:pStyle w:val="p"/>
      </w:pPr>
      <w:r>
        <w:t>6.</w:t>
      </w:r>
      <w:r>
        <w:tab/>
      </w:r>
      <w:r w:rsidR="00D75C6F">
        <w:t>She</w:t>
      </w:r>
      <w:r w:rsidR="004513AF" w:rsidRPr="008F5857">
        <w:t xml:space="preserve"> makes a number of points which I set out in no particular order</w:t>
      </w:r>
      <w:r>
        <w:t>:</w:t>
      </w:r>
      <w:r w:rsidR="00E0794D">
        <w:t>-</w:t>
      </w:r>
    </w:p>
    <w:p w14:paraId="1C5FA96A" w14:textId="77777777" w:rsidR="00E0794D" w:rsidRDefault="00E0794D" w:rsidP="00D82BC2">
      <w:pPr>
        <w:tabs>
          <w:tab w:val="left" w:pos="567"/>
        </w:tabs>
        <w:spacing w:line="360" w:lineRule="auto"/>
        <w:ind w:left="567" w:hanging="567"/>
        <w:jc w:val="both"/>
        <w:rPr>
          <w:rFonts w:ascii="Book Antiqua" w:hAnsi="Book Antiqua" w:cs="Calibri"/>
        </w:rPr>
      </w:pPr>
    </w:p>
    <w:p w14:paraId="1CF31B48" w14:textId="77777777" w:rsidR="001151D6" w:rsidRDefault="001151D6" w:rsidP="001151D6">
      <w:pPr>
        <w:pStyle w:val="subp"/>
      </w:pPr>
      <w:r>
        <w:t>(1)</w:t>
      </w:r>
      <w:r>
        <w:tab/>
      </w:r>
      <w:r w:rsidR="004513AF" w:rsidRPr="008F5857">
        <w:t>First</w:t>
      </w:r>
      <w:r>
        <w:t>,</w:t>
      </w:r>
      <w:r w:rsidR="004513AF" w:rsidRPr="008F5857">
        <w:t xml:space="preserve"> the </w:t>
      </w:r>
      <w:r>
        <w:t xml:space="preserve">second </w:t>
      </w:r>
      <w:r w:rsidR="004513AF" w:rsidRPr="008F5857">
        <w:t>Appellant has been for most of his life in the UK and having entered as a baby of a young child aged about 16/18 months he has no recol</w:t>
      </w:r>
      <w:r>
        <w:t>lection whatsoever of Nigeria.</w:t>
      </w:r>
    </w:p>
    <w:p w14:paraId="356A4F7B" w14:textId="77777777" w:rsidR="001151D6" w:rsidRDefault="001151D6" w:rsidP="001151D6">
      <w:pPr>
        <w:pStyle w:val="subp"/>
      </w:pPr>
    </w:p>
    <w:p w14:paraId="4A77EF9C" w14:textId="77777777" w:rsidR="001151D6" w:rsidRDefault="001151D6" w:rsidP="001151D6">
      <w:pPr>
        <w:pStyle w:val="subp"/>
      </w:pPr>
      <w:r>
        <w:t>(2)</w:t>
      </w:r>
      <w:r>
        <w:tab/>
      </w:r>
      <w:r w:rsidR="004513AF" w:rsidRPr="008F5857">
        <w:t>Secondly</w:t>
      </w:r>
      <w:r>
        <w:t>,</w:t>
      </w:r>
      <w:r w:rsidR="004513AF" w:rsidRPr="008F5857">
        <w:t xml:space="preserve"> the second Appellant has not been brought up to understand the society and culture in </w:t>
      </w:r>
      <w:smartTag w:uri="urn:schemas-microsoft-com:office:smarttags" w:element="country-region">
        <w:smartTag w:uri="urn:schemas-microsoft-com:office:smarttags" w:element="place">
          <w:r w:rsidR="004513AF" w:rsidRPr="008F5857">
            <w:t>Nigeria</w:t>
          </w:r>
        </w:smartTag>
      </w:smartTag>
      <w:r>
        <w:t>.</w:t>
      </w:r>
    </w:p>
    <w:p w14:paraId="763009E9" w14:textId="77777777" w:rsidR="001151D6" w:rsidRDefault="001151D6" w:rsidP="001151D6">
      <w:pPr>
        <w:pStyle w:val="subp"/>
      </w:pPr>
    </w:p>
    <w:p w14:paraId="2BF93279" w14:textId="77777777" w:rsidR="001151D6" w:rsidRDefault="001151D6" w:rsidP="001151D6">
      <w:pPr>
        <w:pStyle w:val="subp"/>
      </w:pPr>
      <w:r>
        <w:t>(3)</w:t>
      </w:r>
      <w:r>
        <w:tab/>
      </w:r>
      <w:r w:rsidR="004513AF" w:rsidRPr="008F5857">
        <w:t>Thirdly</w:t>
      </w:r>
      <w:r>
        <w:t>,</w:t>
      </w:r>
      <w:r w:rsidR="004513AF" w:rsidRPr="008F5857">
        <w:t xml:space="preserve"> the second Appellant’s connections are all with the </w:t>
      </w:r>
      <w:smartTag w:uri="urn:schemas-microsoft-com:office:smarttags" w:element="country-region">
        <w:smartTag w:uri="urn:schemas-microsoft-com:office:smarttags" w:element="place">
          <w:r w:rsidR="004513AF" w:rsidRPr="008F5857">
            <w:t>United Kingdom</w:t>
          </w:r>
        </w:smartTag>
      </w:smartTag>
      <w:r w:rsidR="004513AF" w:rsidRPr="008F5857">
        <w:t xml:space="preserve"> where his home, his friends a</w:t>
      </w:r>
      <w:r>
        <w:t>nd such family as remains are.</w:t>
      </w:r>
    </w:p>
    <w:p w14:paraId="12120521" w14:textId="77777777" w:rsidR="001151D6" w:rsidRDefault="001151D6" w:rsidP="001151D6">
      <w:pPr>
        <w:pStyle w:val="subp"/>
      </w:pPr>
    </w:p>
    <w:p w14:paraId="585B8D2B" w14:textId="77777777" w:rsidR="001806B5" w:rsidRDefault="001151D6" w:rsidP="001151D6">
      <w:pPr>
        <w:pStyle w:val="subp"/>
      </w:pPr>
      <w:r>
        <w:t>(4)</w:t>
      </w:r>
      <w:r>
        <w:tab/>
      </w:r>
      <w:r w:rsidR="004513AF" w:rsidRPr="008F5857">
        <w:t>Fourthly</w:t>
      </w:r>
      <w:r>
        <w:t>,</w:t>
      </w:r>
      <w:r w:rsidR="004513AF" w:rsidRPr="008F5857">
        <w:t xml:space="preserve"> the </w:t>
      </w:r>
      <w:r>
        <w:t xml:space="preserve">second </w:t>
      </w:r>
      <w:r w:rsidR="004513AF" w:rsidRPr="008F5857">
        <w:t xml:space="preserve">Appellant is doing well in school and there was a period when he was treated as a gifted and talented pupil in 2016 but I have no information as to whether or not he remains in any particular class or stream devoted to </w:t>
      </w:r>
      <w:r w:rsidR="001806B5">
        <w:t>being gifted and talented.</w:t>
      </w:r>
    </w:p>
    <w:p w14:paraId="4B437DB7" w14:textId="77777777" w:rsidR="001806B5" w:rsidRDefault="001806B5" w:rsidP="001151D6">
      <w:pPr>
        <w:pStyle w:val="subp"/>
      </w:pPr>
    </w:p>
    <w:p w14:paraId="773AC02D" w14:textId="77777777" w:rsidR="001806B5" w:rsidRDefault="001806B5" w:rsidP="001151D6">
      <w:pPr>
        <w:pStyle w:val="subp"/>
      </w:pPr>
      <w:r>
        <w:t>(5)</w:t>
      </w:r>
      <w:r>
        <w:tab/>
        <w:t xml:space="preserve">Fifthly, </w:t>
      </w:r>
      <w:r w:rsidR="004513AF" w:rsidRPr="008F5857">
        <w:t xml:space="preserve">the </w:t>
      </w:r>
      <w:r w:rsidR="00D75C6F">
        <w:t xml:space="preserve">second </w:t>
      </w:r>
      <w:r w:rsidR="004513AF" w:rsidRPr="008F5857">
        <w:t xml:space="preserve">Appellant was the victim of an abusive relationship from his father and has no contact </w:t>
      </w:r>
      <w:bookmarkStart w:id="3" w:name="_Hlk517446809"/>
      <w:r>
        <w:t>with him.</w:t>
      </w:r>
    </w:p>
    <w:p w14:paraId="23EB715D" w14:textId="77777777" w:rsidR="001806B5" w:rsidRDefault="001806B5" w:rsidP="001151D6">
      <w:pPr>
        <w:pStyle w:val="subp"/>
      </w:pPr>
    </w:p>
    <w:p w14:paraId="1A68CFBC" w14:textId="77777777" w:rsidR="001806B5" w:rsidRDefault="001806B5" w:rsidP="001151D6">
      <w:pPr>
        <w:pStyle w:val="subp"/>
      </w:pPr>
      <w:r>
        <w:t>(6)</w:t>
      </w:r>
      <w:r>
        <w:tab/>
      </w:r>
      <w:r w:rsidR="004513AF" w:rsidRPr="008F5857">
        <w:t>Sixthly</w:t>
      </w:r>
      <w:bookmarkEnd w:id="3"/>
      <w:r>
        <w:t>,</w:t>
      </w:r>
      <w:r w:rsidR="004513AF" w:rsidRPr="008F5857">
        <w:t xml:space="preserve"> they do not have accommodation and the circumstances in </w:t>
      </w:r>
      <w:smartTag w:uri="urn:schemas-microsoft-com:office:smarttags" w:element="country-region">
        <w:smartTag w:uri="urn:schemas-microsoft-com:office:smarttags" w:element="place">
          <w:r w:rsidR="004513AF" w:rsidRPr="008F5857">
            <w:t>Nigeria</w:t>
          </w:r>
        </w:smartTag>
      </w:smartTag>
      <w:r w:rsidR="004513AF" w:rsidRPr="008F5857">
        <w:t xml:space="preserve"> were bound to be difficult, whether or not they would be destitute there is no doubt that the Appellants would be living in poorer conditions than currently faced</w:t>
      </w:r>
      <w:r w:rsidR="00D75C6F">
        <w:t>.  I</w:t>
      </w:r>
      <w:r w:rsidR="004513AF" w:rsidRPr="008F5857">
        <w:t xml:space="preserve">t is supposed that they would </w:t>
      </w:r>
      <w:r w:rsidR="00D75C6F">
        <w:t>fell into</w:t>
      </w:r>
      <w:r>
        <w:t xml:space="preserve"> a situation of destitution.</w:t>
      </w:r>
    </w:p>
    <w:p w14:paraId="41F615B2" w14:textId="77777777" w:rsidR="001806B5" w:rsidRDefault="001806B5" w:rsidP="001151D6">
      <w:pPr>
        <w:pStyle w:val="subp"/>
      </w:pPr>
    </w:p>
    <w:p w14:paraId="18AB228F" w14:textId="77777777" w:rsidR="001806B5" w:rsidRDefault="001806B5" w:rsidP="001151D6">
      <w:pPr>
        <w:pStyle w:val="subp"/>
      </w:pPr>
      <w:r>
        <w:t>(7)</w:t>
      </w:r>
      <w:r>
        <w:tab/>
        <w:t>Seventh, t</w:t>
      </w:r>
      <w:r w:rsidR="004513AF" w:rsidRPr="008F5857">
        <w:t xml:space="preserve">he </w:t>
      </w:r>
      <w:r>
        <w:t xml:space="preserve">first </w:t>
      </w:r>
      <w:r w:rsidR="004513AF" w:rsidRPr="008F5857">
        <w:t>Appellant</w:t>
      </w:r>
      <w:r w:rsidR="00D75C6F">
        <w:t>,</w:t>
      </w:r>
      <w:r w:rsidR="004513AF" w:rsidRPr="008F5857">
        <w:t xml:space="preserve"> who has had some measure of employment through her church in providing event management and/or cake making</w:t>
      </w:r>
      <w:r w:rsidR="00D75C6F">
        <w:t>,</w:t>
      </w:r>
      <w:r w:rsidR="004513AF" w:rsidRPr="008F5857">
        <w:t xml:space="preserve"> really has no </w:t>
      </w:r>
      <w:r w:rsidR="004513AF" w:rsidRPr="008F5857">
        <w:lastRenderedPageBreak/>
        <w:t xml:space="preserve">particular financial circumstances to support her on a return to </w:t>
      </w:r>
      <w:smartTag w:uri="urn:schemas-microsoft-com:office:smarttags" w:element="country-region">
        <w:smartTag w:uri="urn:schemas-microsoft-com:office:smarttags" w:element="place">
          <w:r w:rsidR="004513AF" w:rsidRPr="008F5857">
            <w:t>Nigeria</w:t>
          </w:r>
        </w:smartTag>
      </w:smartTag>
      <w:r w:rsidR="004513AF" w:rsidRPr="008F5857">
        <w:t xml:space="preserve"> which would impact on the well</w:t>
      </w:r>
      <w:r>
        <w:t>being of the second Appellant.</w:t>
      </w:r>
    </w:p>
    <w:p w14:paraId="78599A11" w14:textId="77777777" w:rsidR="001806B5" w:rsidRDefault="001806B5" w:rsidP="001151D6">
      <w:pPr>
        <w:pStyle w:val="subp"/>
      </w:pPr>
    </w:p>
    <w:p w14:paraId="20788161" w14:textId="77777777" w:rsidR="00973373" w:rsidRDefault="001806B5" w:rsidP="001151D6">
      <w:pPr>
        <w:pStyle w:val="subp"/>
      </w:pPr>
      <w:r>
        <w:t>(8)</w:t>
      </w:r>
      <w:r>
        <w:tab/>
        <w:t>Eigh</w:t>
      </w:r>
      <w:r w:rsidR="00973373">
        <w:t xml:space="preserve">th, </w:t>
      </w:r>
      <w:r w:rsidR="004513AF" w:rsidRPr="008F5857">
        <w:t xml:space="preserve">the </w:t>
      </w:r>
      <w:r w:rsidR="00D75C6F">
        <w:t xml:space="preserve">second </w:t>
      </w:r>
      <w:r w:rsidR="004513AF" w:rsidRPr="008F5857">
        <w:t>Appellant’s success in his schooling goes beyond, to his sporting activities and the role he plays in the local church wh</w:t>
      </w:r>
      <w:r w:rsidR="00973373">
        <w:t>ere he is a children’s leader.</w:t>
      </w:r>
    </w:p>
    <w:p w14:paraId="4A081BD0" w14:textId="77777777" w:rsidR="00973373" w:rsidRDefault="00973373" w:rsidP="001151D6">
      <w:pPr>
        <w:pStyle w:val="subp"/>
      </w:pPr>
    </w:p>
    <w:p w14:paraId="341FCF88" w14:textId="77777777" w:rsidR="004513AF" w:rsidRPr="008F5857" w:rsidRDefault="00973373" w:rsidP="001151D6">
      <w:pPr>
        <w:pStyle w:val="subp"/>
      </w:pPr>
      <w:r>
        <w:t>(9)</w:t>
      </w:r>
      <w:r>
        <w:tab/>
        <w:t>Nin</w:t>
      </w:r>
      <w:r w:rsidR="004513AF" w:rsidRPr="008F5857">
        <w:t>th</w:t>
      </w:r>
      <w:r>
        <w:t>,</w:t>
      </w:r>
      <w:r w:rsidR="004513AF" w:rsidRPr="008F5857">
        <w:t xml:space="preserve"> the first Appellant sa</w:t>
      </w:r>
      <w:r w:rsidR="00D75C6F">
        <w:t>id</w:t>
      </w:r>
      <w:r w:rsidR="004513AF" w:rsidRPr="008F5857">
        <w:t xml:space="preserve"> she cannot guarantee the second Appellant’s safety if they were returned to </w:t>
      </w:r>
      <w:smartTag w:uri="urn:schemas-microsoft-com:office:smarttags" w:element="country-region">
        <w:smartTag w:uri="urn:schemas-microsoft-com:office:smarttags" w:element="place">
          <w:r w:rsidR="004513AF" w:rsidRPr="008F5857">
            <w:t>Nigeria</w:t>
          </w:r>
        </w:smartTag>
      </w:smartTag>
      <w:r w:rsidR="004513AF" w:rsidRPr="008F5857">
        <w:t xml:space="preserve"> because of </w:t>
      </w:r>
      <w:r>
        <w:rPr>
          <w:noProof/>
        </w:rPr>
        <w:t>risk from</w:t>
      </w:r>
      <w:r w:rsidR="004513AF" w:rsidRPr="008F5857">
        <w:t xml:space="preserve"> his father.</w:t>
      </w:r>
    </w:p>
    <w:p w14:paraId="43696D7F" w14:textId="77777777" w:rsidR="004513AF" w:rsidRPr="008F5857" w:rsidRDefault="004513AF" w:rsidP="00D82BC2">
      <w:pPr>
        <w:tabs>
          <w:tab w:val="left" w:pos="567"/>
        </w:tabs>
        <w:spacing w:line="360" w:lineRule="auto"/>
        <w:ind w:left="567" w:hanging="567"/>
        <w:jc w:val="both"/>
        <w:rPr>
          <w:rFonts w:ascii="Book Antiqua" w:hAnsi="Book Antiqua" w:cs="Calibri"/>
        </w:rPr>
      </w:pPr>
    </w:p>
    <w:p w14:paraId="3E9A79DA" w14:textId="77777777" w:rsidR="004513AF" w:rsidRPr="008F5857" w:rsidRDefault="003E5FE3" w:rsidP="00D82BC2">
      <w:pPr>
        <w:tabs>
          <w:tab w:val="left" w:pos="567"/>
        </w:tabs>
        <w:spacing w:line="360" w:lineRule="auto"/>
        <w:ind w:left="567" w:hanging="567"/>
        <w:jc w:val="both"/>
        <w:rPr>
          <w:rFonts w:ascii="Book Antiqua" w:hAnsi="Book Antiqua" w:cs="Calibri"/>
        </w:rPr>
      </w:pPr>
      <w:r>
        <w:rPr>
          <w:rFonts w:ascii="Book Antiqua" w:hAnsi="Book Antiqua" w:cs="Calibri"/>
        </w:rPr>
        <w:t>7</w:t>
      </w:r>
      <w:r w:rsidR="004513AF" w:rsidRPr="008F5857">
        <w:rPr>
          <w:rFonts w:ascii="Book Antiqua" w:hAnsi="Book Antiqua" w:cs="Calibri"/>
        </w:rPr>
        <w:t>.</w:t>
      </w:r>
      <w:r w:rsidR="004513AF" w:rsidRPr="008F5857">
        <w:rPr>
          <w:rFonts w:ascii="Book Antiqua" w:hAnsi="Book Antiqua" w:cs="Calibri"/>
        </w:rPr>
        <w:tab/>
      </w:r>
      <w:r w:rsidR="00973373">
        <w:rPr>
          <w:rFonts w:ascii="Book Antiqua" w:hAnsi="Book Antiqua" w:cs="Calibri"/>
        </w:rPr>
        <w:t>At</w:t>
      </w:r>
      <w:r w:rsidR="004513AF" w:rsidRPr="008F5857">
        <w:rPr>
          <w:rFonts w:ascii="Book Antiqua" w:hAnsi="Book Antiqua" w:cs="Calibri"/>
        </w:rPr>
        <w:t xml:space="preserve"> the material time from August 2015 of the Respondent’s decision there was public IDIs entitled </w:t>
      </w:r>
      <w:r w:rsidR="00973373">
        <w:rPr>
          <w:rFonts w:ascii="Book Antiqua" w:hAnsi="Book Antiqua" w:cs="Calibri"/>
        </w:rPr>
        <w:t>‘</w:t>
      </w:r>
      <w:r w:rsidR="004513AF" w:rsidRPr="008F5857">
        <w:rPr>
          <w:rFonts w:ascii="Book Antiqua" w:hAnsi="Book Antiqua" w:cs="Calibri"/>
        </w:rPr>
        <w:t>family life and private life: ten year routes</w:t>
      </w:r>
      <w:r w:rsidR="00973373">
        <w:rPr>
          <w:rFonts w:ascii="Book Antiqua" w:hAnsi="Book Antiqua" w:cs="Calibri"/>
        </w:rPr>
        <w:t>’</w:t>
      </w:r>
      <w:r w:rsidR="004513AF" w:rsidRPr="008F5857">
        <w:rPr>
          <w:rFonts w:ascii="Book Antiqua" w:hAnsi="Book Antiqua" w:cs="Calibri"/>
        </w:rPr>
        <w:t xml:space="preserve">, in which it expressly stated that once the seven years’ residence requirement is satisfied there need to be strong reasons for refusing leave.  I was provided by the February 2018 version which I was told was in substantially the same terms.  It </w:t>
      </w:r>
      <w:r w:rsidR="00023100">
        <w:rPr>
          <w:rFonts w:ascii="Book Antiqua" w:hAnsi="Book Antiqua" w:cs="Calibri"/>
        </w:rPr>
        <w:t>would</w:t>
      </w:r>
      <w:r w:rsidR="004513AF" w:rsidRPr="008F5857">
        <w:rPr>
          <w:rFonts w:ascii="Book Antiqua" w:hAnsi="Book Antiqua" w:cs="Calibri"/>
        </w:rPr>
        <w:t xml:space="preserve"> be somewhat surprising if it were not bearing in mind the provisions of Section 117B</w:t>
      </w:r>
      <w:r w:rsidR="00BC218B">
        <w:rPr>
          <w:rFonts w:ascii="Book Antiqua" w:hAnsi="Book Antiqua" w:cs="Calibri"/>
        </w:rPr>
        <w:t>(6)</w:t>
      </w:r>
      <w:r w:rsidR="004513AF" w:rsidRPr="008F5857">
        <w:rPr>
          <w:rFonts w:ascii="Book Antiqua" w:hAnsi="Book Antiqua" w:cs="Calibri"/>
        </w:rPr>
        <w:t xml:space="preserve"> in IAA 2002 as amended.  </w:t>
      </w:r>
    </w:p>
    <w:p w14:paraId="47417C6F" w14:textId="77777777" w:rsidR="004513AF" w:rsidRPr="008F5857" w:rsidRDefault="004513AF" w:rsidP="00D82BC2">
      <w:pPr>
        <w:tabs>
          <w:tab w:val="left" w:pos="567"/>
        </w:tabs>
        <w:spacing w:line="360" w:lineRule="auto"/>
        <w:ind w:left="567" w:hanging="567"/>
        <w:jc w:val="both"/>
        <w:rPr>
          <w:rFonts w:ascii="Book Antiqua" w:hAnsi="Book Antiqua" w:cs="Calibri"/>
        </w:rPr>
      </w:pPr>
    </w:p>
    <w:p w14:paraId="364F78CE" w14:textId="77777777" w:rsidR="004B72B9" w:rsidRDefault="003E5FE3" w:rsidP="00D82BC2">
      <w:pPr>
        <w:tabs>
          <w:tab w:val="left" w:pos="567"/>
        </w:tabs>
        <w:spacing w:line="360" w:lineRule="auto"/>
        <w:ind w:left="567" w:hanging="567"/>
        <w:jc w:val="both"/>
        <w:rPr>
          <w:rFonts w:ascii="Book Antiqua" w:hAnsi="Book Antiqua" w:cs="Calibri"/>
        </w:rPr>
      </w:pPr>
      <w:r>
        <w:rPr>
          <w:rFonts w:ascii="Book Antiqua" w:hAnsi="Book Antiqua" w:cs="Calibri"/>
        </w:rPr>
        <w:t>8</w:t>
      </w:r>
      <w:r w:rsidR="004513AF" w:rsidRPr="008F5857">
        <w:rPr>
          <w:rFonts w:ascii="Book Antiqua" w:hAnsi="Book Antiqua" w:cs="Calibri"/>
        </w:rPr>
        <w:t>.</w:t>
      </w:r>
      <w:r w:rsidR="004513AF" w:rsidRPr="008F5857">
        <w:rPr>
          <w:rFonts w:ascii="Book Antiqua" w:hAnsi="Book Antiqua" w:cs="Calibri"/>
        </w:rPr>
        <w:tab/>
        <w:t>That guidance illustrate</w:t>
      </w:r>
      <w:r w:rsidR="00BC218B">
        <w:rPr>
          <w:rFonts w:ascii="Book Antiqua" w:hAnsi="Book Antiqua" w:cs="Calibri"/>
        </w:rPr>
        <w:t>d</w:t>
      </w:r>
      <w:r w:rsidR="004513AF" w:rsidRPr="008F5857">
        <w:rPr>
          <w:rFonts w:ascii="Book Antiqua" w:hAnsi="Book Antiqua" w:cs="Calibri"/>
        </w:rPr>
        <w:t xml:space="preserve"> a number of considerations that might bear on the question of whether it is reasonable to expect the child to leave the </w:t>
      </w:r>
      <w:smartTag w:uri="urn:schemas-microsoft-com:office:smarttags" w:element="country-region">
        <w:smartTag w:uri="urn:schemas-microsoft-com:office:smarttags" w:element="place">
          <w:r w:rsidR="004513AF" w:rsidRPr="008F5857">
            <w:rPr>
              <w:rFonts w:ascii="Book Antiqua" w:hAnsi="Book Antiqua" w:cs="Calibri"/>
            </w:rPr>
            <w:t>United Kingdom</w:t>
          </w:r>
        </w:smartTag>
      </w:smartTag>
      <w:r w:rsidR="004513AF" w:rsidRPr="008F5857">
        <w:rPr>
          <w:rFonts w:ascii="Book Antiqua" w:hAnsi="Book Antiqua" w:cs="Calibri"/>
        </w:rPr>
        <w:t>.  I have regard to them quite simply because it provide</w:t>
      </w:r>
      <w:r w:rsidR="00BC218B">
        <w:rPr>
          <w:rFonts w:ascii="Book Antiqua" w:hAnsi="Book Antiqua" w:cs="Calibri"/>
        </w:rPr>
        <w:t>d</w:t>
      </w:r>
      <w:r w:rsidR="004513AF" w:rsidRPr="008F5857">
        <w:rPr>
          <w:rFonts w:ascii="Book Antiqua" w:hAnsi="Book Antiqua" w:cs="Calibri"/>
        </w:rPr>
        <w:t xml:space="preserve"> the number of current considerations which would bear both on Article 8, ECHR but also the applicability of the considerations which I have to take into account.  Amongst those are whether the child would be leaving the UK with their parents</w:t>
      </w:r>
      <w:r w:rsidR="00023100">
        <w:rPr>
          <w:rFonts w:ascii="Book Antiqua" w:hAnsi="Book Antiqua" w:cs="Calibri"/>
        </w:rPr>
        <w:t>; t</w:t>
      </w:r>
      <w:r w:rsidR="004513AF" w:rsidRPr="008F5857">
        <w:rPr>
          <w:rFonts w:ascii="Book Antiqua" w:hAnsi="Book Antiqua" w:cs="Calibri"/>
        </w:rPr>
        <w:t xml:space="preserve">he extent of wider family ties in the </w:t>
      </w:r>
      <w:r w:rsidR="00023100">
        <w:rPr>
          <w:rFonts w:ascii="Book Antiqua" w:hAnsi="Book Antiqua" w:cs="Calibri"/>
        </w:rPr>
        <w:t xml:space="preserve">UK; </w:t>
      </w:r>
      <w:r w:rsidR="004513AF" w:rsidRPr="008F5857">
        <w:rPr>
          <w:rFonts w:ascii="Book Antiqua" w:hAnsi="Book Antiqua" w:cs="Calibri"/>
        </w:rPr>
        <w:t>whether the child is likely to integrate readily into life in another country</w:t>
      </w:r>
      <w:r w:rsidR="00023100">
        <w:rPr>
          <w:rFonts w:ascii="Book Antiqua" w:hAnsi="Book Antiqua" w:cs="Calibri"/>
        </w:rPr>
        <w:t xml:space="preserve">; </w:t>
      </w:r>
      <w:r w:rsidR="004513AF" w:rsidRPr="008F5857">
        <w:rPr>
          <w:rFonts w:ascii="Book Antiqua" w:hAnsi="Book Antiqua" w:cs="Calibri"/>
        </w:rPr>
        <w:t>whether the child or parents have visited or lived in the country before, whether there are family and social ties with that country, Nigeria</w:t>
      </w:r>
      <w:r w:rsidR="00023100">
        <w:rPr>
          <w:rFonts w:ascii="Book Antiqua" w:hAnsi="Book Antiqua" w:cs="Calibri"/>
        </w:rPr>
        <w:t>;</w:t>
      </w:r>
      <w:r w:rsidR="004513AF" w:rsidRPr="008F5857">
        <w:rPr>
          <w:rFonts w:ascii="Book Antiqua" w:hAnsi="Book Antiqua" w:cs="Calibri"/>
        </w:rPr>
        <w:t xml:space="preserve"> whether their parents and child have cultural ties</w:t>
      </w:r>
      <w:r w:rsidR="00023100">
        <w:rPr>
          <w:rFonts w:ascii="Book Antiqua" w:hAnsi="Book Antiqua" w:cs="Calibri"/>
        </w:rPr>
        <w:t>;</w:t>
      </w:r>
      <w:r w:rsidR="004513AF" w:rsidRPr="008F5857">
        <w:rPr>
          <w:rFonts w:ascii="Book Antiqua" w:hAnsi="Book Antiqua" w:cs="Calibri"/>
        </w:rPr>
        <w:t xml:space="preserve"> a level of understanding of cultural norms, time spent in diaspora in the UK giving awareness of the cultures of Nigeria and whether the parents and children can speak, read or write in a language of Nigeria, whether the child has attended school in Nigeria</w:t>
      </w:r>
      <w:r w:rsidR="004B72B9">
        <w:rPr>
          <w:rFonts w:ascii="Book Antiqua" w:hAnsi="Book Antiqua" w:cs="Calibri"/>
        </w:rPr>
        <w:t>.</w:t>
      </w:r>
    </w:p>
    <w:p w14:paraId="21DA3F72" w14:textId="77777777" w:rsidR="004B72B9" w:rsidRDefault="004B72B9" w:rsidP="00D82BC2">
      <w:pPr>
        <w:tabs>
          <w:tab w:val="left" w:pos="567"/>
        </w:tabs>
        <w:spacing w:line="360" w:lineRule="auto"/>
        <w:ind w:left="567" w:hanging="567"/>
        <w:jc w:val="both"/>
        <w:rPr>
          <w:rFonts w:ascii="Book Antiqua" w:hAnsi="Book Antiqua" w:cs="Calibri"/>
        </w:rPr>
      </w:pPr>
    </w:p>
    <w:p w14:paraId="4CC0AC44" w14:textId="77777777" w:rsidR="004B72B9" w:rsidRDefault="003E5FE3" w:rsidP="00D82BC2">
      <w:pPr>
        <w:tabs>
          <w:tab w:val="left" w:pos="567"/>
        </w:tabs>
        <w:spacing w:line="360" w:lineRule="auto"/>
        <w:ind w:left="567" w:hanging="567"/>
        <w:jc w:val="both"/>
        <w:rPr>
          <w:rFonts w:ascii="Book Antiqua" w:hAnsi="Book Antiqua" w:cs="Calibri"/>
        </w:rPr>
      </w:pPr>
      <w:r>
        <w:rPr>
          <w:rFonts w:ascii="Book Antiqua" w:hAnsi="Book Antiqua" w:cs="Calibri"/>
        </w:rPr>
        <w:lastRenderedPageBreak/>
        <w:t>9</w:t>
      </w:r>
      <w:r w:rsidR="004B72B9">
        <w:rPr>
          <w:rFonts w:ascii="Book Antiqua" w:hAnsi="Book Antiqua" w:cs="Calibri"/>
        </w:rPr>
        <w:t>.</w:t>
      </w:r>
      <w:r w:rsidR="004B72B9">
        <w:rPr>
          <w:rFonts w:ascii="Book Antiqua" w:hAnsi="Book Antiqua" w:cs="Calibri"/>
        </w:rPr>
        <w:tab/>
        <w:t>T</w:t>
      </w:r>
      <w:r w:rsidR="004513AF" w:rsidRPr="008F5857">
        <w:rPr>
          <w:rFonts w:ascii="Book Antiqua" w:hAnsi="Book Antiqua" w:cs="Calibri"/>
        </w:rPr>
        <w:t>he guidance notes that a requirement that a non-British citizen child has lived in the UK for a continuous period of at least seven years immediately preceding the date of application recognises that over time children have started to put roots down to integrate into life in the UK, to that extent it may be unreasonable to require the child to leave.  Significant weight will be given to such period of continuous residence the longer the child has resided in the UK and the older the child the more the balance will begin to shift towards it being unreasonable to expect the child to leave the UK and strong reasons will re</w:t>
      </w:r>
      <w:r w:rsidR="004B72B9">
        <w:rPr>
          <w:rFonts w:ascii="Book Antiqua" w:hAnsi="Book Antiqua" w:cs="Calibri"/>
        </w:rPr>
        <w:t>quire to justify that outcome.</w:t>
      </w:r>
    </w:p>
    <w:p w14:paraId="169D7ADB" w14:textId="77777777" w:rsidR="004B72B9" w:rsidRDefault="004B72B9" w:rsidP="00D82BC2">
      <w:pPr>
        <w:tabs>
          <w:tab w:val="left" w:pos="567"/>
        </w:tabs>
        <w:spacing w:line="360" w:lineRule="auto"/>
        <w:ind w:left="567" w:hanging="567"/>
        <w:jc w:val="both"/>
        <w:rPr>
          <w:rFonts w:ascii="Book Antiqua" w:hAnsi="Book Antiqua" w:cs="Calibri"/>
        </w:rPr>
      </w:pPr>
    </w:p>
    <w:p w14:paraId="327EE858" w14:textId="77777777" w:rsidR="004513AF" w:rsidRPr="008F5857" w:rsidRDefault="003E5FE3" w:rsidP="00D82BC2">
      <w:pPr>
        <w:tabs>
          <w:tab w:val="left" w:pos="567"/>
        </w:tabs>
        <w:spacing w:line="360" w:lineRule="auto"/>
        <w:ind w:left="567" w:hanging="567"/>
        <w:jc w:val="both"/>
        <w:rPr>
          <w:rFonts w:ascii="Book Antiqua" w:hAnsi="Book Antiqua" w:cs="Calibri"/>
        </w:rPr>
      </w:pPr>
      <w:r>
        <w:rPr>
          <w:rFonts w:ascii="Book Antiqua" w:hAnsi="Book Antiqua" w:cs="Calibri"/>
        </w:rPr>
        <w:t>10</w:t>
      </w:r>
      <w:r w:rsidR="004B72B9">
        <w:rPr>
          <w:rFonts w:ascii="Book Antiqua" w:hAnsi="Book Antiqua" w:cs="Calibri"/>
        </w:rPr>
        <w:t>.</w:t>
      </w:r>
      <w:r w:rsidR="004B72B9">
        <w:rPr>
          <w:rFonts w:ascii="Book Antiqua" w:hAnsi="Book Antiqua" w:cs="Calibri"/>
        </w:rPr>
        <w:tab/>
      </w:r>
      <w:r w:rsidR="004513AF" w:rsidRPr="008F5857">
        <w:rPr>
          <w:rFonts w:ascii="Book Antiqua" w:hAnsi="Book Antiqua" w:cs="Calibri"/>
        </w:rPr>
        <w:t xml:space="preserve">In this case </w:t>
      </w:r>
      <w:r w:rsidR="004B72B9">
        <w:rPr>
          <w:rFonts w:ascii="Book Antiqua" w:hAnsi="Book Antiqua" w:cs="Calibri"/>
        </w:rPr>
        <w:t>the Respondent</w:t>
      </w:r>
      <w:r w:rsidR="004513AF" w:rsidRPr="008F5857">
        <w:rPr>
          <w:rFonts w:ascii="Book Antiqua" w:hAnsi="Book Antiqua" w:cs="Calibri"/>
        </w:rPr>
        <w:t xml:space="preserve"> principally relied upon is the first Appellant’s immigration history.  She entered </w:t>
      </w:r>
      <w:r w:rsidR="004B72B9">
        <w:rPr>
          <w:rFonts w:ascii="Book Antiqua" w:hAnsi="Book Antiqua" w:cs="Calibri"/>
        </w:rPr>
        <w:t>on</w:t>
      </w:r>
      <w:r w:rsidR="004513AF" w:rsidRPr="008F5857">
        <w:rPr>
          <w:rFonts w:ascii="Book Antiqua" w:hAnsi="Book Antiqua" w:cs="Calibri"/>
        </w:rPr>
        <w:t xml:space="preserve"> a visit visa and simply overstayed.  In addition the Secretary of State’s view </w:t>
      </w:r>
      <w:r w:rsidR="004B72B9">
        <w:rPr>
          <w:rFonts w:ascii="Book Antiqua" w:hAnsi="Book Antiqua" w:cs="Calibri"/>
        </w:rPr>
        <w:t>wa</w:t>
      </w:r>
      <w:r w:rsidR="004513AF" w:rsidRPr="008F5857">
        <w:rPr>
          <w:rFonts w:ascii="Book Antiqua" w:hAnsi="Book Antiqua" w:cs="Calibri"/>
        </w:rPr>
        <w:t xml:space="preserve">s that quite simply all rights can be exercised in </w:t>
      </w:r>
      <w:smartTag w:uri="urn:schemas-microsoft-com:office:smarttags" w:element="country-region">
        <w:r w:rsidR="004513AF" w:rsidRPr="008F5857">
          <w:rPr>
            <w:rFonts w:ascii="Book Antiqua" w:hAnsi="Book Antiqua" w:cs="Calibri"/>
          </w:rPr>
          <w:t>Nigeria</w:t>
        </w:r>
      </w:smartTag>
      <w:r w:rsidR="004513AF" w:rsidRPr="008F5857">
        <w:rPr>
          <w:rFonts w:ascii="Book Antiqua" w:hAnsi="Book Antiqua" w:cs="Calibri"/>
        </w:rPr>
        <w:t xml:space="preserve">, the Appellants as a family unit can return and make a life for themselves in </w:t>
      </w:r>
      <w:smartTag w:uri="urn:schemas-microsoft-com:office:smarttags" w:element="country-region">
        <w:smartTag w:uri="urn:schemas-microsoft-com:office:smarttags" w:element="place">
          <w:r w:rsidR="004513AF" w:rsidRPr="008F5857">
            <w:rPr>
              <w:rFonts w:ascii="Book Antiqua" w:hAnsi="Book Antiqua" w:cs="Calibri"/>
            </w:rPr>
            <w:t>Nigeria</w:t>
          </w:r>
        </w:smartTag>
      </w:smartTag>
      <w:r w:rsidR="004513AF" w:rsidRPr="008F5857">
        <w:rPr>
          <w:rFonts w:ascii="Book Antiqua" w:hAnsi="Book Antiqua" w:cs="Calibri"/>
        </w:rPr>
        <w:t xml:space="preserve">.  In considering this matter I apply the case law of </w:t>
      </w:r>
      <w:proofErr w:type="spellStart"/>
      <w:r w:rsidR="004513AF" w:rsidRPr="00FB3332">
        <w:rPr>
          <w:rFonts w:ascii="Book Antiqua" w:hAnsi="Book Antiqua" w:cs="Calibri"/>
          <w:i/>
        </w:rPr>
        <w:t>Agyarko</w:t>
      </w:r>
      <w:proofErr w:type="spellEnd"/>
      <w:r w:rsidR="004513AF" w:rsidRPr="008F5857">
        <w:rPr>
          <w:rFonts w:ascii="Book Antiqua" w:hAnsi="Book Antiqua" w:cs="Calibri"/>
        </w:rPr>
        <w:t xml:space="preserve"> [2017] UKSC 11, </w:t>
      </w:r>
      <w:r w:rsidR="004513AF" w:rsidRPr="00FB3332">
        <w:rPr>
          <w:rFonts w:ascii="Book Antiqua" w:hAnsi="Book Antiqua" w:cs="Calibri"/>
          <w:i/>
        </w:rPr>
        <w:t>MA Pakistan</w:t>
      </w:r>
      <w:r w:rsidR="004513AF" w:rsidRPr="008F5857">
        <w:rPr>
          <w:rFonts w:ascii="Book Antiqua" w:hAnsi="Book Antiqua" w:cs="Calibri"/>
        </w:rPr>
        <w:t xml:space="preserve"> [2016] EWCA </w:t>
      </w:r>
      <w:proofErr w:type="spellStart"/>
      <w:r w:rsidR="004513AF" w:rsidRPr="008F5857">
        <w:rPr>
          <w:rFonts w:ascii="Book Antiqua" w:hAnsi="Book Antiqua" w:cs="Calibri"/>
        </w:rPr>
        <w:t>Civ</w:t>
      </w:r>
      <w:proofErr w:type="spellEnd"/>
      <w:r w:rsidR="004513AF" w:rsidRPr="008F5857">
        <w:rPr>
          <w:rFonts w:ascii="Book Antiqua" w:hAnsi="Book Antiqua" w:cs="Calibri"/>
        </w:rPr>
        <w:t xml:space="preserve"> 2705 and </w:t>
      </w:r>
      <w:r w:rsidR="004513AF" w:rsidRPr="00FB3332">
        <w:rPr>
          <w:rFonts w:ascii="Book Antiqua" w:hAnsi="Book Antiqua" w:cs="Calibri"/>
          <w:i/>
        </w:rPr>
        <w:t>AM Pakistan</w:t>
      </w:r>
      <w:r w:rsidR="004513AF" w:rsidRPr="008F5857">
        <w:rPr>
          <w:rFonts w:ascii="Book Antiqua" w:hAnsi="Book Antiqua" w:cs="Calibri"/>
        </w:rPr>
        <w:t xml:space="preserve"> [2017] EWCA </w:t>
      </w:r>
      <w:proofErr w:type="spellStart"/>
      <w:r w:rsidR="004513AF" w:rsidRPr="008F5857">
        <w:rPr>
          <w:rFonts w:ascii="Book Antiqua" w:hAnsi="Book Antiqua" w:cs="Calibri"/>
        </w:rPr>
        <w:t>Civ</w:t>
      </w:r>
      <w:proofErr w:type="spellEnd"/>
      <w:r w:rsidR="004513AF" w:rsidRPr="008F5857">
        <w:rPr>
          <w:rFonts w:ascii="Book Antiqua" w:hAnsi="Book Antiqua" w:cs="Calibri"/>
        </w:rPr>
        <w:t xml:space="preserve"> 180 and </w:t>
      </w:r>
      <w:r w:rsidR="004513AF" w:rsidRPr="00FB3332">
        <w:rPr>
          <w:rFonts w:ascii="Book Antiqua" w:hAnsi="Book Antiqua" w:cs="Calibri"/>
          <w:i/>
        </w:rPr>
        <w:t>MT and ET</w:t>
      </w:r>
      <w:r w:rsidR="004513AF" w:rsidRPr="008F5857">
        <w:rPr>
          <w:rFonts w:ascii="Book Antiqua" w:hAnsi="Book Antiqua" w:cs="Calibri"/>
        </w:rPr>
        <w:t xml:space="preserve"> [2018] UKUT 190.  </w:t>
      </w:r>
    </w:p>
    <w:p w14:paraId="49A44811" w14:textId="77777777" w:rsidR="004513AF" w:rsidRPr="008F5857" w:rsidRDefault="004513AF" w:rsidP="00D82BC2">
      <w:pPr>
        <w:tabs>
          <w:tab w:val="left" w:pos="567"/>
        </w:tabs>
        <w:spacing w:line="360" w:lineRule="auto"/>
        <w:ind w:left="567" w:hanging="567"/>
        <w:jc w:val="both"/>
        <w:rPr>
          <w:rFonts w:ascii="Book Antiqua" w:hAnsi="Book Antiqua" w:cs="Calibri"/>
        </w:rPr>
      </w:pPr>
    </w:p>
    <w:p w14:paraId="3E6D94AF" w14:textId="77777777" w:rsidR="004513AF" w:rsidRPr="008F5857" w:rsidRDefault="003E5FE3" w:rsidP="00D82BC2">
      <w:pPr>
        <w:tabs>
          <w:tab w:val="left" w:pos="567"/>
        </w:tabs>
        <w:spacing w:line="360" w:lineRule="auto"/>
        <w:ind w:left="567" w:hanging="567"/>
        <w:jc w:val="both"/>
        <w:rPr>
          <w:rFonts w:ascii="Book Antiqua" w:hAnsi="Book Antiqua" w:cs="Calibri"/>
        </w:rPr>
      </w:pPr>
      <w:r>
        <w:rPr>
          <w:rFonts w:ascii="Book Antiqua" w:hAnsi="Book Antiqua" w:cs="Calibri"/>
        </w:rPr>
        <w:t>11</w:t>
      </w:r>
      <w:r w:rsidR="004513AF" w:rsidRPr="008F5857">
        <w:rPr>
          <w:rFonts w:ascii="Book Antiqua" w:hAnsi="Book Antiqua" w:cs="Calibri"/>
        </w:rPr>
        <w:t>.</w:t>
      </w:r>
      <w:r w:rsidR="004513AF" w:rsidRPr="008F5857">
        <w:rPr>
          <w:rFonts w:ascii="Book Antiqua" w:hAnsi="Book Antiqua" w:cs="Calibri"/>
        </w:rPr>
        <w:tab/>
        <w:t xml:space="preserve">The Respondent produced a bundle of various cases ranging over 2015 and earlier and particularly referring to </w:t>
      </w:r>
      <w:r w:rsidR="004513AF" w:rsidRPr="00FB3332">
        <w:rPr>
          <w:rFonts w:ascii="Book Antiqua" w:hAnsi="Book Antiqua" w:cs="Calibri"/>
          <w:i/>
        </w:rPr>
        <w:t>Kaur</w:t>
      </w:r>
      <w:r w:rsidR="004513AF" w:rsidRPr="008F5857">
        <w:rPr>
          <w:rFonts w:ascii="Book Antiqua" w:hAnsi="Book Antiqua" w:cs="Calibri"/>
        </w:rPr>
        <w:t xml:space="preserve"> [2017] UKUT 0014.  I necessarily take into account in the light of </w:t>
      </w:r>
      <w:r w:rsidR="004513AF" w:rsidRPr="00FB3332">
        <w:rPr>
          <w:rFonts w:ascii="Book Antiqua" w:hAnsi="Book Antiqua" w:cs="Calibri"/>
          <w:i/>
        </w:rPr>
        <w:t>AM Pakistan</w:t>
      </w:r>
      <w:r w:rsidR="004513AF" w:rsidRPr="008F5857">
        <w:rPr>
          <w:rFonts w:ascii="Book Antiqua" w:hAnsi="Book Antiqua" w:cs="Calibri"/>
        </w:rPr>
        <w:t xml:space="preserve"> [2017] EWCA </w:t>
      </w:r>
      <w:proofErr w:type="spellStart"/>
      <w:r w:rsidR="004513AF" w:rsidRPr="008F5857">
        <w:rPr>
          <w:rFonts w:ascii="Book Antiqua" w:hAnsi="Book Antiqua" w:cs="Calibri"/>
        </w:rPr>
        <w:t>Civ</w:t>
      </w:r>
      <w:proofErr w:type="spellEnd"/>
      <w:r w:rsidR="004513AF" w:rsidRPr="008F5857">
        <w:rPr>
          <w:rFonts w:ascii="Book Antiqua" w:hAnsi="Book Antiqua" w:cs="Calibri"/>
        </w:rPr>
        <w:t xml:space="preserve"> 180 the conduct of the first Appellant’s immigration history and its relevance to the reasonableness of the second Appellant being required to leave the </w:t>
      </w:r>
      <w:smartTag w:uri="urn:schemas-microsoft-com:office:smarttags" w:element="country-region">
        <w:smartTag w:uri="urn:schemas-microsoft-com:office:smarttags" w:element="place">
          <w:r w:rsidR="004513AF" w:rsidRPr="008F5857">
            <w:rPr>
              <w:rFonts w:ascii="Book Antiqua" w:hAnsi="Book Antiqua" w:cs="Calibri"/>
            </w:rPr>
            <w:t>UK</w:t>
          </w:r>
        </w:smartTag>
      </w:smartTag>
      <w:r w:rsidR="004513AF" w:rsidRPr="008F5857">
        <w:rPr>
          <w:rFonts w:ascii="Book Antiqua" w:hAnsi="Book Antiqua" w:cs="Calibri"/>
        </w:rPr>
        <w:t xml:space="preserve">.  The case law has a number of threads running through it which are not entirely easy to analyse and reconcile.  I prefer the approach identified in </w:t>
      </w:r>
      <w:proofErr w:type="spellStart"/>
      <w:r w:rsidR="004513AF" w:rsidRPr="00FB3332">
        <w:rPr>
          <w:rFonts w:ascii="Book Antiqua" w:hAnsi="Book Antiqua" w:cs="Calibri"/>
          <w:i/>
        </w:rPr>
        <w:t>Agyarko</w:t>
      </w:r>
      <w:proofErr w:type="spellEnd"/>
      <w:r w:rsidR="004513AF" w:rsidRPr="008F5857">
        <w:rPr>
          <w:rFonts w:ascii="Book Antiqua" w:hAnsi="Book Antiqua" w:cs="Calibri"/>
        </w:rPr>
        <w:t xml:space="preserve"> and </w:t>
      </w:r>
      <w:r w:rsidR="004513AF" w:rsidRPr="00FB3332">
        <w:rPr>
          <w:rFonts w:ascii="Book Antiqua" w:hAnsi="Book Antiqua" w:cs="Calibri"/>
          <w:i/>
        </w:rPr>
        <w:t>MA Pakistan</w:t>
      </w:r>
      <w:r w:rsidR="004513AF" w:rsidRPr="008F5857">
        <w:rPr>
          <w:rFonts w:ascii="Book Antiqua" w:hAnsi="Book Antiqua" w:cs="Calibri"/>
        </w:rPr>
        <w:t xml:space="preserve">, together with </w:t>
      </w:r>
      <w:r w:rsidR="004513AF" w:rsidRPr="00FB3332">
        <w:rPr>
          <w:rFonts w:ascii="Book Antiqua" w:hAnsi="Book Antiqua" w:cs="Calibri"/>
          <w:i/>
        </w:rPr>
        <w:t>AM Pakistan</w:t>
      </w:r>
      <w:r w:rsidR="004513AF" w:rsidRPr="008F5857">
        <w:rPr>
          <w:rFonts w:ascii="Book Antiqua" w:hAnsi="Book Antiqua" w:cs="Calibri"/>
        </w:rPr>
        <w:t xml:space="preserve"> as showing that in the light of immigration history if it is unreasonable to expect the second Appellant to leave the United Kingdom then Section 117</w:t>
      </w:r>
      <w:proofErr w:type="gramStart"/>
      <w:r w:rsidR="004513AF" w:rsidRPr="008F5857">
        <w:rPr>
          <w:rFonts w:ascii="Book Antiqua" w:hAnsi="Book Antiqua" w:cs="Calibri"/>
        </w:rPr>
        <w:t>B(</w:t>
      </w:r>
      <w:proofErr w:type="gramEnd"/>
      <w:r w:rsidR="004513AF" w:rsidRPr="008F5857">
        <w:rPr>
          <w:rFonts w:ascii="Book Antiqua" w:hAnsi="Book Antiqua" w:cs="Calibri"/>
        </w:rPr>
        <w:t>6), NIAA 2002 is a self-contained provision</w:t>
      </w:r>
      <w:r w:rsidR="00BC218B">
        <w:rPr>
          <w:rFonts w:ascii="Book Antiqua" w:hAnsi="Book Antiqua" w:cs="Calibri"/>
        </w:rPr>
        <w:t>.  I</w:t>
      </w:r>
      <w:r w:rsidR="004513AF" w:rsidRPr="008F5857">
        <w:rPr>
          <w:rFonts w:ascii="Book Antiqua" w:hAnsi="Book Antiqua" w:cs="Calibri"/>
        </w:rPr>
        <w:t xml:space="preserve">f it is not reasonable for the second Appellant to leave then quite simply that is the end of the matter.  The public interests could not </w:t>
      </w:r>
      <w:r w:rsidR="00BC218B">
        <w:rPr>
          <w:rFonts w:ascii="Book Antiqua" w:hAnsi="Book Antiqua" w:cs="Calibri"/>
        </w:rPr>
        <w:t>require</w:t>
      </w:r>
      <w:r w:rsidR="004513AF" w:rsidRPr="008F5857">
        <w:rPr>
          <w:rFonts w:ascii="Book Antiqua" w:hAnsi="Book Antiqua" w:cs="Calibri"/>
        </w:rPr>
        <w:t xml:space="preserve"> removal and therefore the decision </w:t>
      </w:r>
      <w:r w:rsidR="00BC218B">
        <w:rPr>
          <w:rFonts w:ascii="Book Antiqua" w:hAnsi="Book Antiqua" w:cs="Calibri"/>
        </w:rPr>
        <w:t>w</w:t>
      </w:r>
      <w:r w:rsidR="004513AF" w:rsidRPr="008F5857">
        <w:rPr>
          <w:rFonts w:ascii="Book Antiqua" w:hAnsi="Book Antiqua" w:cs="Calibri"/>
        </w:rPr>
        <w:t xml:space="preserve">ould not be proportionate.  </w:t>
      </w:r>
    </w:p>
    <w:p w14:paraId="0CEDD59E" w14:textId="77777777" w:rsidR="004513AF" w:rsidRPr="008F5857" w:rsidRDefault="004513AF" w:rsidP="00D82BC2">
      <w:pPr>
        <w:tabs>
          <w:tab w:val="left" w:pos="567"/>
        </w:tabs>
        <w:spacing w:line="360" w:lineRule="auto"/>
        <w:ind w:left="567" w:hanging="567"/>
        <w:jc w:val="both"/>
        <w:rPr>
          <w:rFonts w:ascii="Book Antiqua" w:hAnsi="Book Antiqua" w:cs="Calibri"/>
        </w:rPr>
      </w:pPr>
    </w:p>
    <w:p w14:paraId="1B28D249" w14:textId="77777777" w:rsidR="00E717FA" w:rsidRDefault="003E5FE3" w:rsidP="00D82BC2">
      <w:pPr>
        <w:tabs>
          <w:tab w:val="left" w:pos="567"/>
        </w:tabs>
        <w:spacing w:line="360" w:lineRule="auto"/>
        <w:ind w:left="567" w:hanging="567"/>
        <w:jc w:val="both"/>
        <w:rPr>
          <w:rFonts w:ascii="Book Antiqua" w:hAnsi="Book Antiqua" w:cs="Calibri"/>
        </w:rPr>
      </w:pPr>
      <w:r>
        <w:rPr>
          <w:rFonts w:ascii="Book Antiqua" w:hAnsi="Book Antiqua" w:cs="Calibri"/>
        </w:rPr>
        <w:lastRenderedPageBreak/>
        <w:t>12</w:t>
      </w:r>
      <w:r w:rsidR="004513AF" w:rsidRPr="008F5857">
        <w:rPr>
          <w:rFonts w:ascii="Book Antiqua" w:hAnsi="Book Antiqua" w:cs="Calibri"/>
        </w:rPr>
        <w:t>.</w:t>
      </w:r>
      <w:r w:rsidR="004513AF" w:rsidRPr="008F5857">
        <w:rPr>
          <w:rFonts w:ascii="Book Antiqua" w:hAnsi="Book Antiqua" w:cs="Calibri"/>
        </w:rPr>
        <w:tab/>
        <w:t xml:space="preserve">In this case I find that the Appellants’ immigration history is poor, plainly deliberate and </w:t>
      </w:r>
      <w:r w:rsidR="00F336CF">
        <w:rPr>
          <w:rFonts w:ascii="Book Antiqua" w:hAnsi="Book Antiqua" w:cs="Calibri"/>
        </w:rPr>
        <w:t>s</w:t>
      </w:r>
      <w:r w:rsidR="004513AF" w:rsidRPr="008F5857">
        <w:rPr>
          <w:rFonts w:ascii="Book Antiqua" w:hAnsi="Book Antiqua" w:cs="Calibri"/>
        </w:rPr>
        <w:t xml:space="preserve">he has taken advantage of the </w:t>
      </w:r>
      <w:smartTag w:uri="urn:schemas-microsoft-com:office:smarttags" w:element="country-region">
        <w:smartTag w:uri="urn:schemas-microsoft-com:office:smarttags" w:element="place">
          <w:r w:rsidR="004513AF" w:rsidRPr="008F5857">
            <w:rPr>
              <w:rFonts w:ascii="Book Antiqua" w:hAnsi="Book Antiqua" w:cs="Calibri"/>
            </w:rPr>
            <w:t>UK</w:t>
          </w:r>
        </w:smartTag>
      </w:smartTag>
      <w:r w:rsidR="004513AF" w:rsidRPr="008F5857">
        <w:rPr>
          <w:rFonts w:ascii="Book Antiqua" w:hAnsi="Book Antiqua" w:cs="Calibri"/>
        </w:rPr>
        <w:t>’s services at least to the benefit of the second Appellant.  Set against that consideration to which I give significant weight is the stance of the published policy of the Secretary of State back at the time of decision and since</w:t>
      </w:r>
      <w:r w:rsidR="00F336CF">
        <w:rPr>
          <w:rFonts w:ascii="Book Antiqua" w:hAnsi="Book Antiqua" w:cs="Calibri"/>
        </w:rPr>
        <w:t>.  T</w:t>
      </w:r>
      <w:r w:rsidR="004513AF" w:rsidRPr="008F5857">
        <w:rPr>
          <w:rFonts w:ascii="Book Antiqua" w:hAnsi="Book Antiqua" w:cs="Calibri"/>
        </w:rPr>
        <w:t>he</w:t>
      </w:r>
      <w:r w:rsidR="00F336CF">
        <w:rPr>
          <w:rFonts w:ascii="Book Antiqua" w:hAnsi="Book Antiqua" w:cs="Calibri"/>
        </w:rPr>
        <w:t>re</w:t>
      </w:r>
      <w:r w:rsidR="004513AF" w:rsidRPr="008F5857">
        <w:rPr>
          <w:rFonts w:ascii="Book Antiqua" w:hAnsi="Book Antiqua" w:cs="Calibri"/>
        </w:rPr>
        <w:t xml:space="preserve"> need </w:t>
      </w:r>
      <w:r w:rsidR="00F336CF">
        <w:rPr>
          <w:rFonts w:ascii="Book Antiqua" w:hAnsi="Book Antiqua" w:cs="Calibri"/>
        </w:rPr>
        <w:t>to be</w:t>
      </w:r>
      <w:r w:rsidR="004513AF" w:rsidRPr="008F5857">
        <w:rPr>
          <w:rFonts w:ascii="Book Antiqua" w:hAnsi="Book Antiqua" w:cs="Calibri"/>
        </w:rPr>
        <w:t xml:space="preserve"> powerful reasons why the benefits intended </w:t>
      </w:r>
      <w:r w:rsidR="00F336CF">
        <w:rPr>
          <w:rFonts w:ascii="Book Antiqua" w:hAnsi="Book Antiqua" w:cs="Calibri"/>
        </w:rPr>
        <w:t>from</w:t>
      </w:r>
      <w:r w:rsidR="004513AF" w:rsidRPr="008F5857">
        <w:rPr>
          <w:rFonts w:ascii="Book Antiqua" w:hAnsi="Book Antiqua" w:cs="Calibri"/>
        </w:rPr>
        <w:t xml:space="preserve"> achieving seven continuous years or more are a recognition of just how disruptive it could be for a teenager to be uprooted to a place where not only he does not speak the language, read it or write it but would be removed from all that he has effectively known in terms of his childhood and its development and his roots.  After such a period of time nearly some twelve years it seem</w:t>
      </w:r>
      <w:r w:rsidR="00F336CF">
        <w:rPr>
          <w:rFonts w:ascii="Book Antiqua" w:hAnsi="Book Antiqua" w:cs="Calibri"/>
        </w:rPr>
        <w:t>ed</w:t>
      </w:r>
      <w:r w:rsidR="004513AF" w:rsidRPr="008F5857">
        <w:rPr>
          <w:rFonts w:ascii="Book Antiqua" w:hAnsi="Book Antiqua" w:cs="Calibri"/>
        </w:rPr>
        <w:t xml:space="preserve"> to me that the impact of removal </w:t>
      </w:r>
      <w:r w:rsidR="00F336CF">
        <w:rPr>
          <w:rFonts w:ascii="Book Antiqua" w:hAnsi="Book Antiqua" w:cs="Calibri"/>
        </w:rPr>
        <w:t>wa</w:t>
      </w:r>
      <w:r w:rsidR="004513AF" w:rsidRPr="008F5857">
        <w:rPr>
          <w:rFonts w:ascii="Book Antiqua" w:hAnsi="Book Antiqua" w:cs="Calibri"/>
        </w:rPr>
        <w:t>s not reasonable in terms of its effect upon him</w:t>
      </w:r>
      <w:r w:rsidR="00F336CF">
        <w:rPr>
          <w:rFonts w:ascii="Book Antiqua" w:hAnsi="Book Antiqua" w:cs="Calibri"/>
        </w:rPr>
        <w:t xml:space="preserve">.  </w:t>
      </w:r>
      <w:r w:rsidR="00BC218B">
        <w:rPr>
          <w:rFonts w:ascii="Book Antiqua" w:hAnsi="Book Antiqua" w:cs="Calibri"/>
        </w:rPr>
        <w:t>T</w:t>
      </w:r>
      <w:r w:rsidR="004513AF" w:rsidRPr="008F5857">
        <w:rPr>
          <w:rFonts w:ascii="Book Antiqua" w:hAnsi="Book Antiqua" w:cs="Calibri"/>
        </w:rPr>
        <w:t xml:space="preserve">he child’s best interests lie in remaining in the </w:t>
      </w:r>
      <w:smartTag w:uri="urn:schemas-microsoft-com:office:smarttags" w:element="country-region">
        <w:r w:rsidR="004513AF" w:rsidRPr="008F5857">
          <w:rPr>
            <w:rFonts w:ascii="Book Antiqua" w:hAnsi="Book Antiqua" w:cs="Calibri"/>
          </w:rPr>
          <w:t>United Kingdom</w:t>
        </w:r>
      </w:smartTag>
      <w:r w:rsidR="004513AF" w:rsidRPr="008F5857">
        <w:rPr>
          <w:rFonts w:ascii="Book Antiqua" w:hAnsi="Book Antiqua" w:cs="Calibri"/>
        </w:rPr>
        <w:t xml:space="preserve">, </w:t>
      </w:r>
      <w:r w:rsidR="00BC218B">
        <w:rPr>
          <w:rFonts w:ascii="Book Antiqua" w:hAnsi="Book Antiqua" w:cs="Calibri"/>
        </w:rPr>
        <w:t>but</w:t>
      </w:r>
      <w:r w:rsidR="004513AF" w:rsidRPr="008F5857">
        <w:rPr>
          <w:rFonts w:ascii="Book Antiqua" w:hAnsi="Book Antiqua" w:cs="Calibri"/>
        </w:rPr>
        <w:t xml:space="preserve"> putting that to one side as a primary consideration</w:t>
      </w:r>
      <w:r w:rsidR="00BC218B">
        <w:rPr>
          <w:rFonts w:ascii="Book Antiqua" w:hAnsi="Book Antiqua" w:cs="Calibri"/>
        </w:rPr>
        <w:t>,</w:t>
      </w:r>
      <w:r w:rsidR="004513AF" w:rsidRPr="008F5857">
        <w:rPr>
          <w:rFonts w:ascii="Book Antiqua" w:hAnsi="Book Antiqua" w:cs="Calibri"/>
        </w:rPr>
        <w:t xml:space="preserve"> focusing on the reasonableness test alone</w:t>
      </w:r>
      <w:r w:rsidR="003905B2">
        <w:rPr>
          <w:rFonts w:ascii="Book Antiqua" w:hAnsi="Book Antiqua" w:cs="Calibri"/>
        </w:rPr>
        <w:t xml:space="preserve">, </w:t>
      </w:r>
      <w:r w:rsidR="004513AF" w:rsidRPr="008F5857">
        <w:rPr>
          <w:rFonts w:ascii="Book Antiqua" w:hAnsi="Book Antiqua" w:cs="Calibri"/>
        </w:rPr>
        <w:t xml:space="preserve">I conclude that it is not reasonable for the second Appellant to be expected to leave the </w:t>
      </w:r>
      <w:smartTag w:uri="urn:schemas-microsoft-com:office:smarttags" w:element="country-region">
        <w:smartTag w:uri="urn:schemas-microsoft-com:office:smarttags" w:element="place">
          <w:r w:rsidR="004513AF" w:rsidRPr="008F5857">
            <w:rPr>
              <w:rFonts w:ascii="Book Antiqua" w:hAnsi="Book Antiqua" w:cs="Calibri"/>
            </w:rPr>
            <w:t>United Kingdom</w:t>
          </w:r>
        </w:smartTag>
      </w:smartTag>
      <w:r w:rsidR="004513AF" w:rsidRPr="008F5857">
        <w:rPr>
          <w:rFonts w:ascii="Book Antiqua" w:hAnsi="Book Antiqua" w:cs="Calibri"/>
        </w:rPr>
        <w:t xml:space="preserve">.  </w:t>
      </w:r>
      <w:r w:rsidR="00E717FA">
        <w:rPr>
          <w:rFonts w:ascii="Book Antiqua" w:hAnsi="Book Antiqua" w:cs="Calibri"/>
        </w:rPr>
        <w:t>I find</w:t>
      </w:r>
      <w:r w:rsidR="004513AF" w:rsidRPr="008F5857">
        <w:rPr>
          <w:rFonts w:ascii="Book Antiqua" w:hAnsi="Book Antiqua" w:cs="Calibri"/>
        </w:rPr>
        <w:t xml:space="preserve"> this is a fact specific decision driven by the circumstances of the second Appellant in particular but not exclusively and that the poor immigration history of the Appellant is not something </w:t>
      </w:r>
      <w:r w:rsidR="00E717FA">
        <w:rPr>
          <w:rFonts w:ascii="Book Antiqua" w:hAnsi="Book Antiqua" w:cs="Calibri"/>
        </w:rPr>
        <w:t>in</w:t>
      </w:r>
      <w:r w:rsidR="004513AF" w:rsidRPr="008F5857">
        <w:rPr>
          <w:rFonts w:ascii="Book Antiqua" w:hAnsi="Book Antiqua" w:cs="Calibri"/>
        </w:rPr>
        <w:t xml:space="preserve"> which the second Appel</w:t>
      </w:r>
      <w:r w:rsidR="00E717FA">
        <w:rPr>
          <w:rFonts w:ascii="Book Antiqua" w:hAnsi="Book Antiqua" w:cs="Calibri"/>
        </w:rPr>
        <w:t>lant has had any part to play.</w:t>
      </w:r>
    </w:p>
    <w:p w14:paraId="081803BA" w14:textId="77777777" w:rsidR="00E717FA" w:rsidRDefault="00E717FA" w:rsidP="00D82BC2">
      <w:pPr>
        <w:tabs>
          <w:tab w:val="left" w:pos="567"/>
        </w:tabs>
        <w:spacing w:line="360" w:lineRule="auto"/>
        <w:ind w:left="567" w:hanging="567"/>
        <w:jc w:val="both"/>
        <w:rPr>
          <w:rFonts w:ascii="Book Antiqua" w:hAnsi="Book Antiqua" w:cs="Calibri"/>
        </w:rPr>
      </w:pPr>
    </w:p>
    <w:p w14:paraId="1C53BBCE" w14:textId="77777777" w:rsidR="00E717FA" w:rsidRDefault="003E5FE3" w:rsidP="00D82BC2">
      <w:pPr>
        <w:tabs>
          <w:tab w:val="left" w:pos="567"/>
        </w:tabs>
        <w:spacing w:line="360" w:lineRule="auto"/>
        <w:ind w:left="567" w:hanging="567"/>
        <w:jc w:val="both"/>
        <w:rPr>
          <w:rFonts w:ascii="Book Antiqua" w:hAnsi="Book Antiqua" w:cs="Calibri"/>
        </w:rPr>
      </w:pPr>
      <w:r>
        <w:rPr>
          <w:rFonts w:ascii="Book Antiqua" w:hAnsi="Book Antiqua" w:cs="Calibri"/>
        </w:rPr>
        <w:t>13</w:t>
      </w:r>
      <w:r w:rsidR="00E717FA">
        <w:rPr>
          <w:rFonts w:ascii="Book Antiqua" w:hAnsi="Book Antiqua" w:cs="Calibri"/>
        </w:rPr>
        <w:t>.</w:t>
      </w:r>
      <w:r w:rsidR="00E717FA">
        <w:rPr>
          <w:rFonts w:ascii="Book Antiqua" w:hAnsi="Book Antiqua" w:cs="Calibri"/>
        </w:rPr>
        <w:tab/>
      </w:r>
      <w:r w:rsidR="004513AF" w:rsidRPr="008F5857">
        <w:rPr>
          <w:rFonts w:ascii="Book Antiqua" w:hAnsi="Book Antiqua" w:cs="Calibri"/>
        </w:rPr>
        <w:t xml:space="preserve">I find that the nature and extent of the second Appellant’s links to the </w:t>
      </w:r>
      <w:smartTag w:uri="urn:schemas-microsoft-com:office:smarttags" w:element="country-region">
        <w:r w:rsidR="004513AF" w:rsidRPr="008F5857">
          <w:rPr>
            <w:rFonts w:ascii="Book Antiqua" w:hAnsi="Book Antiqua" w:cs="Calibri"/>
          </w:rPr>
          <w:t>United Kingdom</w:t>
        </w:r>
      </w:smartTag>
      <w:r w:rsidR="004513AF" w:rsidRPr="008F5857">
        <w:rPr>
          <w:rFonts w:ascii="Book Antiqua" w:hAnsi="Book Antiqua" w:cs="Calibri"/>
        </w:rPr>
        <w:t xml:space="preserve"> are significant and that he has effectively other th</w:t>
      </w:r>
      <w:r w:rsidR="00E717FA">
        <w:rPr>
          <w:rFonts w:ascii="Book Antiqua" w:hAnsi="Book Antiqua" w:cs="Calibri"/>
        </w:rPr>
        <w:t xml:space="preserve">an by birth none with </w:t>
      </w:r>
      <w:smartTag w:uri="urn:schemas-microsoft-com:office:smarttags" w:element="place">
        <w:smartTag w:uri="urn:schemas-microsoft-com:office:smarttags" w:element="country-region">
          <w:r w:rsidR="00E717FA">
            <w:rPr>
              <w:rFonts w:ascii="Book Antiqua" w:hAnsi="Book Antiqua" w:cs="Calibri"/>
            </w:rPr>
            <w:t>Nigeria</w:t>
          </w:r>
        </w:smartTag>
      </w:smartTag>
      <w:r w:rsidR="00E717FA">
        <w:rPr>
          <w:rFonts w:ascii="Book Antiqua" w:hAnsi="Book Antiqua" w:cs="Calibri"/>
        </w:rPr>
        <w:t>.</w:t>
      </w:r>
    </w:p>
    <w:p w14:paraId="5358A161" w14:textId="77777777" w:rsidR="00E717FA" w:rsidRDefault="00E717FA" w:rsidP="00D82BC2">
      <w:pPr>
        <w:tabs>
          <w:tab w:val="left" w:pos="567"/>
        </w:tabs>
        <w:spacing w:line="360" w:lineRule="auto"/>
        <w:ind w:left="567" w:hanging="567"/>
        <w:jc w:val="both"/>
        <w:rPr>
          <w:rFonts w:ascii="Book Antiqua" w:hAnsi="Book Antiqua" w:cs="Calibri"/>
        </w:rPr>
      </w:pPr>
    </w:p>
    <w:p w14:paraId="0A33F463" w14:textId="77777777" w:rsidR="005C2739" w:rsidRPr="005C2739" w:rsidRDefault="003E5FE3" w:rsidP="00D34F75">
      <w:pPr>
        <w:pStyle w:val="p"/>
      </w:pPr>
      <w:r>
        <w:t>14</w:t>
      </w:r>
      <w:r w:rsidR="00E717FA">
        <w:t>.</w:t>
      </w:r>
      <w:r w:rsidR="00E717FA">
        <w:tab/>
      </w:r>
      <w:r w:rsidR="004513AF" w:rsidRPr="008F5857">
        <w:t xml:space="preserve">Ms Isherwood had the opportunity to cross-examine to these issues and essentially did not make any representations in the light of such evidence as there was to the effect that the child’s personal circumstances were in effect uninvolved in the mother’s determination to remain in the </w:t>
      </w:r>
      <w:smartTag w:uri="urn:schemas-microsoft-com:office:smarttags" w:element="place">
        <w:smartTag w:uri="urn:schemas-microsoft-com:office:smarttags" w:element="country-region">
          <w:r w:rsidR="004513AF" w:rsidRPr="008F5857">
            <w:t>United Kingdom</w:t>
          </w:r>
        </w:smartTag>
      </w:smartTag>
      <w:r w:rsidR="004513AF" w:rsidRPr="008F5857">
        <w:t>.  For these reasons therefore I conclude it is not reas</w:t>
      </w:r>
      <w:r w:rsidR="00662AB3">
        <w:t xml:space="preserve">onable to expect him to leave </w:t>
      </w:r>
      <w:r w:rsidR="003905B2">
        <w:t xml:space="preserve">with her </w:t>
      </w:r>
      <w:r w:rsidR="00662AB3">
        <w:t xml:space="preserve">and it follows it is not in the public interest or proportionate.  </w:t>
      </w:r>
      <w:r w:rsidR="004513AF" w:rsidRPr="008F5857">
        <w:t>If I</w:t>
      </w:r>
      <w:r w:rsidR="00E52A4B">
        <w:t xml:space="preserve"> </w:t>
      </w:r>
      <w:r w:rsidR="004513AF" w:rsidRPr="008F5857">
        <w:t>was wrong in that conclusion</w:t>
      </w:r>
      <w:r w:rsidR="005C2739">
        <w:t xml:space="preserve"> I find </w:t>
      </w:r>
      <w:r w:rsidR="004513AF" w:rsidRPr="008F5857">
        <w:t xml:space="preserve">Article 8, ECHR </w:t>
      </w:r>
      <w:r w:rsidR="005C2739">
        <w:t>are engaged.  I</w:t>
      </w:r>
      <w:r w:rsidR="004513AF" w:rsidRPr="008F5857">
        <w:t>n the light of</w:t>
      </w:r>
      <w:r w:rsidR="00D34F75">
        <w:t xml:space="preserve"> the case of </w:t>
      </w:r>
      <w:proofErr w:type="spellStart"/>
      <w:r w:rsidR="00D34F75" w:rsidRPr="00FB3332">
        <w:rPr>
          <w:i/>
        </w:rPr>
        <w:t>Razgar</w:t>
      </w:r>
      <w:proofErr w:type="spellEnd"/>
      <w:r w:rsidR="00D34F75">
        <w:t xml:space="preserve"> [2004] UKHL.  </w:t>
      </w:r>
      <w:r w:rsidR="005C2739">
        <w:t xml:space="preserve">I find that the second Appellant has a private life in the </w:t>
      </w:r>
      <w:smartTag w:uri="urn:schemas-microsoft-com:office:smarttags" w:element="country-region">
        <w:smartTag w:uri="urn:schemas-microsoft-com:office:smarttags" w:element="place">
          <w:r w:rsidR="005C2739">
            <w:t>UK</w:t>
          </w:r>
        </w:smartTag>
      </w:smartTag>
      <w:r w:rsidR="005C2739">
        <w:t xml:space="preserve"> and a family life with his mother, the first Appellant.  I find </w:t>
      </w:r>
      <w:r w:rsidR="003905B2">
        <w:t xml:space="preserve">for the reasons given </w:t>
      </w:r>
      <w:r w:rsidR="005C2739">
        <w:t xml:space="preserve">the Respondent’s decision a significant interference.  The Respondent’s decision was lawful and served Article 8(2) purposes.  </w:t>
      </w:r>
      <w:r w:rsidR="005C2739">
        <w:lastRenderedPageBreak/>
        <w:t xml:space="preserve">I find the second Appellant’s circumstances show that the </w:t>
      </w:r>
      <w:r w:rsidR="00D34F75">
        <w:t>impact of separation for the first Appellant is disproportionate.  In doing so I have applied Section 117A and Section 117B NIAA 2002.  The first Appellant has reasonable English and can work.  By herself there is no merit in the first Appellant’s case but as the carer of a British national child settled in the UK it follows that separation from the second Appellant would be disproportionate and not in the public interest.</w:t>
      </w:r>
    </w:p>
    <w:p w14:paraId="06332DE5" w14:textId="77777777" w:rsidR="004513AF" w:rsidRPr="008F5857" w:rsidRDefault="004513AF" w:rsidP="000B0A3F">
      <w:pPr>
        <w:spacing w:line="360" w:lineRule="auto"/>
        <w:jc w:val="both"/>
        <w:rPr>
          <w:rFonts w:ascii="Book Antiqua" w:hAnsi="Book Antiqua" w:cs="Arial"/>
          <w:b/>
          <w:u w:val="single"/>
        </w:rPr>
      </w:pPr>
    </w:p>
    <w:p w14:paraId="747458F2" w14:textId="77777777" w:rsidR="004513AF" w:rsidRPr="008F5857" w:rsidRDefault="004513AF" w:rsidP="007B36B7">
      <w:pPr>
        <w:spacing w:line="360" w:lineRule="auto"/>
        <w:jc w:val="both"/>
        <w:outlineLvl w:val="0"/>
        <w:rPr>
          <w:rFonts w:ascii="Book Antiqua" w:hAnsi="Book Antiqua" w:cs="Arial"/>
          <w:b/>
          <w:u w:val="single"/>
        </w:rPr>
      </w:pPr>
      <w:r w:rsidRPr="008F5857">
        <w:rPr>
          <w:rFonts w:ascii="Book Antiqua" w:hAnsi="Book Antiqua" w:cs="Arial"/>
          <w:b/>
          <w:u w:val="single"/>
        </w:rPr>
        <w:t>NOTICE OF DECISION</w:t>
      </w:r>
    </w:p>
    <w:p w14:paraId="2E8522F1" w14:textId="77777777" w:rsidR="004513AF" w:rsidRPr="008F5857" w:rsidRDefault="004513AF" w:rsidP="000B0A3F">
      <w:pPr>
        <w:spacing w:line="360" w:lineRule="auto"/>
        <w:jc w:val="both"/>
        <w:rPr>
          <w:rFonts w:ascii="Book Antiqua" w:hAnsi="Book Antiqua" w:cs="Arial"/>
        </w:rPr>
      </w:pPr>
    </w:p>
    <w:p w14:paraId="449A4819" w14:textId="77777777" w:rsidR="004513AF" w:rsidRPr="00E52A4B" w:rsidRDefault="004513AF" w:rsidP="007B36B7">
      <w:pPr>
        <w:spacing w:line="360" w:lineRule="auto"/>
        <w:jc w:val="both"/>
        <w:outlineLvl w:val="0"/>
        <w:rPr>
          <w:rFonts w:ascii="Book Antiqua" w:hAnsi="Book Antiqua" w:cs="Arial"/>
        </w:rPr>
      </w:pPr>
      <w:r w:rsidRPr="008F5857">
        <w:rPr>
          <w:rFonts w:ascii="Book Antiqua" w:hAnsi="Book Antiqua" w:cs="Arial"/>
        </w:rPr>
        <w:t>The appeal</w:t>
      </w:r>
      <w:r w:rsidR="003905B2">
        <w:rPr>
          <w:rFonts w:ascii="Book Antiqua" w:hAnsi="Book Antiqua" w:cs="Arial"/>
        </w:rPr>
        <w:t>s</w:t>
      </w:r>
      <w:r w:rsidRPr="008F5857">
        <w:rPr>
          <w:rFonts w:ascii="Book Antiqua" w:hAnsi="Book Antiqua" w:cs="Arial"/>
        </w:rPr>
        <w:t xml:space="preserve"> </w:t>
      </w:r>
      <w:r w:rsidR="003905B2">
        <w:rPr>
          <w:rFonts w:ascii="Book Antiqua" w:hAnsi="Book Antiqua" w:cs="Arial"/>
        </w:rPr>
        <w:t>are</w:t>
      </w:r>
      <w:r w:rsidRPr="008F5857">
        <w:rPr>
          <w:rFonts w:ascii="Book Antiqua" w:hAnsi="Book Antiqua" w:cs="Arial"/>
        </w:rPr>
        <w:t xml:space="preserve"> </w:t>
      </w:r>
      <w:r w:rsidR="00E52A4B" w:rsidRPr="00E52A4B">
        <w:rPr>
          <w:rFonts w:ascii="Book Antiqua" w:hAnsi="Book Antiqua" w:cs="Arial"/>
        </w:rPr>
        <w:t>allowed</w:t>
      </w:r>
      <w:r w:rsidR="00E52A4B">
        <w:rPr>
          <w:rFonts w:ascii="Book Antiqua" w:hAnsi="Book Antiqua" w:cs="Arial"/>
        </w:rPr>
        <w:t xml:space="preserve"> on </w:t>
      </w:r>
      <w:r w:rsidR="00E52A4B" w:rsidRPr="00E52A4B">
        <w:rPr>
          <w:rFonts w:ascii="Book Antiqua" w:hAnsi="Book Antiqua" w:cs="Arial"/>
        </w:rPr>
        <w:t>human rights grounds.</w:t>
      </w:r>
    </w:p>
    <w:p w14:paraId="6DCCCB09" w14:textId="77777777" w:rsidR="004513AF" w:rsidRPr="008F5857" w:rsidRDefault="004513AF" w:rsidP="000B0A3F">
      <w:pPr>
        <w:spacing w:line="360" w:lineRule="auto"/>
        <w:jc w:val="both"/>
        <w:rPr>
          <w:rFonts w:ascii="Book Antiqua" w:hAnsi="Book Antiqua" w:cs="Arial"/>
        </w:rPr>
      </w:pPr>
    </w:p>
    <w:p w14:paraId="6495FDF2" w14:textId="77777777" w:rsidR="003905B2" w:rsidRDefault="004513AF" w:rsidP="00BC774F">
      <w:pPr>
        <w:spacing w:line="360" w:lineRule="auto"/>
        <w:jc w:val="both"/>
        <w:outlineLvl w:val="0"/>
        <w:rPr>
          <w:rFonts w:ascii="Book Antiqua" w:hAnsi="Book Antiqua" w:cs="Arial"/>
        </w:rPr>
      </w:pPr>
      <w:r w:rsidRPr="008F5857">
        <w:rPr>
          <w:rFonts w:ascii="Book Antiqua" w:hAnsi="Book Antiqua" w:cs="Arial"/>
        </w:rPr>
        <w:t>No anonymity direction is made.</w:t>
      </w:r>
    </w:p>
    <w:p w14:paraId="7870E209" w14:textId="77777777" w:rsidR="00FB3332" w:rsidRPr="008F5857" w:rsidRDefault="00FB3332" w:rsidP="00855C07">
      <w:pPr>
        <w:spacing w:line="360" w:lineRule="auto"/>
        <w:ind w:left="540" w:hanging="540"/>
        <w:jc w:val="both"/>
        <w:rPr>
          <w:rFonts w:ascii="Book Antiqua" w:hAnsi="Book Antiqua" w:cs="Arial"/>
        </w:rPr>
      </w:pPr>
    </w:p>
    <w:p w14:paraId="41AA8B74" w14:textId="77777777" w:rsidR="004513AF" w:rsidRPr="008F5857" w:rsidRDefault="004513AF" w:rsidP="00BC4F94">
      <w:pPr>
        <w:ind w:left="540" w:hanging="540"/>
        <w:jc w:val="both"/>
        <w:rPr>
          <w:rFonts w:ascii="Book Antiqua" w:hAnsi="Book Antiqua" w:cs="Arial"/>
        </w:rPr>
      </w:pPr>
      <w:r w:rsidRPr="008F5857">
        <w:rPr>
          <w:rFonts w:ascii="Book Antiqua" w:hAnsi="Book Antiqua" w:cs="Arial"/>
        </w:rPr>
        <w:t>Signed</w:t>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t>Date</w:t>
      </w:r>
      <w:r w:rsidR="00494C27">
        <w:rPr>
          <w:rFonts w:ascii="Book Antiqua" w:hAnsi="Book Antiqua" w:cs="Arial"/>
        </w:rPr>
        <w:t xml:space="preserve"> 25 June 2018</w:t>
      </w:r>
    </w:p>
    <w:p w14:paraId="46B4C013" w14:textId="77777777" w:rsidR="004513AF" w:rsidRPr="008F5857" w:rsidRDefault="004513AF" w:rsidP="00780F86">
      <w:pPr>
        <w:ind w:left="540" w:hanging="540"/>
        <w:jc w:val="both"/>
        <w:rPr>
          <w:rFonts w:ascii="Book Antiqua" w:hAnsi="Book Antiqua" w:cs="Arial"/>
        </w:rPr>
      </w:pPr>
    </w:p>
    <w:p w14:paraId="7ABFCB83" w14:textId="77777777" w:rsidR="003905B2" w:rsidRDefault="004513AF" w:rsidP="00BC774F">
      <w:pPr>
        <w:tabs>
          <w:tab w:val="left" w:pos="2520"/>
        </w:tabs>
        <w:ind w:left="540" w:hanging="540"/>
        <w:jc w:val="both"/>
        <w:outlineLvl w:val="0"/>
        <w:rPr>
          <w:rFonts w:ascii="Book Antiqua" w:hAnsi="Book Antiqua" w:cs="Arial"/>
          <w:b/>
          <w:u w:val="single"/>
        </w:rPr>
      </w:pPr>
      <w:r w:rsidRPr="008F5857">
        <w:rPr>
          <w:rFonts w:ascii="Book Antiqua" w:hAnsi="Book Antiqua" w:cs="Arial"/>
          <w:color w:val="000000"/>
        </w:rPr>
        <w:t>Deputy Upper Tribunal Judge Davey</w:t>
      </w:r>
    </w:p>
    <w:p w14:paraId="2AEF484B" w14:textId="77777777" w:rsidR="003905B2" w:rsidRDefault="003905B2" w:rsidP="000B0A3F">
      <w:pPr>
        <w:spacing w:line="360" w:lineRule="auto"/>
        <w:jc w:val="both"/>
        <w:rPr>
          <w:rFonts w:ascii="Book Antiqua" w:hAnsi="Book Antiqua" w:cs="Arial"/>
          <w:b/>
          <w:u w:val="single"/>
        </w:rPr>
      </w:pPr>
    </w:p>
    <w:p w14:paraId="38B527B5" w14:textId="77777777" w:rsidR="003905B2" w:rsidRDefault="003905B2" w:rsidP="000B0A3F">
      <w:pPr>
        <w:spacing w:line="360" w:lineRule="auto"/>
        <w:jc w:val="both"/>
        <w:rPr>
          <w:rFonts w:ascii="Book Antiqua" w:hAnsi="Book Antiqua" w:cs="Arial"/>
          <w:b/>
          <w:u w:val="single"/>
        </w:rPr>
      </w:pPr>
    </w:p>
    <w:p w14:paraId="18C12904" w14:textId="77777777" w:rsidR="004513AF" w:rsidRPr="008F5857" w:rsidRDefault="004513AF" w:rsidP="007B36B7">
      <w:pPr>
        <w:spacing w:line="360" w:lineRule="auto"/>
        <w:jc w:val="both"/>
        <w:outlineLvl w:val="0"/>
        <w:rPr>
          <w:rFonts w:ascii="Book Antiqua" w:hAnsi="Book Antiqua" w:cs="Arial"/>
          <w:b/>
          <w:u w:val="single"/>
        </w:rPr>
      </w:pPr>
      <w:r w:rsidRPr="008F5857">
        <w:rPr>
          <w:rFonts w:ascii="Book Antiqua" w:hAnsi="Book Antiqua" w:cs="Arial"/>
          <w:b/>
          <w:u w:val="single"/>
        </w:rPr>
        <w:t>TO THE RESPONDENT</w:t>
      </w:r>
    </w:p>
    <w:p w14:paraId="454F4543" w14:textId="77777777" w:rsidR="004513AF" w:rsidRPr="008F5857" w:rsidRDefault="004513AF" w:rsidP="007B36B7">
      <w:pPr>
        <w:spacing w:line="360" w:lineRule="auto"/>
        <w:ind w:left="567" w:hanging="567"/>
        <w:jc w:val="both"/>
        <w:outlineLvl w:val="0"/>
        <w:rPr>
          <w:rFonts w:ascii="Book Antiqua" w:hAnsi="Book Antiqua" w:cs="Arial"/>
        </w:rPr>
      </w:pPr>
      <w:r w:rsidRPr="008F5857">
        <w:rPr>
          <w:rFonts w:ascii="Book Antiqua" w:hAnsi="Book Antiqua" w:cs="Arial"/>
          <w:b/>
          <w:u w:val="single"/>
        </w:rPr>
        <w:t>FEE AWARD</w:t>
      </w:r>
    </w:p>
    <w:p w14:paraId="0D20E7C5" w14:textId="77777777" w:rsidR="004513AF" w:rsidRPr="008F5857" w:rsidRDefault="004513AF" w:rsidP="000B0A3F">
      <w:pPr>
        <w:ind w:left="567" w:hanging="567"/>
        <w:jc w:val="both"/>
        <w:rPr>
          <w:rFonts w:ascii="Book Antiqua" w:hAnsi="Book Antiqua" w:cs="Arial"/>
        </w:rPr>
      </w:pPr>
    </w:p>
    <w:p w14:paraId="42682E88" w14:textId="77777777" w:rsidR="004513AF" w:rsidRPr="008F5857" w:rsidRDefault="004513AF" w:rsidP="000B0A3F">
      <w:pPr>
        <w:spacing w:line="360" w:lineRule="auto"/>
        <w:jc w:val="both"/>
        <w:rPr>
          <w:rFonts w:ascii="Book Antiqua" w:hAnsi="Book Antiqua" w:cs="Arial"/>
        </w:rPr>
      </w:pPr>
      <w:r w:rsidRPr="008F5857">
        <w:rPr>
          <w:rFonts w:ascii="Book Antiqua" w:hAnsi="Book Antiqua" w:cs="Arial"/>
        </w:rPr>
        <w:t>As I have allowed the appeal</w:t>
      </w:r>
      <w:r w:rsidR="00BC774F">
        <w:rPr>
          <w:rFonts w:ascii="Book Antiqua" w:hAnsi="Book Antiqua" w:cs="Arial"/>
        </w:rPr>
        <w:t>,</w:t>
      </w:r>
      <w:r w:rsidRPr="008F5857">
        <w:rPr>
          <w:rFonts w:ascii="Book Antiqua" w:hAnsi="Book Antiqua" w:cs="Arial"/>
        </w:rPr>
        <w:t xml:space="preserve"> </w:t>
      </w:r>
      <w:r w:rsidR="00662AB3">
        <w:rPr>
          <w:rFonts w:ascii="Book Antiqua" w:hAnsi="Book Antiqua" w:cs="Arial"/>
        </w:rPr>
        <w:t xml:space="preserve">on the basis of information not before the Respondent, </w:t>
      </w:r>
      <w:r w:rsidR="003A4589">
        <w:rPr>
          <w:rFonts w:ascii="Book Antiqua" w:hAnsi="Book Antiqua" w:cs="Arial"/>
        </w:rPr>
        <w:t xml:space="preserve">I have </w:t>
      </w:r>
      <w:r w:rsidRPr="008F5857">
        <w:rPr>
          <w:rFonts w:ascii="Book Antiqua" w:hAnsi="Book Antiqua" w:cs="Arial"/>
        </w:rPr>
        <w:t xml:space="preserve">considered making a fee award </w:t>
      </w:r>
      <w:r w:rsidR="003A4589">
        <w:rPr>
          <w:rFonts w:ascii="Book Antiqua" w:hAnsi="Book Antiqua" w:cs="Arial"/>
        </w:rPr>
        <w:t xml:space="preserve">but </w:t>
      </w:r>
      <w:r w:rsidRPr="008F5857">
        <w:rPr>
          <w:rFonts w:ascii="Book Antiqua" w:hAnsi="Book Antiqua" w:cs="Arial"/>
        </w:rPr>
        <w:t>decided to make no fee award.</w:t>
      </w:r>
    </w:p>
    <w:p w14:paraId="31CDF990" w14:textId="6A01C08C" w:rsidR="004513AF" w:rsidRDefault="004513AF" w:rsidP="000B0A3F">
      <w:pPr>
        <w:spacing w:line="360" w:lineRule="auto"/>
        <w:jc w:val="both"/>
        <w:rPr>
          <w:rFonts w:ascii="Book Antiqua" w:hAnsi="Book Antiqua" w:cs="Arial"/>
        </w:rPr>
      </w:pPr>
    </w:p>
    <w:p w14:paraId="45EBE134" w14:textId="77777777" w:rsidR="004513AF" w:rsidRPr="008F5857" w:rsidRDefault="004513AF" w:rsidP="000B0A3F">
      <w:pPr>
        <w:spacing w:line="360" w:lineRule="auto"/>
        <w:ind w:left="540" w:hanging="540"/>
        <w:jc w:val="both"/>
        <w:rPr>
          <w:rFonts w:ascii="Book Antiqua" w:hAnsi="Book Antiqua" w:cs="Arial"/>
        </w:rPr>
      </w:pPr>
      <w:r w:rsidRPr="008F5857">
        <w:rPr>
          <w:rFonts w:ascii="Book Antiqua" w:hAnsi="Book Antiqua" w:cs="Arial"/>
        </w:rPr>
        <w:t>Signed</w:t>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r>
      <w:r w:rsidRPr="008F5857">
        <w:rPr>
          <w:rFonts w:ascii="Book Antiqua" w:hAnsi="Book Antiqua" w:cs="Arial"/>
        </w:rPr>
        <w:tab/>
        <w:t>Date</w:t>
      </w:r>
      <w:r w:rsidR="00494C27">
        <w:rPr>
          <w:rFonts w:ascii="Book Antiqua" w:hAnsi="Book Antiqua" w:cs="Arial"/>
        </w:rPr>
        <w:t xml:space="preserve"> 25 June 2018</w:t>
      </w:r>
    </w:p>
    <w:p w14:paraId="052B6435" w14:textId="1B91D1EA" w:rsidR="004513AF" w:rsidRPr="008F5857" w:rsidRDefault="004513AF" w:rsidP="007B36B7">
      <w:pPr>
        <w:tabs>
          <w:tab w:val="left" w:pos="2520"/>
        </w:tabs>
        <w:spacing w:line="360" w:lineRule="auto"/>
        <w:ind w:left="540" w:hanging="540"/>
        <w:jc w:val="both"/>
        <w:outlineLvl w:val="0"/>
        <w:rPr>
          <w:rFonts w:ascii="Book Antiqua" w:hAnsi="Book Antiqua" w:cs="Arial"/>
        </w:rPr>
      </w:pPr>
      <w:r w:rsidRPr="008F5857">
        <w:rPr>
          <w:rFonts w:ascii="Book Antiqua" w:hAnsi="Book Antiqua" w:cs="Arial"/>
          <w:color w:val="000000"/>
        </w:rPr>
        <w:t>Deputy Upper Tribunal Judge Davey</w:t>
      </w:r>
    </w:p>
    <w:p w14:paraId="6EF3B48B" w14:textId="77777777" w:rsidR="00FB3332" w:rsidRDefault="00FB3332" w:rsidP="007226AE">
      <w:pPr>
        <w:tabs>
          <w:tab w:val="left" w:pos="2520"/>
        </w:tabs>
        <w:ind w:left="540" w:hanging="540"/>
        <w:jc w:val="both"/>
        <w:rPr>
          <w:rFonts w:ascii="Book Antiqua" w:hAnsi="Book Antiqua" w:cs="Arial"/>
        </w:rPr>
      </w:pPr>
    </w:p>
    <w:p w14:paraId="6CAFF056" w14:textId="7D48DA82" w:rsidR="004513AF" w:rsidRPr="000704BB" w:rsidRDefault="00BC774F" w:rsidP="007226AE">
      <w:pPr>
        <w:tabs>
          <w:tab w:val="left" w:pos="2520"/>
        </w:tabs>
        <w:ind w:left="540" w:hanging="540"/>
        <w:jc w:val="both"/>
        <w:rPr>
          <w:rFonts w:ascii="Book Antiqua" w:hAnsi="Book Antiqua" w:cs="Arial"/>
        </w:rPr>
      </w:pPr>
      <w:r>
        <w:rPr>
          <w:rFonts w:ascii="Book Antiqua" w:hAnsi="Book Antiqua" w:cs="Arial"/>
        </w:rPr>
        <w:t xml:space="preserve">P.S. I regret promulgation has been delayed through the case file being </w:t>
      </w:r>
      <w:proofErr w:type="spellStart"/>
      <w:r>
        <w:rPr>
          <w:rFonts w:ascii="Book Antiqua" w:hAnsi="Book Antiqua" w:cs="Arial"/>
        </w:rPr>
        <w:t>mislocated</w:t>
      </w:r>
      <w:proofErr w:type="spellEnd"/>
    </w:p>
    <w:sectPr w:rsidR="004513AF"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56CB3" w14:textId="77777777" w:rsidR="00E12EBB" w:rsidRDefault="00E12EBB">
      <w:r>
        <w:separator/>
      </w:r>
    </w:p>
  </w:endnote>
  <w:endnote w:type="continuationSeparator" w:id="0">
    <w:p w14:paraId="568B3D0B" w14:textId="77777777" w:rsidR="00E12EBB" w:rsidRDefault="00E12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30DDB" w14:textId="11E554BF" w:rsidR="000A3711" w:rsidRPr="000704BB" w:rsidRDefault="000A371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6B2D24">
      <w:rPr>
        <w:rStyle w:val="PageNumber"/>
        <w:rFonts w:ascii="Book Antiqua" w:hAnsi="Book Antiqua" w:cs="Arial"/>
        <w:noProof/>
        <w:sz w:val="16"/>
        <w:szCs w:val="16"/>
      </w:rPr>
      <w:t>7</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9DD58" w14:textId="77777777" w:rsidR="000A3711" w:rsidRPr="000704BB" w:rsidRDefault="000A3711"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CCC6E" w14:textId="77777777" w:rsidR="00E12EBB" w:rsidRDefault="00E12EBB">
      <w:r>
        <w:separator/>
      </w:r>
    </w:p>
  </w:footnote>
  <w:footnote w:type="continuationSeparator" w:id="0">
    <w:p w14:paraId="6069F450" w14:textId="77777777" w:rsidR="00E12EBB" w:rsidRDefault="00E12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84598" w14:textId="77777777" w:rsidR="000A3711" w:rsidRDefault="000A371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s</w:t>
    </w:r>
    <w:r w:rsidRPr="000704BB">
      <w:rPr>
        <w:rFonts w:ascii="Book Antiqua" w:hAnsi="Book Antiqua" w:cs="Arial"/>
        <w:sz w:val="16"/>
        <w:szCs w:val="16"/>
      </w:rPr>
      <w:t xml:space="preserve">: </w:t>
    </w:r>
    <w:r w:rsidRPr="00AF677E">
      <w:rPr>
        <w:rFonts w:ascii="Book Antiqua" w:hAnsi="Book Antiqua" w:cs="Arial"/>
        <w:sz w:val="16"/>
        <w:szCs w:val="16"/>
      </w:rPr>
      <w:t>IA/34573/2015</w:t>
    </w:r>
  </w:p>
  <w:p w14:paraId="7902B7F9" w14:textId="77777777" w:rsidR="000A3711" w:rsidRDefault="000A3711" w:rsidP="00593795">
    <w:pPr>
      <w:pStyle w:val="Header"/>
      <w:jc w:val="right"/>
      <w:rPr>
        <w:rFonts w:ascii="Book Antiqua" w:hAnsi="Book Antiqua" w:cs="Arial"/>
        <w:sz w:val="16"/>
        <w:szCs w:val="16"/>
      </w:rPr>
    </w:pPr>
    <w:r w:rsidRPr="009F29F7">
      <w:rPr>
        <w:rFonts w:ascii="Book Antiqua" w:hAnsi="Book Antiqua" w:cs="Arial"/>
        <w:sz w:val="16"/>
        <w:szCs w:val="16"/>
      </w:rPr>
      <w:t>IA/34574/2015</w:t>
    </w:r>
  </w:p>
  <w:p w14:paraId="7858D0E7" w14:textId="77777777" w:rsidR="000A3711" w:rsidRPr="000704BB" w:rsidRDefault="000A371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14798" w14:textId="77777777" w:rsidR="000A3711" w:rsidRPr="000704BB" w:rsidRDefault="000A3711">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7E"/>
    <w:rsid w:val="00000621"/>
    <w:rsid w:val="000036C2"/>
    <w:rsid w:val="000135A8"/>
    <w:rsid w:val="00020C58"/>
    <w:rsid w:val="00023100"/>
    <w:rsid w:val="00024F86"/>
    <w:rsid w:val="00033D3D"/>
    <w:rsid w:val="000446D6"/>
    <w:rsid w:val="00057C7E"/>
    <w:rsid w:val="00060665"/>
    <w:rsid w:val="00062F02"/>
    <w:rsid w:val="00065DC6"/>
    <w:rsid w:val="000704BB"/>
    <w:rsid w:val="00071A7E"/>
    <w:rsid w:val="000746C0"/>
    <w:rsid w:val="00074D1D"/>
    <w:rsid w:val="00091B5B"/>
    <w:rsid w:val="00092580"/>
    <w:rsid w:val="00093D4D"/>
    <w:rsid w:val="000A3711"/>
    <w:rsid w:val="000B0A3F"/>
    <w:rsid w:val="000B38BB"/>
    <w:rsid w:val="000D5D94"/>
    <w:rsid w:val="000D73AA"/>
    <w:rsid w:val="000F1A0E"/>
    <w:rsid w:val="000F52D4"/>
    <w:rsid w:val="00103096"/>
    <w:rsid w:val="00106C3C"/>
    <w:rsid w:val="001151D6"/>
    <w:rsid w:val="001165A7"/>
    <w:rsid w:val="00116E02"/>
    <w:rsid w:val="00117490"/>
    <w:rsid w:val="00125938"/>
    <w:rsid w:val="00150C5F"/>
    <w:rsid w:val="00151389"/>
    <w:rsid w:val="0016328D"/>
    <w:rsid w:val="00167D3A"/>
    <w:rsid w:val="001806B5"/>
    <w:rsid w:val="00185B35"/>
    <w:rsid w:val="00190911"/>
    <w:rsid w:val="00190AA5"/>
    <w:rsid w:val="001A3082"/>
    <w:rsid w:val="001B186A"/>
    <w:rsid w:val="001B2F75"/>
    <w:rsid w:val="001B659F"/>
    <w:rsid w:val="001C2D96"/>
    <w:rsid w:val="001C57AA"/>
    <w:rsid w:val="001C5B44"/>
    <w:rsid w:val="001D2875"/>
    <w:rsid w:val="001D7F55"/>
    <w:rsid w:val="001E0AE3"/>
    <w:rsid w:val="001F0342"/>
    <w:rsid w:val="001F2716"/>
    <w:rsid w:val="00203FB0"/>
    <w:rsid w:val="00207617"/>
    <w:rsid w:val="002220FB"/>
    <w:rsid w:val="0023134B"/>
    <w:rsid w:val="00241B45"/>
    <w:rsid w:val="0025745B"/>
    <w:rsid w:val="002666AC"/>
    <w:rsid w:val="00274EFB"/>
    <w:rsid w:val="00275E56"/>
    <w:rsid w:val="00282E02"/>
    <w:rsid w:val="00283659"/>
    <w:rsid w:val="00285CFA"/>
    <w:rsid w:val="00291F83"/>
    <w:rsid w:val="00293F0E"/>
    <w:rsid w:val="002A1607"/>
    <w:rsid w:val="002A2C71"/>
    <w:rsid w:val="002A3CC8"/>
    <w:rsid w:val="002A64DA"/>
    <w:rsid w:val="002B1CCB"/>
    <w:rsid w:val="002C6BD4"/>
    <w:rsid w:val="002D68BF"/>
    <w:rsid w:val="002F4275"/>
    <w:rsid w:val="002F6B98"/>
    <w:rsid w:val="00305894"/>
    <w:rsid w:val="0032456F"/>
    <w:rsid w:val="00336CBF"/>
    <w:rsid w:val="00343FE3"/>
    <w:rsid w:val="00347B31"/>
    <w:rsid w:val="003546C8"/>
    <w:rsid w:val="00355A50"/>
    <w:rsid w:val="00357B70"/>
    <w:rsid w:val="0036312C"/>
    <w:rsid w:val="00365F5E"/>
    <w:rsid w:val="00386A4D"/>
    <w:rsid w:val="003905B2"/>
    <w:rsid w:val="003A4589"/>
    <w:rsid w:val="003A7CF2"/>
    <w:rsid w:val="003B1519"/>
    <w:rsid w:val="003C2CDB"/>
    <w:rsid w:val="003C5CE5"/>
    <w:rsid w:val="003D3BBD"/>
    <w:rsid w:val="003D7148"/>
    <w:rsid w:val="003E092F"/>
    <w:rsid w:val="003E267B"/>
    <w:rsid w:val="003E5FE3"/>
    <w:rsid w:val="003E7CD1"/>
    <w:rsid w:val="00402B9E"/>
    <w:rsid w:val="00420962"/>
    <w:rsid w:val="004243E8"/>
    <w:rsid w:val="004249CB"/>
    <w:rsid w:val="00426C8F"/>
    <w:rsid w:val="004319AE"/>
    <w:rsid w:val="004345B5"/>
    <w:rsid w:val="004350DB"/>
    <w:rsid w:val="0044127D"/>
    <w:rsid w:val="004448DB"/>
    <w:rsid w:val="00446C9A"/>
    <w:rsid w:val="004513AF"/>
    <w:rsid w:val="00452F2B"/>
    <w:rsid w:val="00453F63"/>
    <w:rsid w:val="00460347"/>
    <w:rsid w:val="004651CF"/>
    <w:rsid w:val="004655BD"/>
    <w:rsid w:val="00465AE9"/>
    <w:rsid w:val="00467C01"/>
    <w:rsid w:val="00472DD9"/>
    <w:rsid w:val="00477193"/>
    <w:rsid w:val="004810C8"/>
    <w:rsid w:val="004910A1"/>
    <w:rsid w:val="00491F91"/>
    <w:rsid w:val="00493147"/>
    <w:rsid w:val="004931C0"/>
    <w:rsid w:val="00494443"/>
    <w:rsid w:val="00494C27"/>
    <w:rsid w:val="004A1848"/>
    <w:rsid w:val="004A3DA5"/>
    <w:rsid w:val="004A6F4A"/>
    <w:rsid w:val="004B66A0"/>
    <w:rsid w:val="004B72B9"/>
    <w:rsid w:val="004C3281"/>
    <w:rsid w:val="004E08A9"/>
    <w:rsid w:val="004E0F3D"/>
    <w:rsid w:val="004E4717"/>
    <w:rsid w:val="00507FEC"/>
    <w:rsid w:val="00510F0E"/>
    <w:rsid w:val="005272CB"/>
    <w:rsid w:val="005479E1"/>
    <w:rsid w:val="00550648"/>
    <w:rsid w:val="00553E0A"/>
    <w:rsid w:val="005570FD"/>
    <w:rsid w:val="005575EA"/>
    <w:rsid w:val="0056234C"/>
    <w:rsid w:val="0057790C"/>
    <w:rsid w:val="00577B5F"/>
    <w:rsid w:val="00593795"/>
    <w:rsid w:val="00594D47"/>
    <w:rsid w:val="00594F46"/>
    <w:rsid w:val="00596FD5"/>
    <w:rsid w:val="005A1444"/>
    <w:rsid w:val="005A75FF"/>
    <w:rsid w:val="005B025F"/>
    <w:rsid w:val="005C1347"/>
    <w:rsid w:val="005C2739"/>
    <w:rsid w:val="005C7C69"/>
    <w:rsid w:val="005D10AB"/>
    <w:rsid w:val="005D11F6"/>
    <w:rsid w:val="005D5216"/>
    <w:rsid w:val="00601D8F"/>
    <w:rsid w:val="00606765"/>
    <w:rsid w:val="00611F24"/>
    <w:rsid w:val="00617641"/>
    <w:rsid w:val="00625051"/>
    <w:rsid w:val="00627579"/>
    <w:rsid w:val="006435F5"/>
    <w:rsid w:val="00643BFC"/>
    <w:rsid w:val="00645C0A"/>
    <w:rsid w:val="00653E97"/>
    <w:rsid w:val="00662AB3"/>
    <w:rsid w:val="00667086"/>
    <w:rsid w:val="0066758E"/>
    <w:rsid w:val="006701F7"/>
    <w:rsid w:val="00673BB9"/>
    <w:rsid w:val="00674FB9"/>
    <w:rsid w:val="00675D08"/>
    <w:rsid w:val="00684A74"/>
    <w:rsid w:val="00690B8A"/>
    <w:rsid w:val="006A22F8"/>
    <w:rsid w:val="006B2D24"/>
    <w:rsid w:val="006C0D9F"/>
    <w:rsid w:val="006D0A2D"/>
    <w:rsid w:val="006D203F"/>
    <w:rsid w:val="006D3D44"/>
    <w:rsid w:val="006D6955"/>
    <w:rsid w:val="006F2CF1"/>
    <w:rsid w:val="007038ED"/>
    <w:rsid w:val="00703BC3"/>
    <w:rsid w:val="00704B42"/>
    <w:rsid w:val="00704B61"/>
    <w:rsid w:val="00705366"/>
    <w:rsid w:val="007175A9"/>
    <w:rsid w:val="007226AE"/>
    <w:rsid w:val="00731F9D"/>
    <w:rsid w:val="007552A9"/>
    <w:rsid w:val="00761858"/>
    <w:rsid w:val="00767D59"/>
    <w:rsid w:val="00776E97"/>
    <w:rsid w:val="00780F86"/>
    <w:rsid w:val="00782219"/>
    <w:rsid w:val="007833C0"/>
    <w:rsid w:val="00784B04"/>
    <w:rsid w:val="007912AD"/>
    <w:rsid w:val="00797649"/>
    <w:rsid w:val="007A1510"/>
    <w:rsid w:val="007A65C7"/>
    <w:rsid w:val="007B0824"/>
    <w:rsid w:val="007B1020"/>
    <w:rsid w:val="007B36B7"/>
    <w:rsid w:val="007B5D3C"/>
    <w:rsid w:val="007B7BF9"/>
    <w:rsid w:val="007C4E9B"/>
    <w:rsid w:val="007E52FD"/>
    <w:rsid w:val="007F2A46"/>
    <w:rsid w:val="00806249"/>
    <w:rsid w:val="00810FE6"/>
    <w:rsid w:val="00821B72"/>
    <w:rsid w:val="00823EF2"/>
    <w:rsid w:val="008262CB"/>
    <w:rsid w:val="008263BB"/>
    <w:rsid w:val="008303B8"/>
    <w:rsid w:val="00831369"/>
    <w:rsid w:val="00833DCE"/>
    <w:rsid w:val="00855C07"/>
    <w:rsid w:val="00855CD7"/>
    <w:rsid w:val="00857C9F"/>
    <w:rsid w:val="00865106"/>
    <w:rsid w:val="00871D34"/>
    <w:rsid w:val="00876E37"/>
    <w:rsid w:val="00883D05"/>
    <w:rsid w:val="008A686E"/>
    <w:rsid w:val="008B270C"/>
    <w:rsid w:val="008B5078"/>
    <w:rsid w:val="008C3D3D"/>
    <w:rsid w:val="008D3B1C"/>
    <w:rsid w:val="008D4131"/>
    <w:rsid w:val="008F1932"/>
    <w:rsid w:val="008F5857"/>
    <w:rsid w:val="009026F6"/>
    <w:rsid w:val="00913AB8"/>
    <w:rsid w:val="00916C53"/>
    <w:rsid w:val="00916F7F"/>
    <w:rsid w:val="00921062"/>
    <w:rsid w:val="00922934"/>
    <w:rsid w:val="00931A34"/>
    <w:rsid w:val="009500BE"/>
    <w:rsid w:val="00950B12"/>
    <w:rsid w:val="0095189B"/>
    <w:rsid w:val="009640CD"/>
    <w:rsid w:val="009722BC"/>
    <w:rsid w:val="009727A3"/>
    <w:rsid w:val="00973373"/>
    <w:rsid w:val="00976910"/>
    <w:rsid w:val="0098284E"/>
    <w:rsid w:val="00987774"/>
    <w:rsid w:val="009924D6"/>
    <w:rsid w:val="009A11E8"/>
    <w:rsid w:val="009C2E02"/>
    <w:rsid w:val="009C35BA"/>
    <w:rsid w:val="009D4B8C"/>
    <w:rsid w:val="009F06BC"/>
    <w:rsid w:val="009F29F7"/>
    <w:rsid w:val="009F5220"/>
    <w:rsid w:val="009F753C"/>
    <w:rsid w:val="00A15234"/>
    <w:rsid w:val="00A169C0"/>
    <w:rsid w:val="00A201AB"/>
    <w:rsid w:val="00A2196B"/>
    <w:rsid w:val="00A31C8B"/>
    <w:rsid w:val="00A43584"/>
    <w:rsid w:val="00A509FA"/>
    <w:rsid w:val="00A516BC"/>
    <w:rsid w:val="00A705A8"/>
    <w:rsid w:val="00A71C11"/>
    <w:rsid w:val="00A845DC"/>
    <w:rsid w:val="00A8628B"/>
    <w:rsid w:val="00AC4E6B"/>
    <w:rsid w:val="00AC7526"/>
    <w:rsid w:val="00AF677E"/>
    <w:rsid w:val="00B011FC"/>
    <w:rsid w:val="00B26AA2"/>
    <w:rsid w:val="00B34893"/>
    <w:rsid w:val="00B3524D"/>
    <w:rsid w:val="00B40F69"/>
    <w:rsid w:val="00B46616"/>
    <w:rsid w:val="00B46FEC"/>
    <w:rsid w:val="00B7040A"/>
    <w:rsid w:val="00B80A9B"/>
    <w:rsid w:val="00B83391"/>
    <w:rsid w:val="00B87645"/>
    <w:rsid w:val="00B95326"/>
    <w:rsid w:val="00BB2A47"/>
    <w:rsid w:val="00BC218B"/>
    <w:rsid w:val="00BC4F94"/>
    <w:rsid w:val="00BC774F"/>
    <w:rsid w:val="00BD4196"/>
    <w:rsid w:val="00BD4DC0"/>
    <w:rsid w:val="00BE706A"/>
    <w:rsid w:val="00BF0C4C"/>
    <w:rsid w:val="00BF22CA"/>
    <w:rsid w:val="00BF23BB"/>
    <w:rsid w:val="00C04B52"/>
    <w:rsid w:val="00C11381"/>
    <w:rsid w:val="00C119F6"/>
    <w:rsid w:val="00C26032"/>
    <w:rsid w:val="00C26ABA"/>
    <w:rsid w:val="00C31DEC"/>
    <w:rsid w:val="00C345E1"/>
    <w:rsid w:val="00C43BFD"/>
    <w:rsid w:val="00C45DBE"/>
    <w:rsid w:val="00C51955"/>
    <w:rsid w:val="00C52CCE"/>
    <w:rsid w:val="00C53607"/>
    <w:rsid w:val="00C77BDD"/>
    <w:rsid w:val="00C830AF"/>
    <w:rsid w:val="00C90341"/>
    <w:rsid w:val="00C94B03"/>
    <w:rsid w:val="00CA5948"/>
    <w:rsid w:val="00CB137C"/>
    <w:rsid w:val="00CB39C4"/>
    <w:rsid w:val="00CB6E35"/>
    <w:rsid w:val="00CC11A2"/>
    <w:rsid w:val="00CC2D4E"/>
    <w:rsid w:val="00CC6356"/>
    <w:rsid w:val="00CE1A46"/>
    <w:rsid w:val="00D07732"/>
    <w:rsid w:val="00D121FA"/>
    <w:rsid w:val="00D1605B"/>
    <w:rsid w:val="00D20757"/>
    <w:rsid w:val="00D22636"/>
    <w:rsid w:val="00D34F75"/>
    <w:rsid w:val="00D36599"/>
    <w:rsid w:val="00D40FD9"/>
    <w:rsid w:val="00D47E88"/>
    <w:rsid w:val="00D53769"/>
    <w:rsid w:val="00D75C6F"/>
    <w:rsid w:val="00D76361"/>
    <w:rsid w:val="00D8242C"/>
    <w:rsid w:val="00D82BC2"/>
    <w:rsid w:val="00D8389A"/>
    <w:rsid w:val="00D85C13"/>
    <w:rsid w:val="00D9111A"/>
    <w:rsid w:val="00D91BE3"/>
    <w:rsid w:val="00D94AFC"/>
    <w:rsid w:val="00DB70AE"/>
    <w:rsid w:val="00DC3F2C"/>
    <w:rsid w:val="00DC69F1"/>
    <w:rsid w:val="00DD5071"/>
    <w:rsid w:val="00DD5C39"/>
    <w:rsid w:val="00DD7F33"/>
    <w:rsid w:val="00DE5E10"/>
    <w:rsid w:val="00DE7DB7"/>
    <w:rsid w:val="00DF142F"/>
    <w:rsid w:val="00E00A0A"/>
    <w:rsid w:val="00E066DE"/>
    <w:rsid w:val="00E0794D"/>
    <w:rsid w:val="00E07F57"/>
    <w:rsid w:val="00E12EBB"/>
    <w:rsid w:val="00E15B34"/>
    <w:rsid w:val="00E16EDD"/>
    <w:rsid w:val="00E30683"/>
    <w:rsid w:val="00E317EF"/>
    <w:rsid w:val="00E35CAF"/>
    <w:rsid w:val="00E453D8"/>
    <w:rsid w:val="00E50BCE"/>
    <w:rsid w:val="00E5269E"/>
    <w:rsid w:val="00E52A4B"/>
    <w:rsid w:val="00E5399A"/>
    <w:rsid w:val="00E53F53"/>
    <w:rsid w:val="00E57070"/>
    <w:rsid w:val="00E574BF"/>
    <w:rsid w:val="00E61292"/>
    <w:rsid w:val="00E6582C"/>
    <w:rsid w:val="00E7153F"/>
    <w:rsid w:val="00E717FA"/>
    <w:rsid w:val="00E74E7B"/>
    <w:rsid w:val="00E77C4D"/>
    <w:rsid w:val="00E81412"/>
    <w:rsid w:val="00E81D01"/>
    <w:rsid w:val="00E8404C"/>
    <w:rsid w:val="00E94591"/>
    <w:rsid w:val="00E961E5"/>
    <w:rsid w:val="00E96DFF"/>
    <w:rsid w:val="00EA2F7F"/>
    <w:rsid w:val="00EB6250"/>
    <w:rsid w:val="00EC56F7"/>
    <w:rsid w:val="00EE3064"/>
    <w:rsid w:val="00EE45D8"/>
    <w:rsid w:val="00EE7849"/>
    <w:rsid w:val="00EE7AE6"/>
    <w:rsid w:val="00EF454B"/>
    <w:rsid w:val="00F10B3C"/>
    <w:rsid w:val="00F14B02"/>
    <w:rsid w:val="00F22EDA"/>
    <w:rsid w:val="00F336CF"/>
    <w:rsid w:val="00F401F9"/>
    <w:rsid w:val="00F56D08"/>
    <w:rsid w:val="00F76D81"/>
    <w:rsid w:val="00F80A27"/>
    <w:rsid w:val="00F83F0E"/>
    <w:rsid w:val="00F924A3"/>
    <w:rsid w:val="00F92C9F"/>
    <w:rsid w:val="00FA32D4"/>
    <w:rsid w:val="00FB3332"/>
    <w:rsid w:val="00FC0C03"/>
    <w:rsid w:val="00FD0A6A"/>
    <w:rsid w:val="00FD0B4B"/>
    <w:rsid w:val="00FD1759"/>
    <w:rsid w:val="00FE03C2"/>
    <w:rsid w:val="00FE340A"/>
    <w:rsid w:val="00FE4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61BD1E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0AE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rFonts w:cs="Times New Roman"/>
      <w:color w:val="0000FF"/>
      <w:u w:val="single"/>
    </w:rPr>
  </w:style>
  <w:style w:type="paragraph" w:customStyle="1" w:styleId="p">
    <w:name w:val="p"/>
    <w:basedOn w:val="Normal"/>
    <w:rsid w:val="00E0794D"/>
    <w:pPr>
      <w:tabs>
        <w:tab w:val="left" w:pos="567"/>
      </w:tabs>
      <w:spacing w:line="360" w:lineRule="auto"/>
      <w:ind w:left="567" w:hanging="567"/>
      <w:jc w:val="both"/>
    </w:pPr>
    <w:rPr>
      <w:rFonts w:ascii="Book Antiqua" w:hAnsi="Book Antiqua" w:cs="Calibri"/>
    </w:rPr>
  </w:style>
  <w:style w:type="paragraph" w:customStyle="1" w:styleId="Style1">
    <w:name w:val="Style1"/>
    <w:basedOn w:val="p"/>
    <w:rsid w:val="001151D6"/>
    <w:pPr>
      <w:tabs>
        <w:tab w:val="clear" w:pos="567"/>
        <w:tab w:val="left" w:pos="1134"/>
      </w:tabs>
      <w:ind w:left="1134"/>
    </w:pPr>
  </w:style>
  <w:style w:type="paragraph" w:customStyle="1" w:styleId="subp">
    <w:name w:val="subp"/>
    <w:basedOn w:val="p"/>
    <w:rsid w:val="001151D6"/>
    <w:pPr>
      <w:tabs>
        <w:tab w:val="clear" w:pos="567"/>
        <w:tab w:val="left" w:pos="1134"/>
      </w:tabs>
      <w:ind w:left="1134"/>
    </w:pPr>
  </w:style>
  <w:style w:type="paragraph" w:styleId="DocumentMap">
    <w:name w:val="Document Map"/>
    <w:basedOn w:val="Normal"/>
    <w:semiHidden/>
    <w:rsid w:val="007B36B7"/>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2052</Words>
  <Characters>10097</Characters>
  <Application>Microsoft Office Word</Application>
  <DocSecurity>0</DocSecurity>
  <Lines>84</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2018-08-07T12:06:00Z</dcterms:created>
  <dcterms:modified xsi:type="dcterms:W3CDTF">2018-08-07T12:06:00Z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