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890D1C" w:rsidRDefault="00D53B3B" w:rsidP="005B6FD0">
      <w:pPr>
        <w:jc w:val="center"/>
        <w:rPr>
          <w:rFonts w:ascii="Book Antiqua" w:hAnsi="Book Antiqua" w:cs="Arial"/>
          <w:caps/>
          <w:color w:val="000000"/>
          <w:sz w:val="16"/>
          <w:szCs w:val="16"/>
        </w:rPr>
      </w:pPr>
      <w:r>
        <w:rPr>
          <w:noProof/>
        </w:rPr>
        <w:drawing>
          <wp:inline distT="0" distB="0" distL="0" distR="0">
            <wp:extent cx="104648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6480" cy="906145"/>
                    </a:xfrm>
                    <a:prstGeom prst="rect">
                      <a:avLst/>
                    </a:prstGeom>
                    <a:noFill/>
                    <a:ln>
                      <a:noFill/>
                    </a:ln>
                  </pic:spPr>
                </pic:pic>
              </a:graphicData>
            </a:graphic>
          </wp:inline>
        </w:drawing>
      </w:r>
    </w:p>
    <w:p w:rsidR="00D94AFC" w:rsidRPr="00890D1C" w:rsidRDefault="00D94AFC">
      <w:pPr>
        <w:rPr>
          <w:rFonts w:ascii="Book Antiqua" w:hAnsi="Book Antiqua" w:cs="Arial"/>
          <w:color w:val="000000"/>
          <w:sz w:val="16"/>
          <w:szCs w:val="16"/>
        </w:rPr>
      </w:pP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890D1C" w:rsidRDefault="005B6FD0" w:rsidP="00780F86">
      <w:pPr>
        <w:tabs>
          <w:tab w:val="right" w:pos="9720"/>
        </w:tabs>
        <w:ind w:right="-82"/>
        <w:rPr>
          <w:rFonts w:ascii="Book Antiqua" w:hAnsi="Book Antiqua" w:cs="Arial"/>
          <w:color w:val="000000"/>
        </w:rPr>
      </w:pPr>
      <w:r w:rsidRPr="00890D1C">
        <w:rPr>
          <w:rFonts w:ascii="Book Antiqua" w:hAnsi="Book Antiqua" w:cs="Arial"/>
          <w:b/>
          <w:color w:val="000000"/>
        </w:rPr>
        <w:t>(Immigration and Asylum Chamber)</w:t>
      </w:r>
      <w:r w:rsidR="00DB70AE" w:rsidRPr="00890D1C">
        <w:rPr>
          <w:rFonts w:ascii="Book Antiqua" w:hAnsi="Book Antiqua" w:cs="Arial"/>
          <w:b/>
          <w:color w:val="000000"/>
        </w:rPr>
        <w:tab/>
      </w:r>
      <w:r w:rsidR="00B3524D" w:rsidRPr="00890D1C">
        <w:rPr>
          <w:rFonts w:ascii="Book Antiqua" w:hAnsi="Book Antiqua" w:cs="Arial"/>
          <w:color w:val="000000"/>
        </w:rPr>
        <w:t>Appeal Number</w:t>
      </w:r>
      <w:r w:rsidR="00D53769" w:rsidRPr="00890D1C">
        <w:rPr>
          <w:rFonts w:ascii="Book Antiqua" w:hAnsi="Book Antiqua" w:cs="Arial"/>
          <w:color w:val="000000"/>
        </w:rPr>
        <w:t>:</w:t>
      </w:r>
      <w:r w:rsidR="00B3524D" w:rsidRPr="00890D1C">
        <w:rPr>
          <w:rFonts w:ascii="Book Antiqua" w:hAnsi="Book Antiqua" w:cs="Arial"/>
          <w:color w:val="000000"/>
        </w:rPr>
        <w:t xml:space="preserve"> </w:t>
      </w:r>
      <w:bookmarkStart w:id="0" w:name="_GoBack"/>
      <w:r w:rsidR="00252D28">
        <w:rPr>
          <w:rFonts w:ascii="Book Antiqua" w:hAnsi="Book Antiqua" w:cs="Arial"/>
          <w:caps/>
          <w:color w:val="000000"/>
        </w:rPr>
        <w:t>IA/34936/2015</w:t>
      </w:r>
      <w:bookmarkEnd w:id="0"/>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p w:rsidR="00C345E1" w:rsidRPr="00890D1C" w:rsidRDefault="00C345E1" w:rsidP="00C345E1">
      <w:pPr>
        <w:jc w:val="center"/>
        <w:rPr>
          <w:rFonts w:ascii="Book Antiqua" w:hAnsi="Book Antiqua" w:cs="Arial"/>
          <w:b/>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19"/>
        <w:gridCol w:w="4819"/>
      </w:tblGrid>
      <w:tr w:rsidR="00D22636" w:rsidRPr="00890D1C" w:rsidTr="00F7512E">
        <w:tc>
          <w:tcPr>
            <w:tcW w:w="2500" w:type="pct"/>
          </w:tcPr>
          <w:p w:rsidR="00D22636" w:rsidRPr="00890D1C" w:rsidRDefault="00D22636" w:rsidP="00F7512E">
            <w:pPr>
              <w:rPr>
                <w:rFonts w:ascii="Book Antiqua" w:hAnsi="Book Antiqua" w:cs="Arial"/>
                <w:b/>
              </w:rPr>
            </w:pPr>
            <w:r w:rsidRPr="00890D1C">
              <w:rPr>
                <w:rFonts w:ascii="Book Antiqua" w:hAnsi="Book Antiqua" w:cs="Arial"/>
                <w:b/>
              </w:rPr>
              <w:t xml:space="preserve">Heard at </w:t>
            </w:r>
            <w:r w:rsidR="00252D28">
              <w:rPr>
                <w:rFonts w:ascii="Book Antiqua" w:hAnsi="Book Antiqua" w:cs="Arial"/>
                <w:b/>
              </w:rPr>
              <w:t>Field House</w:t>
            </w:r>
          </w:p>
        </w:tc>
        <w:tc>
          <w:tcPr>
            <w:tcW w:w="2500" w:type="pct"/>
          </w:tcPr>
          <w:p w:rsidR="00D22636" w:rsidRPr="00890D1C" w:rsidRDefault="009268C6" w:rsidP="00F7512E">
            <w:pPr>
              <w:jc w:val="right"/>
              <w:rPr>
                <w:rFonts w:ascii="Book Antiqua" w:hAnsi="Book Antiqua" w:cs="Arial"/>
                <w:b/>
                <w:color w:val="000000"/>
              </w:rPr>
            </w:pPr>
            <w:r>
              <w:rPr>
                <w:rFonts w:ascii="Book Antiqua" w:hAnsi="Book Antiqua" w:cs="Arial"/>
                <w:b/>
                <w:color w:val="000000"/>
              </w:rPr>
              <w:t>Decision &amp; Reasons</w:t>
            </w:r>
            <w:r w:rsidR="00283659" w:rsidRPr="00890D1C">
              <w:rPr>
                <w:rFonts w:ascii="Book Antiqua" w:hAnsi="Book Antiqua" w:cs="Arial"/>
                <w:b/>
                <w:color w:val="000000"/>
              </w:rPr>
              <w:t xml:space="preserve"> Promulgated</w:t>
            </w:r>
          </w:p>
        </w:tc>
      </w:tr>
      <w:tr w:rsidR="00D22636" w:rsidRPr="00890D1C" w:rsidTr="00F7512E">
        <w:tc>
          <w:tcPr>
            <w:tcW w:w="2500" w:type="pct"/>
          </w:tcPr>
          <w:p w:rsidR="00E57C8E" w:rsidRPr="00890D1C" w:rsidRDefault="00D22636" w:rsidP="00F7512E">
            <w:pPr>
              <w:rPr>
                <w:rFonts w:ascii="Book Antiqua" w:hAnsi="Book Antiqua" w:cs="Arial"/>
                <w:b/>
              </w:rPr>
            </w:pPr>
            <w:r w:rsidRPr="00890D1C">
              <w:rPr>
                <w:rFonts w:ascii="Book Antiqua" w:hAnsi="Book Antiqua" w:cs="Arial"/>
                <w:b/>
              </w:rPr>
              <w:t xml:space="preserve">On </w:t>
            </w:r>
            <w:r w:rsidR="00252D28">
              <w:rPr>
                <w:rFonts w:ascii="Book Antiqua" w:hAnsi="Book Antiqua" w:cs="Arial"/>
                <w:b/>
              </w:rPr>
              <w:t>15</w:t>
            </w:r>
            <w:r w:rsidR="00252D28" w:rsidRPr="00252D28">
              <w:rPr>
                <w:rFonts w:ascii="Book Antiqua" w:hAnsi="Book Antiqua" w:cs="Arial"/>
                <w:b/>
                <w:vertAlign w:val="superscript"/>
              </w:rPr>
              <w:t>th</w:t>
            </w:r>
            <w:r w:rsidR="00E443E0">
              <w:rPr>
                <w:rFonts w:ascii="Book Antiqua" w:hAnsi="Book Antiqua" w:cs="Arial"/>
                <w:b/>
              </w:rPr>
              <w:t xml:space="preserve"> May</w:t>
            </w:r>
            <w:r w:rsidR="00252D28">
              <w:rPr>
                <w:rFonts w:ascii="Book Antiqua" w:hAnsi="Book Antiqua" w:cs="Arial"/>
                <w:b/>
              </w:rPr>
              <w:t xml:space="preserve"> 2018</w:t>
            </w:r>
          </w:p>
        </w:tc>
        <w:tc>
          <w:tcPr>
            <w:tcW w:w="2500" w:type="pct"/>
          </w:tcPr>
          <w:p w:rsidR="00D22636" w:rsidRPr="00890D1C" w:rsidRDefault="002F3688" w:rsidP="00F7512E">
            <w:pPr>
              <w:jc w:val="right"/>
              <w:rPr>
                <w:rFonts w:ascii="Book Antiqua" w:hAnsi="Book Antiqua" w:cs="Arial"/>
                <w:b/>
              </w:rPr>
            </w:pPr>
            <w:r>
              <w:rPr>
                <w:rFonts w:ascii="Book Antiqua" w:hAnsi="Book Antiqua" w:cs="Arial"/>
                <w:b/>
              </w:rPr>
              <w:t>On 23</w:t>
            </w:r>
            <w:r w:rsidRPr="002F3688">
              <w:rPr>
                <w:rFonts w:ascii="Book Antiqua" w:hAnsi="Book Antiqua" w:cs="Arial"/>
                <w:b/>
                <w:vertAlign w:val="superscript"/>
              </w:rPr>
              <w:t>rd</w:t>
            </w:r>
            <w:r>
              <w:rPr>
                <w:rFonts w:ascii="Book Antiqua" w:hAnsi="Book Antiqua" w:cs="Arial"/>
                <w:b/>
              </w:rPr>
              <w:t xml:space="preserve"> May 2018</w:t>
            </w:r>
          </w:p>
        </w:tc>
      </w:tr>
      <w:tr w:rsidR="002F3688" w:rsidRPr="00890D1C" w:rsidTr="00F7512E">
        <w:trPr>
          <w:gridAfter w:val="1"/>
          <w:wAfter w:w="2500" w:type="pct"/>
        </w:trPr>
        <w:tc>
          <w:tcPr>
            <w:tcW w:w="2500" w:type="pct"/>
          </w:tcPr>
          <w:p w:rsidR="002F3688" w:rsidRPr="00890D1C" w:rsidRDefault="00F7512E" w:rsidP="00F7512E">
            <w:pPr>
              <w:rPr>
                <w:rFonts w:ascii="Book Antiqua" w:hAnsi="Book Antiqua" w:cs="Arial"/>
                <w:b/>
              </w:rPr>
            </w:pPr>
            <w:r>
              <w:rPr>
                <w:rFonts w:ascii="Book Antiqua" w:hAnsi="Book Antiqua" w:cs="Arial"/>
                <w:b/>
              </w:rPr>
              <w:t>T</w:t>
            </w:r>
            <w:r>
              <w:rPr>
                <w:rFonts w:ascii="Book Antiqua" w:hAnsi="Book Antiqua" w:cs="Arial"/>
                <w:b/>
              </w:rPr>
              <w:t>yped</w:t>
            </w:r>
            <w:r>
              <w:rPr>
                <w:rFonts w:ascii="Book Antiqua" w:hAnsi="Book Antiqua" w:cs="Arial"/>
                <w:b/>
              </w:rPr>
              <w:t>, c</w:t>
            </w:r>
            <w:r w:rsidRPr="00F7512E">
              <w:rPr>
                <w:rFonts w:ascii="Book Antiqua" w:hAnsi="Book Antiqua" w:cs="Arial"/>
                <w:b/>
              </w:rPr>
              <w:t>orrected, signed, and sent to Promulgation on 18</w:t>
            </w:r>
            <w:r w:rsidRPr="00F7512E">
              <w:rPr>
                <w:rFonts w:ascii="Book Antiqua" w:hAnsi="Book Antiqua" w:cs="Arial"/>
                <w:b/>
                <w:vertAlign w:val="superscript"/>
              </w:rPr>
              <w:t>th</w:t>
            </w:r>
            <w:r w:rsidRPr="00F7512E">
              <w:rPr>
                <w:rFonts w:ascii="Book Antiqua" w:hAnsi="Book Antiqua" w:cs="Arial"/>
                <w:b/>
              </w:rPr>
              <w:t xml:space="preserve"> May</w:t>
            </w:r>
            <w:r>
              <w:rPr>
                <w:rFonts w:ascii="Book Antiqua" w:hAnsi="Book Antiqua" w:cs="Arial"/>
                <w:b/>
              </w:rPr>
              <w:t xml:space="preserve"> </w:t>
            </w:r>
            <w:r w:rsidRPr="00F7512E">
              <w:rPr>
                <w:rFonts w:ascii="Book Antiqua" w:hAnsi="Book Antiqua" w:cs="Arial"/>
                <w:b/>
              </w:rPr>
              <w:t>2018</w:t>
            </w:r>
          </w:p>
        </w:tc>
      </w:tr>
    </w:tbl>
    <w:p w:rsidR="00A15234" w:rsidRPr="00890D1C" w:rsidRDefault="00A15234" w:rsidP="00A15234">
      <w:pPr>
        <w:jc w:val="center"/>
        <w:rPr>
          <w:rFonts w:ascii="Book Antiqua" w:hAnsi="Book Antiqua" w:cs="Arial"/>
        </w:rPr>
      </w:pPr>
    </w:p>
    <w:p w:rsidR="00A15234" w:rsidRPr="00890D1C" w:rsidRDefault="00A15234" w:rsidP="00A15234">
      <w:pPr>
        <w:jc w:val="center"/>
        <w:rPr>
          <w:rFonts w:ascii="Book Antiqua" w:hAnsi="Book Antiqua" w:cs="Arial"/>
        </w:rPr>
      </w:pPr>
    </w:p>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383246" w:rsidP="00A15234">
      <w:pPr>
        <w:jc w:val="center"/>
        <w:rPr>
          <w:rFonts w:ascii="Book Antiqua" w:hAnsi="Book Antiqua" w:cs="Arial"/>
          <w:b/>
          <w:color w:val="000000"/>
        </w:rPr>
      </w:pPr>
      <w:r>
        <w:rPr>
          <w:rFonts w:ascii="Book Antiqua" w:hAnsi="Book Antiqua" w:cs="Arial"/>
          <w:b/>
          <w:color w:val="000000"/>
        </w:rPr>
        <w:t>Upper Tribunal</w:t>
      </w:r>
      <w:r w:rsidR="00F4482D" w:rsidRPr="00890D1C">
        <w:rPr>
          <w:rFonts w:ascii="Book Antiqua" w:hAnsi="Book Antiqua" w:cs="Arial"/>
          <w:b/>
          <w:color w:val="000000"/>
        </w:rPr>
        <w:t xml:space="preserve"> Judge</w:t>
      </w:r>
      <w:r w:rsidR="001B2F75" w:rsidRPr="00890D1C">
        <w:rPr>
          <w:rFonts w:ascii="Book Antiqua" w:hAnsi="Book Antiqua" w:cs="Arial"/>
          <w:b/>
          <w:color w:val="000000"/>
        </w:rPr>
        <w:t xml:space="preserve"> </w:t>
      </w:r>
      <w:r w:rsidR="00A41957" w:rsidRPr="00890D1C">
        <w:rPr>
          <w:rFonts w:ascii="Book Antiqua" w:hAnsi="Book Antiqua" w:cs="Arial"/>
          <w:b/>
          <w:color w:val="000000"/>
        </w:rPr>
        <w:t>C</w:t>
      </w:r>
      <w:r w:rsidR="00F4482D" w:rsidRPr="00890D1C">
        <w:rPr>
          <w:rFonts w:ascii="Book Antiqua" w:hAnsi="Book Antiqua" w:cs="Arial"/>
          <w:b/>
          <w:color w:val="000000"/>
        </w:rPr>
        <w:t>halkley</w:t>
      </w:r>
    </w:p>
    <w:p w:rsidR="00A845DC" w:rsidRDefault="00A845DC" w:rsidP="00A15234">
      <w:pPr>
        <w:jc w:val="center"/>
        <w:rPr>
          <w:rFonts w:ascii="Book Antiqua" w:hAnsi="Book Antiqua" w:cs="Arial"/>
          <w:b/>
        </w:rPr>
      </w:pPr>
    </w:p>
    <w:p w:rsidR="00F7512E" w:rsidRPr="00890D1C" w:rsidRDefault="00F7512E"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252D28" w:rsidRPr="00890D1C" w:rsidRDefault="00252D28" w:rsidP="00252D28">
      <w:pPr>
        <w:jc w:val="center"/>
        <w:rPr>
          <w:rFonts w:ascii="Book Antiqua" w:hAnsi="Book Antiqua" w:cs="Arial"/>
          <w:b/>
        </w:rPr>
      </w:pPr>
      <w:r w:rsidRPr="00890D1C">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90D1C">
        <w:rPr>
          <w:rFonts w:ascii="Book Antiqua" w:hAnsi="Book Antiqua" w:cs="Arial"/>
          <w:b/>
        </w:rPr>
        <w:instrText xml:space="preserve"> FORMTEXT </w:instrText>
      </w:r>
      <w:r w:rsidRPr="00890D1C">
        <w:rPr>
          <w:rFonts w:ascii="Book Antiqua" w:hAnsi="Book Antiqua" w:cs="Arial"/>
          <w:b/>
        </w:rPr>
      </w:r>
      <w:r w:rsidRPr="00890D1C">
        <w:rPr>
          <w:rFonts w:ascii="Book Antiqua" w:hAnsi="Book Antiqua" w:cs="Arial"/>
          <w:b/>
        </w:rPr>
        <w:fldChar w:fldCharType="separate"/>
      </w:r>
      <w:r w:rsidRPr="00890D1C">
        <w:rPr>
          <w:rFonts w:ascii="Book Antiqua" w:hAnsi="Book Antiqua" w:cs="Arial"/>
          <w:b/>
          <w:noProof/>
        </w:rPr>
        <w:t>THE SECRETARY OF STATE FOR THE HOME DEPARTMENT</w:t>
      </w:r>
      <w:r w:rsidRPr="00890D1C">
        <w:rPr>
          <w:rFonts w:ascii="Book Antiqua" w:hAnsi="Book Antiqua" w:cs="Arial"/>
          <w:b/>
        </w:rPr>
        <w:fldChar w:fldCharType="end"/>
      </w:r>
      <w:bookmarkEnd w:id="1"/>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Pr="00890D1C" w:rsidRDefault="00DD5071" w:rsidP="00704B61">
      <w:pPr>
        <w:jc w:val="center"/>
        <w:rPr>
          <w:rFonts w:ascii="Book Antiqua" w:hAnsi="Book Antiqua" w:cs="Arial"/>
          <w:b/>
        </w:rPr>
      </w:pPr>
    </w:p>
    <w:p w:rsidR="00252D28" w:rsidRDefault="00252D28" w:rsidP="00252D28">
      <w:pPr>
        <w:jc w:val="center"/>
        <w:rPr>
          <w:rFonts w:ascii="Book Antiqua" w:hAnsi="Book Antiqua" w:cs="Arial"/>
          <w:b/>
          <w:caps/>
        </w:rPr>
      </w:pPr>
      <w:r>
        <w:rPr>
          <w:rFonts w:ascii="Book Antiqua" w:hAnsi="Book Antiqua" w:cs="Arial"/>
          <w:b/>
          <w:caps/>
        </w:rPr>
        <w:t>Mr manik miah</w:t>
      </w:r>
    </w:p>
    <w:p w:rsidR="00252D28" w:rsidRDefault="00252D28" w:rsidP="00252D28">
      <w:pPr>
        <w:jc w:val="center"/>
        <w:rPr>
          <w:rFonts w:ascii="Book Antiqua" w:hAnsi="Book Antiqua" w:cs="Arial"/>
          <w:b/>
          <w:caps/>
        </w:rPr>
      </w:pPr>
      <w:r w:rsidRPr="009268C6">
        <w:rPr>
          <w:rFonts w:ascii="Book Antiqua" w:hAnsi="Book Antiqua" w:cs="Arial"/>
          <w:b/>
          <w:caps/>
        </w:rPr>
        <w:t xml:space="preserve">(ANONYMITY DIRECTION </w:t>
      </w:r>
      <w:r w:rsidR="00E443E0">
        <w:rPr>
          <w:rFonts w:ascii="Book Antiqua" w:hAnsi="Book Antiqua" w:cs="Arial"/>
          <w:b/>
          <w:caps/>
        </w:rPr>
        <w:t>NOT MADE</w:t>
      </w:r>
      <w:r w:rsidRPr="009268C6">
        <w:rPr>
          <w:rFonts w:ascii="Book Antiqua" w:hAnsi="Book Antiqua" w:cs="Arial"/>
          <w:b/>
          <w:caps/>
        </w:rPr>
        <w:t>)</w:t>
      </w:r>
    </w:p>
    <w:p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rsidR="00DD5071" w:rsidRPr="00890D1C" w:rsidRDefault="00DD5071" w:rsidP="00DD5071">
      <w:pPr>
        <w:rPr>
          <w:rFonts w:ascii="Book Antiqua" w:hAnsi="Book Antiqua" w:cs="Arial"/>
          <w:u w:val="single"/>
        </w:rPr>
      </w:pPr>
    </w:p>
    <w:p w:rsidR="00DD5071" w:rsidRPr="00890D1C" w:rsidRDefault="00DD5071" w:rsidP="00DD5071">
      <w:pPr>
        <w:rPr>
          <w:rFonts w:ascii="Book Antiqua" w:hAnsi="Book Antiqua" w:cs="Arial"/>
          <w:u w:val="single"/>
        </w:rPr>
      </w:pPr>
    </w:p>
    <w:p w:rsidR="00DD5071" w:rsidRPr="002901A2" w:rsidRDefault="00DE7DB7" w:rsidP="00DD5071">
      <w:pPr>
        <w:rPr>
          <w:rFonts w:ascii="Book Antiqua" w:hAnsi="Book Antiqua" w:cs="Arial"/>
          <w:i/>
          <w:sz w:val="22"/>
          <w:szCs w:val="22"/>
        </w:rPr>
      </w:pPr>
      <w:r w:rsidRPr="002901A2">
        <w:rPr>
          <w:rFonts w:ascii="Book Antiqua" w:hAnsi="Book Antiqua" w:cs="Arial"/>
          <w:b/>
          <w:i/>
          <w:sz w:val="22"/>
          <w:szCs w:val="22"/>
          <w:u w:val="single"/>
        </w:rPr>
        <w:t>Representation</w:t>
      </w:r>
      <w:r w:rsidRPr="002901A2">
        <w:rPr>
          <w:rFonts w:ascii="Book Antiqua" w:hAnsi="Book Antiqua" w:cs="Arial"/>
          <w:b/>
          <w:i/>
          <w:sz w:val="22"/>
          <w:szCs w:val="22"/>
        </w:rPr>
        <w:t>:</w:t>
      </w:r>
    </w:p>
    <w:p w:rsidR="00DE7DB7" w:rsidRPr="002901A2" w:rsidRDefault="00DE7DB7" w:rsidP="00DE7DB7">
      <w:pPr>
        <w:tabs>
          <w:tab w:val="left" w:pos="2520"/>
        </w:tabs>
        <w:rPr>
          <w:rFonts w:ascii="Book Antiqua" w:hAnsi="Book Antiqua" w:cs="Arial"/>
          <w:i/>
          <w:sz w:val="22"/>
          <w:szCs w:val="22"/>
        </w:rPr>
      </w:pPr>
      <w:r w:rsidRPr="002901A2">
        <w:rPr>
          <w:rFonts w:ascii="Book Antiqua" w:hAnsi="Book Antiqua" w:cs="Arial"/>
          <w:i/>
          <w:sz w:val="22"/>
          <w:szCs w:val="22"/>
        </w:rPr>
        <w:t>For the Appellant:</w:t>
      </w:r>
      <w:r w:rsidRPr="002901A2">
        <w:rPr>
          <w:rFonts w:ascii="Book Antiqua" w:hAnsi="Book Antiqua" w:cs="Arial"/>
          <w:i/>
          <w:sz w:val="22"/>
          <w:szCs w:val="22"/>
        </w:rPr>
        <w:tab/>
      </w:r>
      <w:r w:rsidR="00252D28">
        <w:rPr>
          <w:rFonts w:ascii="Book Antiqua" w:hAnsi="Book Antiqua" w:cs="Arial"/>
          <w:i/>
          <w:sz w:val="22"/>
          <w:szCs w:val="22"/>
        </w:rPr>
        <w:t>Mr S Kotas, Senior Home Office Presenting Officer</w:t>
      </w:r>
    </w:p>
    <w:p w:rsidR="00DE7DB7" w:rsidRPr="002901A2" w:rsidRDefault="00DE7DB7" w:rsidP="00DE7DB7">
      <w:pPr>
        <w:tabs>
          <w:tab w:val="left" w:pos="2520"/>
        </w:tabs>
        <w:rPr>
          <w:rFonts w:ascii="Book Antiqua" w:hAnsi="Book Antiqua" w:cs="Arial"/>
          <w:i/>
          <w:sz w:val="22"/>
          <w:szCs w:val="22"/>
        </w:rPr>
      </w:pPr>
      <w:r w:rsidRPr="002901A2">
        <w:rPr>
          <w:rFonts w:ascii="Book Antiqua" w:hAnsi="Book Antiqua" w:cs="Arial"/>
          <w:i/>
          <w:sz w:val="22"/>
          <w:szCs w:val="22"/>
        </w:rPr>
        <w:t>For the Respondent:</w:t>
      </w:r>
      <w:r w:rsidRPr="002901A2">
        <w:rPr>
          <w:rFonts w:ascii="Book Antiqua" w:hAnsi="Book Antiqua" w:cs="Arial"/>
          <w:i/>
          <w:sz w:val="22"/>
          <w:szCs w:val="22"/>
        </w:rPr>
        <w:tab/>
      </w:r>
      <w:r w:rsidR="00252D28">
        <w:rPr>
          <w:rFonts w:ascii="Book Antiqua" w:hAnsi="Book Antiqua" w:cs="Arial"/>
          <w:i/>
          <w:sz w:val="22"/>
          <w:szCs w:val="22"/>
        </w:rPr>
        <w:t>Ms R Popal instructed by Hunter Stone</w:t>
      </w:r>
    </w:p>
    <w:p w:rsidR="00DE7DB7" w:rsidRPr="00890D1C" w:rsidRDefault="00DE7DB7" w:rsidP="00402B9E">
      <w:pPr>
        <w:tabs>
          <w:tab w:val="left" w:pos="2520"/>
        </w:tabs>
        <w:jc w:val="center"/>
        <w:rPr>
          <w:rFonts w:ascii="Book Antiqua" w:hAnsi="Book Antiqua" w:cs="Arial"/>
        </w:rPr>
      </w:pPr>
    </w:p>
    <w:p w:rsidR="00DE7DB7" w:rsidRPr="00890D1C" w:rsidRDefault="00DE7DB7" w:rsidP="00402B9E">
      <w:pPr>
        <w:tabs>
          <w:tab w:val="left" w:pos="2520"/>
        </w:tabs>
        <w:jc w:val="center"/>
        <w:rPr>
          <w:rFonts w:ascii="Book Antiqua" w:hAnsi="Book Antiqua" w:cs="Arial"/>
        </w:rPr>
      </w:pPr>
    </w:p>
    <w:p w:rsidR="00DE7DB7" w:rsidRPr="00890D1C" w:rsidRDefault="009268C6" w:rsidP="00402B9E">
      <w:pPr>
        <w:tabs>
          <w:tab w:val="left" w:pos="2520"/>
        </w:tabs>
        <w:jc w:val="center"/>
        <w:rPr>
          <w:rFonts w:ascii="Book Antiqua" w:hAnsi="Book Antiqua" w:cs="Arial"/>
        </w:rPr>
      </w:pPr>
      <w:r>
        <w:rPr>
          <w:rFonts w:ascii="Book Antiqua" w:hAnsi="Book Antiqua" w:cs="Arial"/>
          <w:b/>
          <w:u w:val="single"/>
        </w:rPr>
        <w:t>DE</w:t>
      </w:r>
      <w:r w:rsidR="00252D28">
        <w:rPr>
          <w:rFonts w:ascii="Book Antiqua" w:hAnsi="Book Antiqua" w:cs="Arial"/>
          <w:b/>
          <w:u w:val="single"/>
        </w:rPr>
        <w:t>TERMINATION</w:t>
      </w:r>
      <w:r w:rsidR="00402B9E" w:rsidRPr="00890D1C">
        <w:rPr>
          <w:rFonts w:ascii="Book Antiqua" w:hAnsi="Book Antiqua" w:cs="Arial"/>
          <w:b/>
          <w:u w:val="single"/>
        </w:rPr>
        <w:t>AND REASONS</w:t>
      </w:r>
    </w:p>
    <w:p w:rsidR="00AD6855" w:rsidRDefault="00402B9E" w:rsidP="00F7512E">
      <w:pPr>
        <w:tabs>
          <w:tab w:val="left" w:pos="567"/>
        </w:tabs>
        <w:spacing w:before="240"/>
        <w:ind w:left="567" w:hanging="567"/>
        <w:jc w:val="both"/>
        <w:rPr>
          <w:rFonts w:ascii="Book Antiqua" w:hAnsi="Book Antiqua" w:cs="Arial"/>
        </w:rPr>
      </w:pPr>
      <w:r w:rsidRPr="00890D1C">
        <w:rPr>
          <w:rFonts w:ascii="Book Antiqua" w:hAnsi="Book Antiqua" w:cs="Arial"/>
        </w:rPr>
        <w:t>1.</w:t>
      </w:r>
      <w:r w:rsidRPr="00890D1C">
        <w:rPr>
          <w:rFonts w:ascii="Book Antiqua" w:hAnsi="Book Antiqua" w:cs="Arial"/>
        </w:rPr>
        <w:tab/>
      </w:r>
      <w:r w:rsidR="00AD6855">
        <w:rPr>
          <w:rFonts w:ascii="Book Antiqua" w:hAnsi="Book Antiqua" w:cs="Arial"/>
        </w:rPr>
        <w:t>In this appeal t</w:t>
      </w:r>
      <w:r w:rsidR="00252D28">
        <w:rPr>
          <w:rFonts w:ascii="Book Antiqua" w:hAnsi="Book Antiqua" w:cs="Arial"/>
        </w:rPr>
        <w:t>he appellant is</w:t>
      </w:r>
      <w:r w:rsidR="00AD6855">
        <w:rPr>
          <w:rFonts w:ascii="Book Antiqua" w:hAnsi="Book Antiqua" w:cs="Arial"/>
        </w:rPr>
        <w:t xml:space="preserve"> the Secretary of State for the Home Department.  To avoid </w:t>
      </w:r>
      <w:r w:rsidR="00CA0840">
        <w:rPr>
          <w:rFonts w:ascii="Book Antiqua" w:hAnsi="Book Antiqua" w:cs="Arial"/>
        </w:rPr>
        <w:t>confusion,</w:t>
      </w:r>
      <w:r w:rsidR="00AD6855">
        <w:rPr>
          <w:rFonts w:ascii="Book Antiqua" w:hAnsi="Book Antiqua" w:cs="Arial"/>
        </w:rPr>
        <w:t xml:space="preserve"> I am going to refer to her as being the, “claimant”.</w:t>
      </w:r>
    </w:p>
    <w:p w:rsidR="00FE38AF" w:rsidRDefault="00AD6855" w:rsidP="00F7512E">
      <w:pPr>
        <w:tabs>
          <w:tab w:val="left" w:pos="567"/>
        </w:tabs>
        <w:spacing w:before="240"/>
        <w:ind w:left="567" w:hanging="567"/>
        <w:jc w:val="both"/>
        <w:rPr>
          <w:rFonts w:ascii="Book Antiqua" w:hAnsi="Book Antiqua" w:cs="Arial"/>
        </w:rPr>
      </w:pPr>
      <w:r>
        <w:rPr>
          <w:rFonts w:ascii="Book Antiqua" w:hAnsi="Book Antiqua" w:cs="Arial"/>
        </w:rPr>
        <w:t>2.</w:t>
      </w:r>
      <w:r>
        <w:rPr>
          <w:rFonts w:ascii="Book Antiqua" w:hAnsi="Book Antiqua" w:cs="Arial"/>
        </w:rPr>
        <w:tab/>
        <w:t xml:space="preserve">The respondent is a citizen of Bangladesh born on </w:t>
      </w:r>
      <w:r w:rsidR="00252D28">
        <w:rPr>
          <w:rFonts w:ascii="Book Antiqua" w:hAnsi="Book Antiqua" w:cs="Arial"/>
        </w:rPr>
        <w:t>1</w:t>
      </w:r>
      <w:r w:rsidR="00252D28" w:rsidRPr="00252D28">
        <w:rPr>
          <w:rFonts w:ascii="Book Antiqua" w:hAnsi="Book Antiqua" w:cs="Arial"/>
          <w:vertAlign w:val="superscript"/>
        </w:rPr>
        <w:t>st</w:t>
      </w:r>
      <w:r w:rsidR="00E443E0">
        <w:rPr>
          <w:rFonts w:ascii="Book Antiqua" w:hAnsi="Book Antiqua" w:cs="Arial"/>
        </w:rPr>
        <w:t xml:space="preserve"> January</w:t>
      </w:r>
      <w:r w:rsidR="00252D28">
        <w:rPr>
          <w:rFonts w:ascii="Book Antiqua" w:hAnsi="Book Antiqua" w:cs="Arial"/>
        </w:rPr>
        <w:t xml:space="preserve"> 1968.  </w:t>
      </w:r>
      <w:r>
        <w:rPr>
          <w:rFonts w:ascii="Book Antiqua" w:hAnsi="Book Antiqua" w:cs="Arial"/>
        </w:rPr>
        <w:t>He entered the United Kingdom in January</w:t>
      </w:r>
      <w:r w:rsidR="00252D28">
        <w:rPr>
          <w:rFonts w:ascii="Book Antiqua" w:hAnsi="Book Antiqua" w:cs="Arial"/>
        </w:rPr>
        <w:t xml:space="preserve"> 2001</w:t>
      </w:r>
      <w:r w:rsidR="00E443E0">
        <w:rPr>
          <w:rFonts w:ascii="Book Antiqua" w:hAnsi="Book Antiqua" w:cs="Arial"/>
        </w:rPr>
        <w:t>,</w:t>
      </w:r>
      <w:r w:rsidR="00252D28">
        <w:rPr>
          <w:rFonts w:ascii="Book Antiqua" w:hAnsi="Book Antiqua" w:cs="Arial"/>
        </w:rPr>
        <w:t xml:space="preserve"> apparently </w:t>
      </w:r>
      <w:r>
        <w:rPr>
          <w:rFonts w:ascii="Book Antiqua" w:hAnsi="Book Antiqua" w:cs="Arial"/>
        </w:rPr>
        <w:t xml:space="preserve">in possession of </w:t>
      </w:r>
      <w:r w:rsidR="00252D28">
        <w:rPr>
          <w:rFonts w:ascii="Book Antiqua" w:hAnsi="Book Antiqua" w:cs="Arial"/>
        </w:rPr>
        <w:t>a visit visa</w:t>
      </w:r>
      <w:r w:rsidR="00E443E0">
        <w:rPr>
          <w:rFonts w:ascii="Book Antiqua" w:hAnsi="Book Antiqua" w:cs="Arial"/>
        </w:rPr>
        <w:t>,</w:t>
      </w:r>
      <w:r w:rsidR="00252D28">
        <w:rPr>
          <w:rFonts w:ascii="Book Antiqua" w:hAnsi="Book Antiqua" w:cs="Arial"/>
        </w:rPr>
        <w:t xml:space="preserve"> </w:t>
      </w:r>
      <w:r>
        <w:rPr>
          <w:rFonts w:ascii="Book Antiqua" w:hAnsi="Book Antiqua" w:cs="Arial"/>
        </w:rPr>
        <w:t>and decided not to leave the United Kingdom on expiry.  On 31</w:t>
      </w:r>
      <w:r w:rsidRPr="00AD6855">
        <w:rPr>
          <w:rFonts w:ascii="Book Antiqua" w:hAnsi="Book Antiqua" w:cs="Arial"/>
          <w:vertAlign w:val="superscript"/>
        </w:rPr>
        <w:t>st</w:t>
      </w:r>
      <w:r w:rsidR="00E443E0">
        <w:rPr>
          <w:rFonts w:ascii="Book Antiqua" w:hAnsi="Book Antiqua" w:cs="Arial"/>
        </w:rPr>
        <w:t xml:space="preserve"> March</w:t>
      </w:r>
      <w:r>
        <w:rPr>
          <w:rFonts w:ascii="Book Antiqua" w:hAnsi="Book Antiqua" w:cs="Arial"/>
        </w:rPr>
        <w:t xml:space="preserve"> 2008</w:t>
      </w:r>
      <w:r w:rsidR="00E443E0">
        <w:rPr>
          <w:rFonts w:ascii="Book Antiqua" w:hAnsi="Book Antiqua" w:cs="Arial"/>
        </w:rPr>
        <w:t>,</w:t>
      </w:r>
      <w:r w:rsidR="00596EA2">
        <w:rPr>
          <w:rFonts w:ascii="Book Antiqua" w:hAnsi="Book Antiqua" w:cs="Arial"/>
        </w:rPr>
        <w:t xml:space="preserve"> </w:t>
      </w:r>
      <w:r>
        <w:rPr>
          <w:rFonts w:ascii="Book Antiqua" w:hAnsi="Book Antiqua" w:cs="Arial"/>
        </w:rPr>
        <w:t xml:space="preserve">the respondent made </w:t>
      </w:r>
      <w:r>
        <w:rPr>
          <w:rFonts w:ascii="Book Antiqua" w:hAnsi="Book Antiqua" w:cs="Arial"/>
        </w:rPr>
        <w:lastRenderedPageBreak/>
        <w:t>application for leave to remain on the basis of his Article 8 rights.  That application was finally considered and refused by the claimant on 4</w:t>
      </w:r>
      <w:r w:rsidRPr="00AD6855">
        <w:rPr>
          <w:rFonts w:ascii="Book Antiqua" w:hAnsi="Book Antiqua" w:cs="Arial"/>
          <w:vertAlign w:val="superscript"/>
        </w:rPr>
        <w:t>th</w:t>
      </w:r>
      <w:r w:rsidR="00E443E0">
        <w:rPr>
          <w:rFonts w:ascii="Book Antiqua" w:hAnsi="Book Antiqua" w:cs="Arial"/>
        </w:rPr>
        <w:t xml:space="preserve"> December</w:t>
      </w:r>
      <w:r>
        <w:rPr>
          <w:rFonts w:ascii="Book Antiqua" w:hAnsi="Book Antiqua" w:cs="Arial"/>
        </w:rPr>
        <w:t xml:space="preserve"> 2015.  The judge concluded that there would be very significant obstacles to the </w:t>
      </w:r>
      <w:r w:rsidR="00E443E0">
        <w:rPr>
          <w:rFonts w:ascii="Book Antiqua" w:hAnsi="Book Antiqua" w:cs="Arial"/>
        </w:rPr>
        <w:t>respondent’s</w:t>
      </w:r>
      <w:r>
        <w:rPr>
          <w:rFonts w:ascii="Book Antiqua" w:hAnsi="Book Antiqua" w:cs="Arial"/>
        </w:rPr>
        <w:t xml:space="preserve"> integration on his return to Bangladesh under paragraph 276ADE(vi).  The Tribunal went on to consider Article 8 outside the Immigration Rules and concluded that the appellant had both a private and a family life in the United Kingdom.</w:t>
      </w:r>
      <w:r w:rsidR="00F14E71">
        <w:rPr>
          <w:rFonts w:ascii="Book Antiqua" w:hAnsi="Book Antiqua" w:cs="Arial"/>
        </w:rPr>
        <w:t xml:space="preserve">  The judge said</w:t>
      </w:r>
      <w:r w:rsidR="00FE38AF">
        <w:rPr>
          <w:rFonts w:ascii="Book Antiqua" w:hAnsi="Book Antiqua" w:cs="Arial"/>
        </w:rPr>
        <w:t>,</w:t>
      </w:r>
      <w:r w:rsidR="00F14E71">
        <w:rPr>
          <w:rFonts w:ascii="Book Antiqua" w:hAnsi="Book Antiqua" w:cs="Arial"/>
        </w:rPr>
        <w:t xml:space="preserve"> </w:t>
      </w:r>
    </w:p>
    <w:p w:rsidR="00FE38AF" w:rsidRPr="00F7512E" w:rsidRDefault="00F14E71" w:rsidP="00F7512E">
      <w:pPr>
        <w:tabs>
          <w:tab w:val="left" w:pos="567"/>
        </w:tabs>
        <w:spacing w:before="120"/>
        <w:ind w:left="1134" w:right="567"/>
        <w:jc w:val="both"/>
        <w:rPr>
          <w:rFonts w:ascii="Book Antiqua" w:hAnsi="Book Antiqua"/>
          <w:sz w:val="22"/>
          <w:szCs w:val="22"/>
        </w:rPr>
      </w:pPr>
      <w:r w:rsidRPr="00F7512E">
        <w:rPr>
          <w:rFonts w:ascii="Book Antiqua" w:hAnsi="Book Antiqua"/>
          <w:sz w:val="22"/>
          <w:szCs w:val="22"/>
        </w:rPr>
        <w:t>“The impression given was of a close-knit and supportive</w:t>
      </w:r>
      <w:r w:rsidR="005F79E2" w:rsidRPr="00F7512E">
        <w:rPr>
          <w:rFonts w:ascii="Book Antiqua" w:hAnsi="Book Antiqua"/>
          <w:sz w:val="22"/>
          <w:szCs w:val="22"/>
        </w:rPr>
        <w:t xml:space="preserve"> </w:t>
      </w:r>
      <w:r w:rsidR="00FE38AF" w:rsidRPr="00F7512E">
        <w:rPr>
          <w:rFonts w:ascii="Book Antiqua" w:hAnsi="Book Antiqua"/>
          <w:sz w:val="22"/>
          <w:szCs w:val="22"/>
        </w:rPr>
        <w:t xml:space="preserve">family </w:t>
      </w:r>
      <w:r w:rsidRPr="00F7512E">
        <w:rPr>
          <w:rFonts w:ascii="Book Antiqua" w:hAnsi="Book Antiqua"/>
          <w:sz w:val="22"/>
          <w:szCs w:val="22"/>
        </w:rPr>
        <w:t xml:space="preserve">unit with his nephews providing a high degree of mutual care and support for each other.  The Tribunal was in no doubt that the operation of Article 8 considerations is engaged and that any such potential interference is lawful.  The real issue for the Tribunal is whether it is proportionate.”  </w:t>
      </w:r>
    </w:p>
    <w:p w:rsidR="00BF23BB" w:rsidRDefault="00F14E71" w:rsidP="00F7512E">
      <w:pPr>
        <w:tabs>
          <w:tab w:val="left" w:pos="567"/>
        </w:tabs>
        <w:spacing w:before="240"/>
        <w:ind w:left="567"/>
        <w:jc w:val="both"/>
        <w:rPr>
          <w:rFonts w:ascii="Book Antiqua" w:hAnsi="Book Antiqua" w:cs="Arial"/>
        </w:rPr>
      </w:pPr>
      <w:r>
        <w:rPr>
          <w:rFonts w:ascii="Book Antiqua" w:hAnsi="Book Antiqua" w:cs="Arial"/>
        </w:rPr>
        <w:t xml:space="preserve">The judge then went on to conclude that the current relationships the </w:t>
      </w:r>
      <w:r w:rsidR="00E443E0">
        <w:rPr>
          <w:rFonts w:ascii="Book Antiqua" w:hAnsi="Book Antiqua" w:cs="Arial"/>
        </w:rPr>
        <w:t>respondent</w:t>
      </w:r>
      <w:r>
        <w:rPr>
          <w:rFonts w:ascii="Book Antiqua" w:hAnsi="Book Antiqua" w:cs="Arial"/>
        </w:rPr>
        <w:t xml:space="preserve"> enjoyed involved </w:t>
      </w:r>
      <w:r w:rsidR="00E443E0">
        <w:rPr>
          <w:rFonts w:ascii="Book Antiqua" w:hAnsi="Book Antiqua" w:cs="Arial"/>
        </w:rPr>
        <w:t>“</w:t>
      </w:r>
      <w:r>
        <w:rPr>
          <w:rFonts w:ascii="Book Antiqua" w:hAnsi="Book Antiqua" w:cs="Arial"/>
        </w:rPr>
        <w:t>considerable emotional dependency</w:t>
      </w:r>
      <w:r w:rsidR="00E443E0">
        <w:rPr>
          <w:rFonts w:ascii="Book Antiqua" w:hAnsi="Book Antiqua" w:cs="Arial"/>
        </w:rPr>
        <w:t>”</w:t>
      </w:r>
      <w:r>
        <w:rPr>
          <w:rFonts w:ascii="Book Antiqua" w:hAnsi="Book Antiqua" w:cs="Arial"/>
        </w:rPr>
        <w:t xml:space="preserve"> and that the </w:t>
      </w:r>
      <w:r w:rsidR="00E443E0">
        <w:rPr>
          <w:rFonts w:ascii="Book Antiqua" w:hAnsi="Book Antiqua" w:cs="Arial"/>
        </w:rPr>
        <w:t>respondent</w:t>
      </w:r>
      <w:r>
        <w:rPr>
          <w:rFonts w:ascii="Book Antiqua" w:hAnsi="Book Antiqua" w:cs="Arial"/>
        </w:rPr>
        <w:t xml:space="preserve"> and his family in the United Kingdom have a </w:t>
      </w:r>
      <w:r w:rsidR="00E443E0">
        <w:rPr>
          <w:rFonts w:ascii="Book Antiqua" w:hAnsi="Book Antiqua" w:cs="Arial"/>
        </w:rPr>
        <w:t>“</w:t>
      </w:r>
      <w:r>
        <w:rPr>
          <w:rFonts w:ascii="Book Antiqua" w:hAnsi="Book Antiqua" w:cs="Arial"/>
        </w:rPr>
        <w:t>high degree of dependency</w:t>
      </w:r>
      <w:r w:rsidR="00E443E0">
        <w:rPr>
          <w:rFonts w:ascii="Book Antiqua" w:hAnsi="Book Antiqua" w:cs="Arial"/>
        </w:rPr>
        <w:t>”</w:t>
      </w:r>
      <w:r>
        <w:rPr>
          <w:rFonts w:ascii="Book Antiqua" w:hAnsi="Book Antiqua" w:cs="Arial"/>
        </w:rPr>
        <w:t xml:space="preserve"> on each other as witnesse</w:t>
      </w:r>
      <w:r w:rsidR="00FE38AF">
        <w:rPr>
          <w:rFonts w:ascii="Book Antiqua" w:hAnsi="Book Antiqua" w:cs="Arial"/>
        </w:rPr>
        <w:t>d</w:t>
      </w:r>
      <w:r>
        <w:rPr>
          <w:rFonts w:ascii="Book Antiqua" w:hAnsi="Book Antiqua" w:cs="Arial"/>
        </w:rPr>
        <w:t xml:space="preserve"> in the witness statements and oral evidence.  She allowed the appeal under Article 8.</w:t>
      </w:r>
    </w:p>
    <w:p w:rsidR="00F14E71" w:rsidRDefault="00F14E71" w:rsidP="00F7512E">
      <w:pPr>
        <w:tabs>
          <w:tab w:val="left" w:pos="567"/>
        </w:tabs>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claimant sought to challenge the determination and leave to appeal to the Upper Tribunal was granted by First-tier Tribunal Judge Lambert on the basis that the grounds argue an absence of adequate reasoning as to the very significant obstacles test under paragraph 276ADE(vi) sustaining the conclusion that the appellant, a </w:t>
      </w:r>
      <w:proofErr w:type="gramStart"/>
      <w:r>
        <w:rPr>
          <w:rFonts w:ascii="Book Antiqua" w:hAnsi="Book Antiqua" w:cs="Arial"/>
        </w:rPr>
        <w:t>49 year old</w:t>
      </w:r>
      <w:proofErr w:type="gramEnd"/>
      <w:r>
        <w:rPr>
          <w:rFonts w:ascii="Book Antiqua" w:hAnsi="Book Antiqua" w:cs="Arial"/>
        </w:rPr>
        <w:t xml:space="preserve"> who had arrived in the United Kingdom at the age of 33 would be an outsider in understanding how life was conducted in Bangladesh.  The conclusion under Article 8 outside the Rules that the </w:t>
      </w:r>
      <w:r w:rsidR="00E443E0">
        <w:rPr>
          <w:rFonts w:ascii="Book Antiqua" w:hAnsi="Book Antiqua" w:cs="Arial"/>
        </w:rPr>
        <w:t>respondent</w:t>
      </w:r>
      <w:r>
        <w:rPr>
          <w:rFonts w:ascii="Book Antiqua" w:hAnsi="Book Antiqua" w:cs="Arial"/>
        </w:rPr>
        <w:t xml:space="preserve"> has a lack of any viable private life in Bangladesh was similarly challenged for lack of reasoning.</w:t>
      </w:r>
    </w:p>
    <w:p w:rsidR="00F14E71" w:rsidRDefault="00F14E71" w:rsidP="00F7512E">
      <w:pPr>
        <w:tabs>
          <w:tab w:val="left" w:pos="567"/>
        </w:tabs>
        <w:spacing w:before="240"/>
        <w:ind w:left="567" w:hanging="567"/>
        <w:jc w:val="both"/>
        <w:rPr>
          <w:rFonts w:ascii="Book Antiqua" w:hAnsi="Book Antiqua" w:cs="Arial"/>
        </w:rPr>
      </w:pPr>
      <w:r>
        <w:rPr>
          <w:rFonts w:ascii="Book Antiqua" w:hAnsi="Book Antiqua" w:cs="Arial"/>
        </w:rPr>
        <w:t>4.</w:t>
      </w:r>
      <w:r>
        <w:rPr>
          <w:rFonts w:ascii="Book Antiqua" w:hAnsi="Book Antiqua" w:cs="Arial"/>
        </w:rPr>
        <w:tab/>
        <w:t>At the hearing before me Counsel appeared and told me that she had no documentation.  She told me that she had a brief from Hunter Stone Law</w:t>
      </w:r>
      <w:r w:rsidR="00E443E0">
        <w:rPr>
          <w:rFonts w:ascii="Book Antiqua" w:hAnsi="Book Antiqua" w:cs="Arial"/>
        </w:rPr>
        <w:t>,</w:t>
      </w:r>
      <w:r>
        <w:rPr>
          <w:rFonts w:ascii="Book Antiqua" w:hAnsi="Book Antiqua" w:cs="Arial"/>
        </w:rPr>
        <w:t xml:space="preserve"> her instructing solicitors</w:t>
      </w:r>
      <w:r w:rsidR="00E443E0">
        <w:rPr>
          <w:rFonts w:ascii="Book Antiqua" w:hAnsi="Book Antiqua" w:cs="Arial"/>
        </w:rPr>
        <w:t>,</w:t>
      </w:r>
      <w:r>
        <w:rPr>
          <w:rFonts w:ascii="Book Antiqua" w:hAnsi="Book Antiqua" w:cs="Arial"/>
        </w:rPr>
        <w:t xml:space="preserve"> but did not have a copy of the Secretary of State’s application for permission to appeal.  Mr Kotas gave her a copy and I adjourned briefly to enable her to consider it.  On resuming some 40 minutes later Counsel confirmed that she had had sufficient time to be able to present her case.</w:t>
      </w:r>
    </w:p>
    <w:p w:rsidR="00B237C4" w:rsidRDefault="00F14E71" w:rsidP="00F7512E">
      <w:pPr>
        <w:tabs>
          <w:tab w:val="left" w:pos="567"/>
        </w:tabs>
        <w:spacing w:before="240"/>
        <w:ind w:left="567" w:hanging="567"/>
        <w:jc w:val="both"/>
        <w:rPr>
          <w:rFonts w:ascii="Book Antiqua" w:hAnsi="Book Antiqua" w:cs="Arial"/>
        </w:rPr>
      </w:pPr>
      <w:r>
        <w:rPr>
          <w:rFonts w:ascii="Book Antiqua" w:hAnsi="Book Antiqua" w:cs="Arial"/>
        </w:rPr>
        <w:t>5.</w:t>
      </w:r>
      <w:r>
        <w:rPr>
          <w:rFonts w:ascii="Book Antiqua" w:hAnsi="Book Antiqua" w:cs="Arial"/>
        </w:rPr>
        <w:tab/>
        <w:t>Mr Kotas referred me to paragraphs 14 and 16 of the determination</w:t>
      </w:r>
      <w:r w:rsidR="00B237C4">
        <w:rPr>
          <w:rFonts w:ascii="Book Antiqua" w:hAnsi="Book Antiqua" w:cs="Arial"/>
        </w:rPr>
        <w:t xml:space="preserve">.  He suggested that the correct test which should have been applied was identical to that referred to in </w:t>
      </w:r>
      <w:r w:rsidR="00B237C4" w:rsidRPr="00B237C4">
        <w:rPr>
          <w:rFonts w:ascii="Book Antiqua" w:hAnsi="Book Antiqua" w:cs="Arial"/>
          <w:i/>
        </w:rPr>
        <w:t>The Secretary of State for the Home Department v Kamara</w:t>
      </w:r>
      <w:r w:rsidR="00B237C4">
        <w:rPr>
          <w:rFonts w:ascii="Book Antiqua" w:hAnsi="Book Antiqua" w:cs="Arial"/>
        </w:rPr>
        <w:t xml:space="preserve"> [2006] 4WLR 152 where, at paragraph 14 Sales, LJ said this</w:t>
      </w:r>
      <w:r w:rsidR="00FE38AF">
        <w:rPr>
          <w:rFonts w:ascii="Book Antiqua" w:hAnsi="Book Antiqua" w:cs="Arial"/>
        </w:rPr>
        <w:t>:</w:t>
      </w:r>
      <w:r w:rsidR="00B237C4">
        <w:rPr>
          <w:rFonts w:ascii="Book Antiqua" w:hAnsi="Book Antiqua" w:cs="Arial"/>
        </w:rPr>
        <w:t xml:space="preserve"> </w:t>
      </w:r>
    </w:p>
    <w:p w:rsidR="00F14E71" w:rsidRPr="00FE38AF" w:rsidRDefault="00B237C4" w:rsidP="00F7512E">
      <w:pPr>
        <w:tabs>
          <w:tab w:val="left" w:pos="567"/>
        </w:tabs>
        <w:spacing w:before="120"/>
        <w:ind w:left="1134" w:right="567"/>
        <w:jc w:val="both"/>
        <w:rPr>
          <w:i/>
          <w:sz w:val="22"/>
          <w:szCs w:val="22"/>
        </w:rPr>
      </w:pPr>
      <w:r w:rsidRPr="00FE38AF">
        <w:rPr>
          <w:i/>
          <w:sz w:val="22"/>
          <w:szCs w:val="22"/>
        </w:rPr>
        <w:t xml:space="preserve">“In my view, the concept of a foreign criminal’s “integration” into the country to which it is proposed that he be deported, as set out in Section 117C(4)(c) and paragraph 399A, is a broad one.  It is not confined to the mere ability to find a job or to sustain life while living in the other country.  It is not appropriate to treat the statutory language </w:t>
      </w:r>
      <w:r w:rsidR="00041D15">
        <w:rPr>
          <w:i/>
          <w:sz w:val="22"/>
          <w:szCs w:val="22"/>
        </w:rPr>
        <w:t xml:space="preserve">as subject </w:t>
      </w:r>
      <w:r w:rsidRPr="00FE38AF">
        <w:rPr>
          <w:i/>
          <w:sz w:val="22"/>
          <w:szCs w:val="22"/>
        </w:rPr>
        <w:t xml:space="preserve">to some loss and it will usually be sufficient for a court or Tribunal simply to direct itself to the terms that parliament has chosen to use.  The idea of “integration” calls for a broad evaluative judgment to be made as to whether the individual will be enough of an insider in terms of understanding how life in the society in that other country is carried on and a capacity to participate in it, so as to have a reasonable opportunity to be expected there, to be able to operate on a day-to-day basis in that society and build up within a reasonable </w:t>
      </w:r>
      <w:r w:rsidRPr="00FE38AF">
        <w:rPr>
          <w:i/>
          <w:sz w:val="22"/>
          <w:szCs w:val="22"/>
        </w:rPr>
        <w:lastRenderedPageBreak/>
        <w:t>time a variety of human relationships to give substance to the individual’s private or family life.”</w:t>
      </w:r>
    </w:p>
    <w:p w:rsidR="00041D15" w:rsidRDefault="00B237C4" w:rsidP="00F7512E">
      <w:pPr>
        <w:tabs>
          <w:tab w:val="left" w:pos="567"/>
        </w:tabs>
        <w:spacing w:before="240"/>
        <w:ind w:left="567" w:hanging="567"/>
        <w:jc w:val="both"/>
        <w:rPr>
          <w:rFonts w:ascii="Book Antiqua" w:hAnsi="Book Antiqua" w:cs="Arial"/>
        </w:rPr>
      </w:pPr>
      <w:r>
        <w:rPr>
          <w:rFonts w:ascii="Book Antiqua" w:hAnsi="Book Antiqua" w:cs="Arial"/>
        </w:rPr>
        <w:t>6.</w:t>
      </w:r>
      <w:r>
        <w:rPr>
          <w:rFonts w:ascii="Book Antiqua" w:hAnsi="Book Antiqua" w:cs="Arial"/>
        </w:rPr>
        <w:tab/>
        <w:t xml:space="preserve">In order to meet the requirements of paragraph 276ADE(1)(vi) an applicant must show that they are aged 18 or over and that there would be very significant obstacles </w:t>
      </w:r>
      <w:r w:rsidR="00041D15">
        <w:rPr>
          <w:rFonts w:ascii="Book Antiqua" w:hAnsi="Book Antiqua" w:cs="Arial"/>
        </w:rPr>
        <w:t>for</w:t>
      </w:r>
      <w:r>
        <w:rPr>
          <w:rFonts w:ascii="Book Antiqua" w:hAnsi="Book Antiqua" w:cs="Arial"/>
        </w:rPr>
        <w:t xml:space="preserve"> their integration into the country to which they would have to go if required to leave the United Kingdom.  Mr Kotas suggested that the </w:t>
      </w:r>
      <w:r w:rsidR="00E443E0">
        <w:rPr>
          <w:rFonts w:ascii="Book Antiqua" w:hAnsi="Book Antiqua" w:cs="Arial"/>
        </w:rPr>
        <w:t>respondent</w:t>
      </w:r>
      <w:r>
        <w:rPr>
          <w:rFonts w:ascii="Book Antiqua" w:hAnsi="Book Antiqua" w:cs="Arial"/>
        </w:rPr>
        <w:t xml:space="preserve"> had spent his first 33 years in Bangladesh and had only been in the United Kingdom a comparatively short time</w:t>
      </w:r>
      <w:r w:rsidR="00176EC2">
        <w:rPr>
          <w:rFonts w:ascii="Book Antiqua" w:hAnsi="Book Antiqua" w:cs="Arial"/>
        </w:rPr>
        <w:t xml:space="preserve">.  He pointed out that at the hearing before the judge the </w:t>
      </w:r>
      <w:r w:rsidR="00E443E0">
        <w:rPr>
          <w:rFonts w:ascii="Book Antiqua" w:hAnsi="Book Antiqua" w:cs="Arial"/>
        </w:rPr>
        <w:t>respondent</w:t>
      </w:r>
      <w:r w:rsidR="00176EC2">
        <w:rPr>
          <w:rFonts w:ascii="Book Antiqua" w:hAnsi="Book Antiqua" w:cs="Arial"/>
        </w:rPr>
        <w:t xml:space="preserve"> needed an interpreter.  The judge was simply not entitled to reach the conclusion she did at paragraph 14 on the evidence that was presented to her.  </w:t>
      </w:r>
    </w:p>
    <w:p w:rsidR="00E6583B" w:rsidRDefault="00041D15" w:rsidP="00F7512E">
      <w:pPr>
        <w:tabs>
          <w:tab w:val="left" w:pos="567"/>
        </w:tabs>
        <w:spacing w:before="240"/>
        <w:ind w:left="567" w:hanging="567"/>
        <w:jc w:val="both"/>
        <w:rPr>
          <w:rFonts w:ascii="Book Antiqua" w:hAnsi="Book Antiqua" w:cs="Arial"/>
        </w:rPr>
      </w:pPr>
      <w:r>
        <w:rPr>
          <w:rFonts w:ascii="Book Antiqua" w:hAnsi="Book Antiqua" w:cs="Arial"/>
        </w:rPr>
        <w:t>7.</w:t>
      </w:r>
      <w:r>
        <w:rPr>
          <w:rFonts w:ascii="Book Antiqua" w:hAnsi="Book Antiqua" w:cs="Arial"/>
        </w:rPr>
        <w:tab/>
      </w:r>
      <w:r w:rsidR="00176EC2">
        <w:rPr>
          <w:rFonts w:ascii="Book Antiqua" w:hAnsi="Book Antiqua" w:cs="Arial"/>
        </w:rPr>
        <w:t>So far as family life in the United Kingdom was concerned there was no evidence of “considerable emotional dependency” or “a high degree of dependency” evidenced by the witness statement</w:t>
      </w:r>
      <w:r w:rsidR="000670C1">
        <w:rPr>
          <w:rFonts w:ascii="Book Antiqua" w:hAnsi="Book Antiqua" w:cs="Arial"/>
        </w:rPr>
        <w:t>s</w:t>
      </w:r>
      <w:r w:rsidR="00176EC2">
        <w:rPr>
          <w:rFonts w:ascii="Book Antiqua" w:hAnsi="Book Antiqua" w:cs="Arial"/>
        </w:rPr>
        <w:t xml:space="preserve"> or referred to in oral evidence.  The judge should have had regard to the fact that the </w:t>
      </w:r>
      <w:r w:rsidR="00E443E0">
        <w:rPr>
          <w:rFonts w:ascii="Book Antiqua" w:hAnsi="Book Antiqua" w:cs="Arial"/>
        </w:rPr>
        <w:t>respondent</w:t>
      </w:r>
      <w:r w:rsidR="00176EC2">
        <w:rPr>
          <w:rFonts w:ascii="Book Antiqua" w:hAnsi="Book Antiqua" w:cs="Arial"/>
        </w:rPr>
        <w:t xml:space="preserve"> is over the age of 18 as were the </w:t>
      </w:r>
      <w:r w:rsidR="00E443E0">
        <w:rPr>
          <w:rFonts w:ascii="Book Antiqua" w:hAnsi="Book Antiqua" w:cs="Arial"/>
        </w:rPr>
        <w:t>respondent’s</w:t>
      </w:r>
      <w:r w:rsidR="00176EC2">
        <w:rPr>
          <w:rFonts w:ascii="Book Antiqua" w:hAnsi="Book Antiqua" w:cs="Arial"/>
        </w:rPr>
        <w:t xml:space="preserve"> nephews.  She should have borne in mind that the </w:t>
      </w:r>
      <w:r w:rsidR="00E443E0">
        <w:rPr>
          <w:rFonts w:ascii="Book Antiqua" w:hAnsi="Book Antiqua" w:cs="Arial"/>
        </w:rPr>
        <w:t xml:space="preserve">respondent </w:t>
      </w:r>
      <w:r w:rsidR="00176EC2">
        <w:rPr>
          <w:rFonts w:ascii="Book Antiqua" w:hAnsi="Book Antiqua" w:cs="Arial"/>
        </w:rPr>
        <w:t>had overstayed his leave and decided not to return to Bangladesh and should have borne in mind also that he has a wife and child living in Bangladesh so that his integration back into life in Bangladesh w</w:t>
      </w:r>
      <w:r>
        <w:rPr>
          <w:rFonts w:ascii="Book Antiqua" w:hAnsi="Book Antiqua" w:cs="Arial"/>
        </w:rPr>
        <w:t>ill</w:t>
      </w:r>
      <w:r w:rsidR="00176EC2">
        <w:rPr>
          <w:rFonts w:ascii="Book Antiqua" w:hAnsi="Book Antiqua" w:cs="Arial"/>
        </w:rPr>
        <w:t xml:space="preserve"> not cause him any obstacles.  In allowing the </w:t>
      </w:r>
      <w:r w:rsidR="00E443E0">
        <w:rPr>
          <w:rFonts w:ascii="Book Antiqua" w:hAnsi="Book Antiqua" w:cs="Arial"/>
        </w:rPr>
        <w:t>respondent</w:t>
      </w:r>
      <w:r w:rsidR="00176EC2">
        <w:rPr>
          <w:rFonts w:ascii="Book Antiqua" w:hAnsi="Book Antiqua" w:cs="Arial"/>
        </w:rPr>
        <w:t>’s appeal outside the Immigration Rules as the judge has purported to do</w:t>
      </w:r>
      <w:r w:rsidR="00E443E0">
        <w:rPr>
          <w:rFonts w:ascii="Book Antiqua" w:hAnsi="Book Antiqua" w:cs="Arial"/>
        </w:rPr>
        <w:t>,</w:t>
      </w:r>
      <w:r w:rsidR="00176EC2">
        <w:rPr>
          <w:rFonts w:ascii="Book Antiqua" w:hAnsi="Book Antiqua" w:cs="Arial"/>
        </w:rPr>
        <w:t xml:space="preserve"> she has simply failed to identify any particular circumstances about the </w:t>
      </w:r>
      <w:r w:rsidR="00E443E0">
        <w:rPr>
          <w:rFonts w:ascii="Book Antiqua" w:hAnsi="Book Antiqua" w:cs="Arial"/>
        </w:rPr>
        <w:t xml:space="preserve">respondent </w:t>
      </w:r>
      <w:r w:rsidR="00176EC2">
        <w:rPr>
          <w:rFonts w:ascii="Book Antiqua" w:hAnsi="Book Antiqua" w:cs="Arial"/>
        </w:rPr>
        <w:t xml:space="preserve">which would justify the grant of leave under Article 8.  The determination could not stand and Mr Kotas invited me to set it aside.  Counsel suggested that the claimant’s challenges were all simply disagreements with the judge’s decision the grounds more or less reflect what the claimant had said in her </w:t>
      </w:r>
      <w:r>
        <w:rPr>
          <w:rFonts w:ascii="Book Antiqua" w:hAnsi="Book Antiqua" w:cs="Arial"/>
        </w:rPr>
        <w:t>R</w:t>
      </w:r>
      <w:r w:rsidR="00176EC2">
        <w:rPr>
          <w:rFonts w:ascii="Book Antiqua" w:hAnsi="Book Antiqua" w:cs="Arial"/>
        </w:rPr>
        <w:t xml:space="preserve">easons for </w:t>
      </w:r>
      <w:r>
        <w:rPr>
          <w:rFonts w:ascii="Book Antiqua" w:hAnsi="Book Antiqua" w:cs="Arial"/>
        </w:rPr>
        <w:t>R</w:t>
      </w:r>
      <w:r w:rsidR="00176EC2">
        <w:rPr>
          <w:rFonts w:ascii="Book Antiqua" w:hAnsi="Book Antiqua" w:cs="Arial"/>
        </w:rPr>
        <w:t xml:space="preserve">efusal </w:t>
      </w:r>
      <w:r>
        <w:rPr>
          <w:rFonts w:ascii="Book Antiqua" w:hAnsi="Book Antiqua" w:cs="Arial"/>
        </w:rPr>
        <w:t>L</w:t>
      </w:r>
      <w:r w:rsidR="00176EC2">
        <w:rPr>
          <w:rFonts w:ascii="Book Antiqua" w:hAnsi="Book Antiqua" w:cs="Arial"/>
        </w:rPr>
        <w:t xml:space="preserve">etter and </w:t>
      </w:r>
      <w:r>
        <w:rPr>
          <w:rFonts w:ascii="Book Antiqua" w:hAnsi="Book Antiqua" w:cs="Arial"/>
        </w:rPr>
        <w:t xml:space="preserve">that </w:t>
      </w:r>
      <w:r w:rsidR="00176EC2">
        <w:rPr>
          <w:rFonts w:ascii="Book Antiqua" w:hAnsi="Book Antiqua" w:cs="Arial"/>
        </w:rPr>
        <w:t>the challenge was simply an</w:t>
      </w:r>
      <w:r w:rsidR="00E6583B">
        <w:rPr>
          <w:rFonts w:ascii="Book Antiqua" w:hAnsi="Book Antiqua" w:cs="Arial"/>
        </w:rPr>
        <w:t xml:space="preserve"> expression of the Secretary of State’s disagreement that the judge has failed to follow what the Secretary of State said in that letter.  The judge found the appellant and his friends and relatives credible the Secretary of State is merely unhappy with the result and </w:t>
      </w:r>
      <w:r>
        <w:rPr>
          <w:rFonts w:ascii="Book Antiqua" w:hAnsi="Book Antiqua" w:cs="Arial"/>
        </w:rPr>
        <w:t xml:space="preserve">it </w:t>
      </w:r>
      <w:r w:rsidR="00E6583B">
        <w:rPr>
          <w:rFonts w:ascii="Book Antiqua" w:hAnsi="Book Antiqua" w:cs="Arial"/>
        </w:rPr>
        <w:t>should be dismissed.  I reserved my decision.</w:t>
      </w:r>
    </w:p>
    <w:p w:rsidR="00E6583B" w:rsidRDefault="00CA0840" w:rsidP="00F7512E">
      <w:pPr>
        <w:tabs>
          <w:tab w:val="left" w:pos="567"/>
        </w:tabs>
        <w:spacing w:before="240"/>
        <w:ind w:left="567" w:hanging="567"/>
        <w:jc w:val="both"/>
        <w:rPr>
          <w:rFonts w:ascii="Book Antiqua" w:hAnsi="Book Antiqua" w:cs="Arial"/>
        </w:rPr>
      </w:pPr>
      <w:r>
        <w:rPr>
          <w:rFonts w:ascii="Book Antiqua" w:hAnsi="Book Antiqua" w:cs="Arial"/>
        </w:rPr>
        <w:t>8</w:t>
      </w:r>
      <w:r w:rsidR="00E6583B">
        <w:rPr>
          <w:rFonts w:ascii="Book Antiqua" w:hAnsi="Book Antiqua" w:cs="Arial"/>
        </w:rPr>
        <w:t>.</w:t>
      </w:r>
      <w:r w:rsidR="00E6583B">
        <w:rPr>
          <w:rFonts w:ascii="Book Antiqua" w:hAnsi="Book Antiqua" w:cs="Arial"/>
        </w:rPr>
        <w:tab/>
        <w:t xml:space="preserve">The test this judge faced in considering whether or not the </w:t>
      </w:r>
      <w:r w:rsidR="00E443E0">
        <w:rPr>
          <w:rFonts w:ascii="Book Antiqua" w:hAnsi="Book Antiqua" w:cs="Arial"/>
        </w:rPr>
        <w:t xml:space="preserve">respondent </w:t>
      </w:r>
      <w:r w:rsidR="00E6583B">
        <w:rPr>
          <w:rFonts w:ascii="Book Antiqua" w:hAnsi="Book Antiqua" w:cs="Arial"/>
        </w:rPr>
        <w:t xml:space="preserve">met the requirements of paragraph 276ADE(1)(vi) </w:t>
      </w:r>
      <w:r w:rsidR="00041D15">
        <w:rPr>
          <w:rFonts w:ascii="Book Antiqua" w:hAnsi="Book Antiqua" w:cs="Arial"/>
        </w:rPr>
        <w:t xml:space="preserve">are that </w:t>
      </w:r>
      <w:r w:rsidR="00E6583B">
        <w:rPr>
          <w:rFonts w:ascii="Book Antiqua" w:hAnsi="Book Antiqua" w:cs="Arial"/>
        </w:rPr>
        <w:t xml:space="preserve">he must show that he is aged 18 or above and </w:t>
      </w:r>
      <w:r w:rsidR="00E6583B">
        <w:rPr>
          <w:rFonts w:ascii="Book Antiqua" w:hAnsi="Book Antiqua" w:cs="Arial"/>
          <w:b/>
        </w:rPr>
        <w:t>“that there would be very significant obstacles to their integration into the country from which they would have to go if required to leave the UK.”</w:t>
      </w:r>
      <w:r w:rsidR="00E6583B">
        <w:rPr>
          <w:rFonts w:ascii="Book Antiqua" w:hAnsi="Book Antiqua" w:cs="Arial"/>
        </w:rPr>
        <w:t xml:space="preserve">  The fact that the </w:t>
      </w:r>
      <w:r w:rsidR="00E443E0">
        <w:rPr>
          <w:rFonts w:ascii="Book Antiqua" w:hAnsi="Book Antiqua" w:cs="Arial"/>
        </w:rPr>
        <w:t xml:space="preserve">respondent </w:t>
      </w:r>
      <w:r w:rsidR="00E6583B">
        <w:rPr>
          <w:rFonts w:ascii="Book Antiqua" w:hAnsi="Book Antiqua" w:cs="Arial"/>
        </w:rPr>
        <w:t xml:space="preserve">spent </w:t>
      </w:r>
      <w:r w:rsidR="00041D15">
        <w:rPr>
          <w:rFonts w:ascii="Book Antiqua" w:hAnsi="Book Antiqua" w:cs="Arial"/>
        </w:rPr>
        <w:t xml:space="preserve">the </w:t>
      </w:r>
      <w:r w:rsidR="00E6583B">
        <w:rPr>
          <w:rFonts w:ascii="Book Antiqua" w:hAnsi="Book Antiqua" w:cs="Arial"/>
        </w:rPr>
        <w:t xml:space="preserve">first 33 years of his life in Bangladesh,  has a wife and child in Bangladesh and has only lived in the United Kingdom since 2001 are clear pointers in deciding whether or not the appellant will be enough of an insider in terms of understanding how likely the society in that country is carried on and a capacity to participate in it serves to have a reasonable opportunity to be accepted there to be able to operate on a day-to-day basis in that society and to build up within a reasonable time a variety of human relationships to give substance to the individual’s private or family life.  The judge was wrong to allow the </w:t>
      </w:r>
      <w:r w:rsidR="00E443E0">
        <w:rPr>
          <w:rFonts w:ascii="Book Antiqua" w:hAnsi="Book Antiqua" w:cs="Arial"/>
        </w:rPr>
        <w:t xml:space="preserve">respondent’s </w:t>
      </w:r>
      <w:r w:rsidR="00E6583B">
        <w:rPr>
          <w:rFonts w:ascii="Book Antiqua" w:hAnsi="Book Antiqua" w:cs="Arial"/>
        </w:rPr>
        <w:t>appeal under paragraph 276ADE(1)(vi).</w:t>
      </w:r>
    </w:p>
    <w:p w:rsidR="00B237C4" w:rsidRDefault="00CA0840" w:rsidP="00F7512E">
      <w:pPr>
        <w:tabs>
          <w:tab w:val="left" w:pos="567"/>
        </w:tabs>
        <w:spacing w:before="240"/>
        <w:ind w:left="567" w:hanging="567"/>
        <w:jc w:val="both"/>
        <w:rPr>
          <w:rFonts w:ascii="Book Antiqua" w:hAnsi="Book Antiqua" w:cs="Arial"/>
        </w:rPr>
      </w:pPr>
      <w:r>
        <w:rPr>
          <w:rFonts w:ascii="Book Antiqua" w:hAnsi="Book Antiqua" w:cs="Arial"/>
        </w:rPr>
        <w:t>9</w:t>
      </w:r>
      <w:r w:rsidR="00E6583B">
        <w:rPr>
          <w:rFonts w:ascii="Book Antiqua" w:hAnsi="Book Antiqua" w:cs="Arial"/>
        </w:rPr>
        <w:t>.</w:t>
      </w:r>
      <w:r w:rsidR="00E6583B">
        <w:rPr>
          <w:rFonts w:ascii="Book Antiqua" w:hAnsi="Book Antiqua" w:cs="Arial"/>
        </w:rPr>
        <w:tab/>
        <w:t xml:space="preserve">The judge went on, however, not to consider whether there were any other provisions under the Immigration Rules which the </w:t>
      </w:r>
      <w:r w:rsidR="00E443E0">
        <w:rPr>
          <w:rFonts w:ascii="Book Antiqua" w:hAnsi="Book Antiqua" w:cs="Arial"/>
        </w:rPr>
        <w:t xml:space="preserve">respondent </w:t>
      </w:r>
      <w:r w:rsidR="00E6583B">
        <w:rPr>
          <w:rFonts w:ascii="Book Antiqua" w:hAnsi="Book Antiqua" w:cs="Arial"/>
        </w:rPr>
        <w:t>might meet</w:t>
      </w:r>
      <w:r w:rsidR="00E443E0">
        <w:rPr>
          <w:rFonts w:ascii="Book Antiqua" w:hAnsi="Book Antiqua" w:cs="Arial"/>
        </w:rPr>
        <w:t>,</w:t>
      </w:r>
      <w:r w:rsidR="00E6583B">
        <w:rPr>
          <w:rFonts w:ascii="Book Antiqua" w:hAnsi="Book Antiqua" w:cs="Arial"/>
        </w:rPr>
        <w:t xml:space="preserve"> but instead to </w:t>
      </w:r>
      <w:r w:rsidR="00E6583B">
        <w:rPr>
          <w:rFonts w:ascii="Book Antiqua" w:hAnsi="Book Antiqua" w:cs="Arial"/>
        </w:rPr>
        <w:lastRenderedPageBreak/>
        <w:t xml:space="preserve">consider Article 8 outside the Immigration Rules.  In doing so she failed to identify what it was that constituted the “considerable emotional dependency” that the </w:t>
      </w:r>
      <w:r w:rsidR="00E443E0">
        <w:rPr>
          <w:rFonts w:ascii="Book Antiqua" w:hAnsi="Book Antiqua" w:cs="Arial"/>
        </w:rPr>
        <w:t>respondent and his family have,</w:t>
      </w:r>
      <w:r w:rsidR="00F17BB2">
        <w:rPr>
          <w:rFonts w:ascii="Book Antiqua" w:hAnsi="Book Antiqua" w:cs="Arial"/>
        </w:rPr>
        <w:t xml:space="preserve"> </w:t>
      </w:r>
      <w:r w:rsidR="00E6583B">
        <w:rPr>
          <w:rFonts w:ascii="Book Antiqua" w:hAnsi="Book Antiqua" w:cs="Arial"/>
        </w:rPr>
        <w:t>or</w:t>
      </w:r>
      <w:r w:rsidR="00E443E0">
        <w:rPr>
          <w:rFonts w:ascii="Book Antiqua" w:hAnsi="Book Antiqua" w:cs="Arial"/>
        </w:rPr>
        <w:t xml:space="preserve"> to explain why he and his adult nephews</w:t>
      </w:r>
      <w:r w:rsidR="00F17BB2">
        <w:rPr>
          <w:rFonts w:ascii="Book Antiqua" w:hAnsi="Book Antiqua" w:cs="Arial"/>
        </w:rPr>
        <w:t xml:space="preserve"> have</w:t>
      </w:r>
      <w:r w:rsidR="00E6583B">
        <w:rPr>
          <w:rFonts w:ascii="Book Antiqua" w:hAnsi="Book Antiqua" w:cs="Arial"/>
        </w:rPr>
        <w:t xml:space="preserve"> the “high degree of dependency on each other” as she claims were evidenced by the witness statements and oral evidence.   This </w:t>
      </w:r>
      <w:r w:rsidR="00F17BB2">
        <w:rPr>
          <w:rFonts w:ascii="Book Antiqua" w:hAnsi="Book Antiqua" w:cs="Arial"/>
        </w:rPr>
        <w:t xml:space="preserve">respondent </w:t>
      </w:r>
      <w:r w:rsidR="00E6583B">
        <w:rPr>
          <w:rFonts w:ascii="Book Antiqua" w:hAnsi="Book Antiqua" w:cs="Arial"/>
        </w:rPr>
        <w:t>enjoys a normal loving relationship with his adult extended family members</w:t>
      </w:r>
      <w:r w:rsidR="00F17BB2">
        <w:rPr>
          <w:rFonts w:ascii="Book Antiqua" w:hAnsi="Book Antiqua" w:cs="Arial"/>
        </w:rPr>
        <w:t>,</w:t>
      </w:r>
      <w:r w:rsidR="00E6583B">
        <w:rPr>
          <w:rFonts w:ascii="Book Antiqua" w:hAnsi="Book Antiqua" w:cs="Arial"/>
        </w:rPr>
        <w:t xml:space="preserve"> nothing more.  The judge was wrong to find that he enjoyed a family life with them in the circumstances</w:t>
      </w:r>
      <w:r w:rsidR="00F17BB2">
        <w:rPr>
          <w:rFonts w:ascii="Book Antiqua" w:hAnsi="Book Antiqua" w:cs="Arial"/>
        </w:rPr>
        <w:t>. T</w:t>
      </w:r>
      <w:r w:rsidR="00E6583B">
        <w:rPr>
          <w:rFonts w:ascii="Book Antiqua" w:hAnsi="Book Antiqua" w:cs="Arial"/>
        </w:rPr>
        <w:t>he relationship that he had with his nephews of course constitutes part of his private life</w:t>
      </w:r>
      <w:r w:rsidR="00F17BB2">
        <w:rPr>
          <w:rFonts w:ascii="Book Antiqua" w:hAnsi="Book Antiqua" w:cs="Arial"/>
        </w:rPr>
        <w:t>,</w:t>
      </w:r>
      <w:r w:rsidR="00E6583B">
        <w:rPr>
          <w:rFonts w:ascii="Book Antiqua" w:hAnsi="Book Antiqua" w:cs="Arial"/>
        </w:rPr>
        <w:t xml:space="preserve"> but for the judge to say that there was a lack of </w:t>
      </w:r>
      <w:r w:rsidR="0062792D">
        <w:rPr>
          <w:rFonts w:ascii="Book Antiqua" w:hAnsi="Book Antiqua" w:cs="Arial"/>
        </w:rPr>
        <w:t xml:space="preserve">any </w:t>
      </w:r>
      <w:r w:rsidR="00F17BB2">
        <w:rPr>
          <w:rFonts w:ascii="Book Antiqua" w:hAnsi="Book Antiqua" w:cs="Arial"/>
        </w:rPr>
        <w:t>viable</w:t>
      </w:r>
      <w:r w:rsidR="0062792D">
        <w:rPr>
          <w:rFonts w:ascii="Book Antiqua" w:hAnsi="Book Antiqua" w:cs="Arial"/>
        </w:rPr>
        <w:t xml:space="preserve"> private life in Bangladesh was wrong</w:t>
      </w:r>
      <w:r w:rsidR="00F17BB2">
        <w:rPr>
          <w:rFonts w:ascii="Book Antiqua" w:hAnsi="Book Antiqua" w:cs="Arial"/>
        </w:rPr>
        <w:t>:</w:t>
      </w:r>
      <w:r w:rsidR="0062792D">
        <w:rPr>
          <w:rFonts w:ascii="Book Antiqua" w:hAnsi="Book Antiqua" w:cs="Arial"/>
        </w:rPr>
        <w:t xml:space="preserve"> he still ha</w:t>
      </w:r>
      <w:r w:rsidR="000670C1">
        <w:rPr>
          <w:rFonts w:ascii="Book Antiqua" w:hAnsi="Book Antiqua" w:cs="Arial"/>
        </w:rPr>
        <w:t>s</w:t>
      </w:r>
      <w:r w:rsidR="0062792D">
        <w:rPr>
          <w:rFonts w:ascii="Book Antiqua" w:hAnsi="Book Antiqua" w:cs="Arial"/>
        </w:rPr>
        <w:t xml:space="preserve"> a wife and a child in Bangladesh.  The judge at paragraph 26 said this:-</w:t>
      </w:r>
    </w:p>
    <w:p w:rsidR="00DC6E50" w:rsidRPr="00F7512E" w:rsidRDefault="0062792D" w:rsidP="00F7512E">
      <w:pPr>
        <w:tabs>
          <w:tab w:val="left" w:pos="567"/>
        </w:tabs>
        <w:spacing w:before="120"/>
        <w:ind w:left="1134" w:right="567"/>
        <w:jc w:val="both"/>
        <w:rPr>
          <w:rFonts w:ascii="Book Antiqua" w:hAnsi="Book Antiqua" w:cs="Arial"/>
          <w:sz w:val="22"/>
        </w:rPr>
      </w:pPr>
      <w:r w:rsidRPr="00F7512E">
        <w:rPr>
          <w:rFonts w:ascii="Book Antiqua" w:hAnsi="Book Antiqua" w:cs="Arial"/>
          <w:sz w:val="22"/>
        </w:rPr>
        <w:t xml:space="preserve">“The Tribunal is satisfied that much of this is related to the circumstances of this particular individual; namely the circumstances of how he seems to have been cut off by his immediate family, the circumstances of his departure from his country of nationality and a lack of any viable private life in Bangladesh.  The current situation appears to be one where the UK, mindful of public interest and the lack of any negative features, appears to be a forum </w:t>
      </w:r>
      <w:r w:rsidR="000670C1" w:rsidRPr="00F7512E">
        <w:rPr>
          <w:rFonts w:ascii="Book Antiqua" w:hAnsi="Book Antiqua" w:cs="Arial"/>
          <w:sz w:val="22"/>
        </w:rPr>
        <w:t>for</w:t>
      </w:r>
      <w:r w:rsidRPr="00F7512E">
        <w:rPr>
          <w:rFonts w:ascii="Book Antiqua" w:hAnsi="Book Antiqua" w:cs="Arial"/>
          <w:sz w:val="22"/>
        </w:rPr>
        <w:t xml:space="preserve"> family life </w:t>
      </w:r>
      <w:r w:rsidR="000670C1" w:rsidRPr="00F7512E">
        <w:rPr>
          <w:rFonts w:ascii="Book Antiqua" w:hAnsi="Book Antiqua" w:cs="Arial"/>
          <w:sz w:val="22"/>
        </w:rPr>
        <w:t>to</w:t>
      </w:r>
      <w:r w:rsidRPr="00F7512E">
        <w:rPr>
          <w:rFonts w:ascii="Book Antiqua" w:hAnsi="Book Antiqua" w:cs="Arial"/>
          <w:sz w:val="22"/>
        </w:rPr>
        <w:t xml:space="preserve"> be maintained continues.  This is beyond merely “facilitating” a choice but is rather related to the level of the situation and in particular the evidence around the level of mutual support provided by the </w:t>
      </w:r>
      <w:r w:rsidR="00F17BB2" w:rsidRPr="00F7512E">
        <w:rPr>
          <w:rFonts w:ascii="Book Antiqua" w:hAnsi="Book Antiqua" w:cs="Arial"/>
          <w:sz w:val="22"/>
        </w:rPr>
        <w:t xml:space="preserve">[respondent] </w:t>
      </w:r>
      <w:r w:rsidRPr="00F7512E">
        <w:rPr>
          <w:rFonts w:ascii="Book Antiqua" w:hAnsi="Book Antiqua" w:cs="Arial"/>
          <w:sz w:val="22"/>
        </w:rPr>
        <w:t xml:space="preserve">to his nephews and their families and they to him.  The medical evidence supports such a conclusion and is yet another factor in tipping the proportionality balance in the </w:t>
      </w:r>
      <w:r w:rsidR="00F17BB2" w:rsidRPr="00F7512E">
        <w:rPr>
          <w:rFonts w:ascii="Book Antiqua" w:hAnsi="Book Antiqua" w:cs="Arial"/>
          <w:sz w:val="22"/>
        </w:rPr>
        <w:t xml:space="preserve">[respondent’s] </w:t>
      </w:r>
      <w:r w:rsidRPr="00F7512E">
        <w:rPr>
          <w:rFonts w:ascii="Book Antiqua" w:hAnsi="Book Antiqua" w:cs="Arial"/>
          <w:sz w:val="22"/>
        </w:rPr>
        <w:t>favour.  Taken together these factors go beyond mere hardship but satisfy the Tribunal that to refuse the matter would have unjustifiably harsh consequences for this particular applicant and his family unit.</w:t>
      </w:r>
      <w:r w:rsidR="00DC6E50" w:rsidRPr="00F7512E">
        <w:rPr>
          <w:rFonts w:ascii="Book Antiqua" w:hAnsi="Book Antiqua" w:cs="Arial"/>
          <w:sz w:val="22"/>
        </w:rPr>
        <w:t>”</w:t>
      </w:r>
      <w:r w:rsidRPr="00F7512E">
        <w:rPr>
          <w:rFonts w:ascii="Book Antiqua" w:hAnsi="Book Antiqua" w:cs="Arial"/>
          <w:sz w:val="22"/>
        </w:rPr>
        <w:t xml:space="preserve">  </w:t>
      </w:r>
    </w:p>
    <w:p w:rsidR="000670C1" w:rsidRDefault="0062792D" w:rsidP="00F7512E">
      <w:pPr>
        <w:tabs>
          <w:tab w:val="left" w:pos="567"/>
        </w:tabs>
        <w:spacing w:before="240"/>
        <w:ind w:left="567"/>
        <w:jc w:val="both"/>
        <w:rPr>
          <w:rFonts w:ascii="Book Antiqua" w:hAnsi="Book Antiqua" w:cs="Arial"/>
        </w:rPr>
      </w:pPr>
      <w:r>
        <w:rPr>
          <w:rFonts w:ascii="Book Antiqua" w:hAnsi="Book Antiqua" w:cs="Arial"/>
        </w:rPr>
        <w:t>What the judge is eluding to there is medical evidence which was presented to him which show that he suffers from</w:t>
      </w:r>
      <w:r w:rsidR="000670C1">
        <w:rPr>
          <w:rFonts w:ascii="Book Antiqua" w:hAnsi="Book Antiqua" w:cs="Arial"/>
        </w:rPr>
        <w:t xml:space="preserve">: </w:t>
      </w:r>
    </w:p>
    <w:p w:rsidR="002D0F99" w:rsidRDefault="0062792D" w:rsidP="00F7512E">
      <w:pPr>
        <w:spacing w:before="120"/>
        <w:ind w:left="1701" w:hanging="567"/>
        <w:jc w:val="both"/>
        <w:rPr>
          <w:rFonts w:ascii="Book Antiqua" w:hAnsi="Book Antiqua" w:cs="Arial"/>
        </w:rPr>
      </w:pPr>
      <w:r>
        <w:rPr>
          <w:rFonts w:ascii="Book Antiqua" w:hAnsi="Book Antiqua" w:cs="Arial"/>
        </w:rPr>
        <w:t xml:space="preserve">(1) </w:t>
      </w:r>
      <w:r w:rsidR="002D0F99">
        <w:rPr>
          <w:rFonts w:ascii="Book Antiqua" w:hAnsi="Book Antiqua" w:cs="Arial"/>
        </w:rPr>
        <w:tab/>
        <w:t>N</w:t>
      </w:r>
      <w:r>
        <w:rPr>
          <w:rFonts w:ascii="Book Antiqua" w:hAnsi="Book Antiqua" w:cs="Arial"/>
        </w:rPr>
        <w:t xml:space="preserve">on-Hodgkin’s </w:t>
      </w:r>
      <w:r w:rsidR="002D0F99">
        <w:rPr>
          <w:rFonts w:ascii="Book Antiqua" w:hAnsi="Book Antiqua" w:cs="Arial"/>
        </w:rPr>
        <w:t>L</w:t>
      </w:r>
      <w:r>
        <w:rPr>
          <w:rFonts w:ascii="Book Antiqua" w:hAnsi="Book Antiqua" w:cs="Arial"/>
        </w:rPr>
        <w:t>ymph</w:t>
      </w:r>
      <w:r w:rsidR="002D0F99">
        <w:rPr>
          <w:rFonts w:ascii="Book Antiqua" w:hAnsi="Book Antiqua" w:cs="Arial"/>
        </w:rPr>
        <w:t>oma</w:t>
      </w:r>
      <w:r>
        <w:rPr>
          <w:rFonts w:ascii="Book Antiqua" w:hAnsi="Book Antiqua" w:cs="Arial"/>
        </w:rPr>
        <w:t xml:space="preserve"> stage 4 (liver) </w:t>
      </w:r>
      <w:r w:rsidR="002D0F99">
        <w:rPr>
          <w:rFonts w:ascii="Book Antiqua" w:hAnsi="Book Antiqua" w:cs="Arial"/>
        </w:rPr>
        <w:t>diffuse</w:t>
      </w:r>
      <w:r>
        <w:rPr>
          <w:rFonts w:ascii="Book Antiqua" w:hAnsi="Book Antiqua" w:cs="Arial"/>
        </w:rPr>
        <w:t xml:space="preserve"> large B</w:t>
      </w:r>
      <w:r w:rsidR="002D0F99">
        <w:rPr>
          <w:rFonts w:ascii="Book Antiqua" w:hAnsi="Book Antiqua" w:cs="Arial"/>
        </w:rPr>
        <w:t>-C</w:t>
      </w:r>
      <w:r>
        <w:rPr>
          <w:rFonts w:ascii="Book Antiqua" w:hAnsi="Book Antiqua" w:cs="Arial"/>
        </w:rPr>
        <w:t xml:space="preserve">ell </w:t>
      </w:r>
      <w:r w:rsidR="002D0F99">
        <w:rPr>
          <w:rFonts w:ascii="Book Antiqua" w:hAnsi="Book Antiqua" w:cs="Arial"/>
        </w:rPr>
        <w:t>Lymp</w:t>
      </w:r>
      <w:r>
        <w:rPr>
          <w:rFonts w:ascii="Book Antiqua" w:hAnsi="Book Antiqua" w:cs="Arial"/>
        </w:rPr>
        <w:t>ho</w:t>
      </w:r>
      <w:r w:rsidR="002D0F99">
        <w:rPr>
          <w:rFonts w:ascii="Book Antiqua" w:hAnsi="Book Antiqua" w:cs="Arial"/>
        </w:rPr>
        <w:t>m</w:t>
      </w:r>
      <w:r>
        <w:rPr>
          <w:rFonts w:ascii="Book Antiqua" w:hAnsi="Book Antiqua" w:cs="Arial"/>
        </w:rPr>
        <w:t>a</w:t>
      </w:r>
      <w:r w:rsidR="000670C1">
        <w:rPr>
          <w:rFonts w:ascii="Book Antiqua" w:hAnsi="Book Antiqua" w:cs="Arial"/>
        </w:rPr>
        <w:t>.  H</w:t>
      </w:r>
      <w:r>
        <w:rPr>
          <w:rFonts w:ascii="Book Antiqua" w:hAnsi="Book Antiqua" w:cs="Arial"/>
        </w:rPr>
        <w:t>e was treated by chemotherapy in 2010 following which he attends check-ups every three months.</w:t>
      </w:r>
    </w:p>
    <w:p w:rsidR="002D0F99" w:rsidRDefault="0062792D" w:rsidP="00F7512E">
      <w:pPr>
        <w:spacing w:before="120"/>
        <w:ind w:left="1701" w:hanging="567"/>
        <w:jc w:val="both"/>
        <w:rPr>
          <w:rFonts w:ascii="Book Antiqua" w:hAnsi="Book Antiqua" w:cs="Arial"/>
        </w:rPr>
      </w:pPr>
      <w:r>
        <w:rPr>
          <w:rFonts w:ascii="Book Antiqua" w:hAnsi="Book Antiqua" w:cs="Arial"/>
        </w:rPr>
        <w:t>(2)</w:t>
      </w:r>
      <w:r w:rsidR="002D0F99">
        <w:rPr>
          <w:rFonts w:ascii="Book Antiqua" w:hAnsi="Book Antiqua" w:cs="Arial"/>
        </w:rPr>
        <w:tab/>
      </w:r>
      <w:r>
        <w:rPr>
          <w:rFonts w:ascii="Book Antiqua" w:hAnsi="Book Antiqua" w:cs="Arial"/>
        </w:rPr>
        <w:t xml:space="preserve">Type 2 diabetes for which he takes two metformin tablets 500mgs twice daily.  </w:t>
      </w:r>
    </w:p>
    <w:p w:rsidR="002D0F99" w:rsidRDefault="002D0F99" w:rsidP="00F7512E">
      <w:pPr>
        <w:spacing w:before="120"/>
        <w:ind w:left="1701" w:hanging="567"/>
        <w:jc w:val="both"/>
        <w:rPr>
          <w:rFonts w:ascii="Book Antiqua" w:hAnsi="Book Antiqua" w:cs="Arial"/>
        </w:rPr>
      </w:pPr>
      <w:r>
        <w:rPr>
          <w:rFonts w:ascii="Book Antiqua" w:hAnsi="Book Antiqua" w:cs="Arial"/>
        </w:rPr>
        <w:t>(3)</w:t>
      </w:r>
      <w:r>
        <w:rPr>
          <w:rFonts w:ascii="Book Antiqua" w:hAnsi="Book Antiqua" w:cs="Arial"/>
        </w:rPr>
        <w:tab/>
        <w:t>A</w:t>
      </w:r>
      <w:r w:rsidR="0062792D">
        <w:rPr>
          <w:rFonts w:ascii="Book Antiqua" w:hAnsi="Book Antiqua" w:cs="Arial"/>
        </w:rPr>
        <w:t>ortic ste</w:t>
      </w:r>
      <w:r>
        <w:rPr>
          <w:rFonts w:ascii="Book Antiqua" w:hAnsi="Book Antiqua" w:cs="Arial"/>
        </w:rPr>
        <w:t>n</w:t>
      </w:r>
      <w:r w:rsidR="0062792D">
        <w:rPr>
          <w:rFonts w:ascii="Book Antiqua" w:hAnsi="Book Antiqua" w:cs="Arial"/>
        </w:rPr>
        <w:t>osis diagnosed as narrowing of the main valve to the heart through which the blood flows from the heart to the aorta of the body.  He underwent a replacement aortic valve in 2014.</w:t>
      </w:r>
      <w:r w:rsidR="00A12F20">
        <w:rPr>
          <w:rFonts w:ascii="Book Antiqua" w:hAnsi="Book Antiqua" w:cs="Arial"/>
        </w:rPr>
        <w:t xml:space="preserve">  </w:t>
      </w:r>
    </w:p>
    <w:p w:rsidR="0062792D" w:rsidRDefault="00F17BB2" w:rsidP="00F7512E">
      <w:pPr>
        <w:tabs>
          <w:tab w:val="left" w:pos="567"/>
        </w:tabs>
        <w:spacing w:before="240"/>
        <w:ind w:left="560" w:hanging="560"/>
        <w:jc w:val="both"/>
        <w:rPr>
          <w:rFonts w:ascii="Book Antiqua" w:hAnsi="Book Antiqua" w:cs="Arial"/>
        </w:rPr>
      </w:pPr>
      <w:r>
        <w:rPr>
          <w:rFonts w:ascii="Book Antiqua" w:hAnsi="Book Antiqua" w:cs="Arial"/>
        </w:rPr>
        <w:t>10.</w:t>
      </w:r>
      <w:r>
        <w:rPr>
          <w:rFonts w:ascii="Book Antiqua" w:hAnsi="Book Antiqua" w:cs="Arial"/>
        </w:rPr>
        <w:tab/>
      </w:r>
      <w:r w:rsidR="00A12F20">
        <w:rPr>
          <w:rFonts w:ascii="Book Antiqua" w:hAnsi="Book Antiqua" w:cs="Arial"/>
        </w:rPr>
        <w:t xml:space="preserve">The </w:t>
      </w:r>
      <w:r>
        <w:rPr>
          <w:rFonts w:ascii="Book Antiqua" w:hAnsi="Book Antiqua" w:cs="Arial"/>
        </w:rPr>
        <w:t xml:space="preserve">respondent </w:t>
      </w:r>
      <w:r w:rsidR="00A12F20">
        <w:rPr>
          <w:rFonts w:ascii="Book Antiqua" w:hAnsi="Book Antiqua" w:cs="Arial"/>
        </w:rPr>
        <w:t>came to the United Kingdom originally as a visitor and he overstayed.  He said in his witness statement that he came to earn money for his family</w:t>
      </w:r>
      <w:r>
        <w:rPr>
          <w:rFonts w:ascii="Book Antiqua" w:hAnsi="Book Antiqua" w:cs="Arial"/>
        </w:rPr>
        <w:t>,</w:t>
      </w:r>
      <w:r w:rsidR="00A12F20">
        <w:rPr>
          <w:rFonts w:ascii="Book Antiqua" w:hAnsi="Book Antiqua" w:cs="Arial"/>
        </w:rPr>
        <w:t xml:space="preserve"> the very same family that he claims to have lost contact with namely his wife and his child.</w:t>
      </w:r>
    </w:p>
    <w:p w:rsidR="0062792D" w:rsidRDefault="00F17BB2" w:rsidP="00F7512E">
      <w:pPr>
        <w:tabs>
          <w:tab w:val="left" w:pos="567"/>
        </w:tabs>
        <w:spacing w:before="240"/>
        <w:ind w:left="567" w:hanging="567"/>
        <w:jc w:val="both"/>
        <w:rPr>
          <w:rFonts w:ascii="Book Antiqua" w:hAnsi="Book Antiqua" w:cs="Arial"/>
        </w:rPr>
      </w:pPr>
      <w:r>
        <w:rPr>
          <w:rFonts w:ascii="Book Antiqua" w:hAnsi="Book Antiqua" w:cs="Arial"/>
        </w:rPr>
        <w:t>11.</w:t>
      </w:r>
      <w:r w:rsidR="00803909">
        <w:rPr>
          <w:rFonts w:ascii="Book Antiqua" w:hAnsi="Book Antiqua" w:cs="Arial"/>
        </w:rPr>
        <w:tab/>
        <w:t xml:space="preserve">The fact that the </w:t>
      </w:r>
      <w:r>
        <w:rPr>
          <w:rFonts w:ascii="Book Antiqua" w:hAnsi="Book Antiqua" w:cs="Arial"/>
        </w:rPr>
        <w:t xml:space="preserve">respondent </w:t>
      </w:r>
      <w:r w:rsidR="00803909">
        <w:rPr>
          <w:rFonts w:ascii="Book Antiqua" w:hAnsi="Book Antiqua" w:cs="Arial"/>
        </w:rPr>
        <w:t>has received treatment free of charge from the NHS does not mean that the NHS is now responsible for his medical care for the rest of his life.  The judge failed properly to take into consideration the factors that she was required to consider when considering the question of proportionality.</w:t>
      </w:r>
      <w:r>
        <w:rPr>
          <w:rFonts w:ascii="Book Antiqua" w:hAnsi="Book Antiqua" w:cs="Arial"/>
        </w:rPr>
        <w:t xml:space="preserve"> She failed to take into account that he came to the United Kingdom as a temporary visitor and overstayed.  </w:t>
      </w:r>
      <w:r>
        <w:rPr>
          <w:rFonts w:ascii="Book Antiqua" w:hAnsi="Book Antiqua" w:cs="Arial"/>
        </w:rPr>
        <w:lastRenderedPageBreak/>
        <w:t>He has worked illegally in the United Kingdom.  He has had expensive HNS treatment when he was not entitled to it.  She has failed to properly consider and apply Section 117 B.  The has given no consideration at all to the interests of the wider public in the maintenance of immigration control.</w:t>
      </w:r>
    </w:p>
    <w:p w:rsidR="00803909" w:rsidRDefault="00803909" w:rsidP="00F7512E">
      <w:pPr>
        <w:tabs>
          <w:tab w:val="left" w:pos="567"/>
        </w:tabs>
        <w:spacing w:before="240"/>
        <w:ind w:left="567" w:hanging="567"/>
        <w:jc w:val="both"/>
        <w:rPr>
          <w:rFonts w:ascii="Book Antiqua" w:hAnsi="Book Antiqua" w:cs="Arial"/>
        </w:rPr>
      </w:pPr>
      <w:r>
        <w:rPr>
          <w:rFonts w:ascii="Book Antiqua" w:hAnsi="Book Antiqua" w:cs="Arial"/>
        </w:rPr>
        <w:t>1</w:t>
      </w:r>
      <w:r w:rsidR="004B161B">
        <w:rPr>
          <w:rFonts w:ascii="Book Antiqua" w:hAnsi="Book Antiqua" w:cs="Arial"/>
        </w:rPr>
        <w:t>2</w:t>
      </w:r>
      <w:r>
        <w:rPr>
          <w:rFonts w:ascii="Book Antiqua" w:hAnsi="Book Antiqua" w:cs="Arial"/>
        </w:rPr>
        <w:t>.</w:t>
      </w:r>
      <w:r>
        <w:rPr>
          <w:rFonts w:ascii="Book Antiqua" w:hAnsi="Book Antiqua" w:cs="Arial"/>
        </w:rPr>
        <w:tab/>
        <w:t>I have concluded that the determination cannot stand.  I set it aside.</w:t>
      </w:r>
    </w:p>
    <w:p w:rsidR="00F17BB2" w:rsidRPr="004B161B" w:rsidRDefault="00803909" w:rsidP="00F7512E">
      <w:pPr>
        <w:tabs>
          <w:tab w:val="left" w:pos="567"/>
        </w:tabs>
        <w:spacing w:before="240"/>
        <w:ind w:left="567" w:hanging="567"/>
        <w:jc w:val="both"/>
        <w:rPr>
          <w:rFonts w:ascii="Book Antiqua" w:hAnsi="Book Antiqua" w:cs="Arial"/>
        </w:rPr>
      </w:pPr>
      <w:r>
        <w:rPr>
          <w:rFonts w:ascii="Book Antiqua" w:hAnsi="Book Antiqua" w:cs="Arial"/>
        </w:rPr>
        <w:t>1</w:t>
      </w:r>
      <w:r w:rsidR="004B161B">
        <w:rPr>
          <w:rFonts w:ascii="Book Antiqua" w:hAnsi="Book Antiqua" w:cs="Arial"/>
        </w:rPr>
        <w:t>3</w:t>
      </w:r>
      <w:r>
        <w:rPr>
          <w:rFonts w:ascii="Book Antiqua" w:hAnsi="Book Antiqua" w:cs="Arial"/>
        </w:rPr>
        <w:t>.</w:t>
      </w:r>
      <w:r>
        <w:rPr>
          <w:rFonts w:ascii="Book Antiqua" w:hAnsi="Book Antiqua" w:cs="Arial"/>
        </w:rPr>
        <w:tab/>
      </w:r>
      <w:r w:rsidR="00F17BB2">
        <w:rPr>
          <w:rFonts w:ascii="Book Antiqua" w:hAnsi="Book Antiqua" w:cs="Arial"/>
        </w:rPr>
        <w:t xml:space="preserve">To meet the requirements of paragraph 276ADE(1)(vi) the respondent must show that he is aged 18 or above and </w:t>
      </w:r>
      <w:r w:rsidR="00F17BB2">
        <w:rPr>
          <w:rFonts w:ascii="Book Antiqua" w:hAnsi="Book Antiqua" w:cs="Arial"/>
          <w:b/>
        </w:rPr>
        <w:t>“</w:t>
      </w:r>
      <w:r w:rsidR="00F17BB2" w:rsidRPr="00F17BB2">
        <w:rPr>
          <w:rFonts w:ascii="Book Antiqua" w:hAnsi="Book Antiqua" w:cs="Arial"/>
        </w:rPr>
        <w:t>that there would be very significant obstacles to their integration into the country from which they would have to go if required to leave the UK.</w:t>
      </w:r>
      <w:r w:rsidR="00F17BB2">
        <w:rPr>
          <w:rFonts w:ascii="Book Antiqua" w:hAnsi="Book Antiqua" w:cs="Arial"/>
          <w:b/>
        </w:rPr>
        <w:t xml:space="preserve">”  </w:t>
      </w:r>
      <w:r w:rsidR="00F17BB2" w:rsidRPr="004B161B">
        <w:rPr>
          <w:rFonts w:ascii="Book Antiqua" w:hAnsi="Book Antiqua" w:cs="Arial"/>
        </w:rPr>
        <w:t xml:space="preserve">There would </w:t>
      </w:r>
      <w:r w:rsidR="004B161B" w:rsidRPr="004B161B">
        <w:rPr>
          <w:rFonts w:ascii="Book Antiqua" w:hAnsi="Book Antiqua" w:cs="Arial"/>
        </w:rPr>
        <w:t xml:space="preserve">unquestionably </w:t>
      </w:r>
      <w:r w:rsidR="00F17BB2" w:rsidRPr="004B161B">
        <w:rPr>
          <w:rFonts w:ascii="Book Antiqua" w:hAnsi="Book Antiqua" w:cs="Arial"/>
        </w:rPr>
        <w:t xml:space="preserve">not be any </w:t>
      </w:r>
      <w:r w:rsidR="004B161B" w:rsidRPr="004B161B">
        <w:rPr>
          <w:rFonts w:ascii="Book Antiqua" w:hAnsi="Book Antiqua" w:cs="Arial"/>
        </w:rPr>
        <w:t>obsta</w:t>
      </w:r>
      <w:r w:rsidR="004B161B">
        <w:rPr>
          <w:rFonts w:ascii="Book Antiqua" w:hAnsi="Book Antiqua" w:cs="Arial"/>
        </w:rPr>
        <w:t xml:space="preserve">cles to the respondent’s integration into Bangladesh.  He speaks the language.  He has a wife and child there.  He lived there for the first 33 years of his life and has only lived in the United Kingdom since 2001.  I agree with and adopt the submissions of Mr </w:t>
      </w:r>
      <w:proofErr w:type="spellStart"/>
      <w:r w:rsidR="004B161B">
        <w:rPr>
          <w:rFonts w:ascii="Book Antiqua" w:hAnsi="Book Antiqua" w:cs="Arial"/>
        </w:rPr>
        <w:t>Kotas</w:t>
      </w:r>
      <w:proofErr w:type="spellEnd"/>
      <w:r w:rsidR="004B161B">
        <w:rPr>
          <w:rFonts w:ascii="Book Antiqua" w:hAnsi="Book Antiqua" w:cs="Arial"/>
        </w:rPr>
        <w:t>.  The judge was wrong to allow the respondent’s appeal under paragraph 276ADE(1)(vi).</w:t>
      </w:r>
    </w:p>
    <w:p w:rsidR="00803909" w:rsidRDefault="004B161B" w:rsidP="00F7512E">
      <w:pPr>
        <w:tabs>
          <w:tab w:val="left" w:pos="567"/>
        </w:tabs>
        <w:spacing w:before="240"/>
        <w:ind w:left="567" w:hanging="567"/>
        <w:jc w:val="both"/>
        <w:rPr>
          <w:rFonts w:ascii="Book Antiqua" w:hAnsi="Book Antiqua" w:cs="Arial"/>
        </w:rPr>
      </w:pPr>
      <w:r>
        <w:rPr>
          <w:rFonts w:ascii="Book Antiqua" w:hAnsi="Book Antiqua" w:cs="Arial"/>
        </w:rPr>
        <w:t>14.</w:t>
      </w:r>
      <w:r>
        <w:rPr>
          <w:rFonts w:ascii="Book Antiqua" w:hAnsi="Book Antiqua" w:cs="Arial"/>
        </w:rPr>
        <w:tab/>
      </w:r>
      <w:r w:rsidR="00803909">
        <w:rPr>
          <w:rFonts w:ascii="Book Antiqua" w:hAnsi="Book Antiqua" w:cs="Arial"/>
        </w:rPr>
        <w:t xml:space="preserve">Applying Lord </w:t>
      </w:r>
      <w:proofErr w:type="spellStart"/>
      <w:r w:rsidR="00803909">
        <w:rPr>
          <w:rFonts w:ascii="Book Antiqua" w:hAnsi="Book Antiqua" w:cs="Arial"/>
        </w:rPr>
        <w:t>Bingam’s</w:t>
      </w:r>
      <w:proofErr w:type="spellEnd"/>
      <w:r w:rsidR="00803909">
        <w:rPr>
          <w:rFonts w:ascii="Book Antiqua" w:hAnsi="Book Antiqua" w:cs="Arial"/>
        </w:rPr>
        <w:t xml:space="preserve"> test set out at paragraph 17 of </w:t>
      </w:r>
      <w:r w:rsidR="00803909" w:rsidRPr="00DC6E50">
        <w:rPr>
          <w:rFonts w:ascii="Book Antiqua" w:hAnsi="Book Antiqua" w:cs="Arial"/>
          <w:i/>
        </w:rPr>
        <w:t>R (Razgar) v Secretary of State for the Home Department</w:t>
      </w:r>
      <w:r w:rsidR="00803909">
        <w:rPr>
          <w:rFonts w:ascii="Book Antiqua" w:hAnsi="Book Antiqua" w:cs="Arial"/>
        </w:rPr>
        <w:t xml:space="preserve"> [2004] UKHL 27</w:t>
      </w:r>
      <w:r w:rsidR="00F17BB2">
        <w:rPr>
          <w:rFonts w:ascii="Book Antiqua" w:hAnsi="Book Antiqua" w:cs="Arial"/>
        </w:rPr>
        <w:t>,</w:t>
      </w:r>
      <w:r w:rsidR="00803909">
        <w:rPr>
          <w:rFonts w:ascii="Book Antiqua" w:hAnsi="Book Antiqua" w:cs="Arial"/>
        </w:rPr>
        <w:t xml:space="preserve"> I find that the proposed removal will be an interference by a public body with the exercise of the appellant’s right to his private life.  He has no family life in the United Kingdom</w:t>
      </w:r>
      <w:r>
        <w:rPr>
          <w:rFonts w:ascii="Book Antiqua" w:hAnsi="Book Antiqua" w:cs="Arial"/>
        </w:rPr>
        <w:t>, although he does, of course enjoy a private life here</w:t>
      </w:r>
      <w:r w:rsidR="00803909">
        <w:rPr>
          <w:rFonts w:ascii="Book Antiqua" w:hAnsi="Book Antiqua" w:cs="Arial"/>
        </w:rPr>
        <w:t>.  Such interference will have consequences of such gravity as to potentially engage the operation of Article 8 and the interference will be in accordance with the law.  As to whether such interference is necessary in a democratic society the answer must clearly be</w:t>
      </w:r>
      <w:r>
        <w:rPr>
          <w:rFonts w:ascii="Book Antiqua" w:hAnsi="Book Antiqua" w:cs="Arial"/>
        </w:rPr>
        <w:t>,</w:t>
      </w:r>
      <w:r w:rsidR="00803909">
        <w:rPr>
          <w:rFonts w:ascii="Book Antiqua" w:hAnsi="Book Antiqua" w:cs="Arial"/>
        </w:rPr>
        <w:t xml:space="preserve"> </w:t>
      </w:r>
      <w:r>
        <w:rPr>
          <w:rFonts w:ascii="Book Antiqua" w:hAnsi="Book Antiqua" w:cs="Arial"/>
        </w:rPr>
        <w:t>“Y</w:t>
      </w:r>
      <w:r w:rsidR="00803909">
        <w:rPr>
          <w:rFonts w:ascii="Book Antiqua" w:hAnsi="Book Antiqua" w:cs="Arial"/>
        </w:rPr>
        <w:t>es</w:t>
      </w:r>
      <w:r>
        <w:rPr>
          <w:rFonts w:ascii="Book Antiqua" w:hAnsi="Book Antiqua" w:cs="Arial"/>
        </w:rPr>
        <w:t>”</w:t>
      </w:r>
      <w:r w:rsidR="00E57C8E">
        <w:rPr>
          <w:rFonts w:ascii="Book Antiqua" w:hAnsi="Book Antiqua" w:cs="Arial"/>
        </w:rPr>
        <w:t xml:space="preserve">, </w:t>
      </w:r>
      <w:r w:rsidR="00803909">
        <w:rPr>
          <w:rFonts w:ascii="Book Antiqua" w:hAnsi="Book Antiqua" w:cs="Arial"/>
        </w:rPr>
        <w:t>it is</w:t>
      </w:r>
      <w:r w:rsidR="00CA0840">
        <w:rPr>
          <w:rFonts w:ascii="Book Antiqua" w:hAnsi="Book Antiqua" w:cs="Arial"/>
        </w:rPr>
        <w:t xml:space="preserve"> f</w:t>
      </w:r>
      <w:r w:rsidR="00803909">
        <w:rPr>
          <w:rFonts w:ascii="Book Antiqua" w:hAnsi="Book Antiqua" w:cs="Arial"/>
        </w:rPr>
        <w:t>or the public safety or the economic wellbeing of the country as well as for the protection of the rights and freedoms of others.  Lastly in deciding whether or not such interference is proportionate</w:t>
      </w:r>
      <w:r w:rsidR="00E57C8E">
        <w:rPr>
          <w:rFonts w:ascii="Book Antiqua" w:hAnsi="Book Antiqua" w:cs="Arial"/>
        </w:rPr>
        <w:t>,</w:t>
      </w:r>
      <w:r w:rsidR="00803909">
        <w:rPr>
          <w:rFonts w:ascii="Book Antiqua" w:hAnsi="Book Antiqua" w:cs="Arial"/>
        </w:rPr>
        <w:t xml:space="preserve"> one is required to give considerable weight to the wider interests of the general public in the maintenance of immigration control.  This man </w:t>
      </w:r>
      <w:r w:rsidR="00E57C8E">
        <w:rPr>
          <w:rFonts w:ascii="Book Antiqua" w:hAnsi="Book Antiqua" w:cs="Arial"/>
        </w:rPr>
        <w:t xml:space="preserve">had overstayed his leave to remain in the United Kingdom, </w:t>
      </w:r>
      <w:r w:rsidR="00803909">
        <w:rPr>
          <w:rFonts w:ascii="Book Antiqua" w:hAnsi="Book Antiqua" w:cs="Arial"/>
        </w:rPr>
        <w:t>has worked in this country illegally, he has taken full advantage of the Unite</w:t>
      </w:r>
      <w:r w:rsidR="00E57C8E">
        <w:rPr>
          <w:rFonts w:ascii="Book Antiqua" w:hAnsi="Book Antiqua" w:cs="Arial"/>
        </w:rPr>
        <w:t>d Kingdom’s National Health S</w:t>
      </w:r>
      <w:r w:rsidR="00803909">
        <w:rPr>
          <w:rFonts w:ascii="Book Antiqua" w:hAnsi="Book Antiqua" w:cs="Arial"/>
        </w:rPr>
        <w:t xml:space="preserve">ervice and now has decided that he would rather stay here and </w:t>
      </w:r>
      <w:r w:rsidR="00E57C8E">
        <w:rPr>
          <w:rFonts w:ascii="Book Antiqua" w:hAnsi="Book Antiqua" w:cs="Arial"/>
        </w:rPr>
        <w:t xml:space="preserve">not </w:t>
      </w:r>
      <w:r w:rsidR="00803909">
        <w:rPr>
          <w:rFonts w:ascii="Book Antiqua" w:hAnsi="Book Antiqua" w:cs="Arial"/>
        </w:rPr>
        <w:t>go and live in Bangladesh where his wife and child remain.  I have concluded that the claimant’s decision would be entirely proportionate.</w:t>
      </w:r>
    </w:p>
    <w:p w:rsidR="009268C6" w:rsidRDefault="00803909" w:rsidP="00F7512E">
      <w:pPr>
        <w:tabs>
          <w:tab w:val="left" w:pos="567"/>
        </w:tabs>
        <w:spacing w:before="240"/>
        <w:ind w:left="567" w:hanging="567"/>
        <w:jc w:val="both"/>
        <w:rPr>
          <w:rFonts w:ascii="Book Antiqua" w:hAnsi="Book Antiqua" w:cs="Arial"/>
        </w:rPr>
      </w:pPr>
      <w:r>
        <w:rPr>
          <w:rFonts w:ascii="Book Antiqua" w:hAnsi="Book Antiqua" w:cs="Arial"/>
        </w:rPr>
        <w:t>1</w:t>
      </w:r>
      <w:r w:rsidR="00E57C8E">
        <w:rPr>
          <w:rFonts w:ascii="Book Antiqua" w:hAnsi="Book Antiqua" w:cs="Arial"/>
        </w:rPr>
        <w:t>5</w:t>
      </w:r>
      <w:r>
        <w:rPr>
          <w:rFonts w:ascii="Book Antiqua" w:hAnsi="Book Antiqua" w:cs="Arial"/>
        </w:rPr>
        <w:t>.</w:t>
      </w:r>
      <w:r>
        <w:rPr>
          <w:rFonts w:ascii="Book Antiqua" w:hAnsi="Book Antiqua" w:cs="Arial"/>
        </w:rPr>
        <w:tab/>
        <w:t xml:space="preserve">There is nothing about the </w:t>
      </w:r>
      <w:r w:rsidR="00E57C8E">
        <w:rPr>
          <w:rFonts w:ascii="Book Antiqua" w:hAnsi="Book Antiqua" w:cs="Arial"/>
        </w:rPr>
        <w:t>respondent</w:t>
      </w:r>
      <w:r>
        <w:rPr>
          <w:rFonts w:ascii="Book Antiqua" w:hAnsi="Book Antiqua" w:cs="Arial"/>
        </w:rPr>
        <w:t xml:space="preserve"> or his circumstances which could possibly justify the Secretary of State in granting leave to the appellant in recognition of his Article 8 rights</w:t>
      </w:r>
      <w:r w:rsidR="00E57C8E">
        <w:rPr>
          <w:rFonts w:ascii="Book Antiqua" w:hAnsi="Book Antiqua" w:cs="Arial"/>
        </w:rPr>
        <w:t xml:space="preserve"> </w:t>
      </w:r>
      <w:proofErr w:type="spellStart"/>
      <w:r w:rsidR="00E57C8E">
        <w:rPr>
          <w:rFonts w:ascii="Book Antiqua" w:hAnsi="Book Antiqua" w:cs="Arial"/>
        </w:rPr>
        <w:t>outwith</w:t>
      </w:r>
      <w:proofErr w:type="spellEnd"/>
      <w:r w:rsidR="00E57C8E">
        <w:rPr>
          <w:rFonts w:ascii="Book Antiqua" w:hAnsi="Book Antiqua" w:cs="Arial"/>
        </w:rPr>
        <w:t xml:space="preserve"> the immigration rules</w:t>
      </w:r>
      <w:r>
        <w:rPr>
          <w:rFonts w:ascii="Book Antiqua" w:hAnsi="Book Antiqua" w:cs="Arial"/>
        </w:rPr>
        <w:t>.  In making his decision Judge Lal</w:t>
      </w:r>
      <w:r w:rsidR="00E57C8E">
        <w:rPr>
          <w:rFonts w:ascii="Book Antiqua" w:hAnsi="Book Antiqua" w:cs="Arial"/>
        </w:rPr>
        <w:t xml:space="preserve"> </w:t>
      </w:r>
      <w:r w:rsidR="00E57C8E" w:rsidRPr="00E57C8E">
        <w:rPr>
          <w:rFonts w:ascii="Book Antiqua" w:hAnsi="Book Antiqua" w:cs="Arial"/>
          <w:b/>
        </w:rPr>
        <w:t>has</w:t>
      </w:r>
      <w:r w:rsidRPr="00E57C8E">
        <w:rPr>
          <w:rFonts w:ascii="Book Antiqua" w:hAnsi="Book Antiqua" w:cs="Arial"/>
          <w:b/>
        </w:rPr>
        <w:t xml:space="preserve"> materially erred in law.</w:t>
      </w:r>
      <w:r>
        <w:rPr>
          <w:rFonts w:ascii="Book Antiqua" w:hAnsi="Book Antiqua" w:cs="Arial"/>
        </w:rPr>
        <w:t xml:space="preserve">  I remake the decision myself.  </w:t>
      </w:r>
      <w:r w:rsidRPr="00E57C8E">
        <w:rPr>
          <w:rFonts w:ascii="Book Antiqua" w:hAnsi="Book Antiqua" w:cs="Arial"/>
          <w:b/>
        </w:rPr>
        <w:t>The respondent’s appeal is dismissed.</w:t>
      </w:r>
      <w:r w:rsidRPr="009268C6">
        <w:rPr>
          <w:rFonts w:ascii="Book Antiqua" w:hAnsi="Book Antiqua" w:cs="Arial"/>
        </w:rPr>
        <w:t xml:space="preserve"> </w:t>
      </w:r>
    </w:p>
    <w:p w:rsidR="00E57C8E" w:rsidRDefault="00E57C8E" w:rsidP="00803909">
      <w:pPr>
        <w:tabs>
          <w:tab w:val="left" w:pos="567"/>
        </w:tabs>
        <w:ind w:left="567" w:hanging="567"/>
        <w:jc w:val="both"/>
        <w:rPr>
          <w:rFonts w:ascii="Book Antiqua" w:hAnsi="Book Antiqua" w:cs="Arial"/>
        </w:rPr>
      </w:pPr>
    </w:p>
    <w:p w:rsidR="00F7512E" w:rsidRDefault="00F7512E" w:rsidP="00803909">
      <w:pPr>
        <w:tabs>
          <w:tab w:val="left" w:pos="567"/>
        </w:tabs>
        <w:ind w:left="567" w:hanging="567"/>
        <w:jc w:val="both"/>
        <w:rPr>
          <w:rFonts w:ascii="Book Antiqua" w:hAnsi="Book Antiqua" w:cs="Arial"/>
        </w:rPr>
      </w:pPr>
    </w:p>
    <w:p w:rsidR="00E57C8E" w:rsidRPr="00E57C8E" w:rsidRDefault="00E57C8E" w:rsidP="00E57C8E">
      <w:pPr>
        <w:tabs>
          <w:tab w:val="left" w:pos="567"/>
        </w:tabs>
        <w:jc w:val="both"/>
        <w:rPr>
          <w:rFonts w:ascii="Mistral" w:hAnsi="Mistral" w:cs="Arial"/>
          <w:b/>
          <w:i/>
          <w:sz w:val="40"/>
          <w:szCs w:val="40"/>
        </w:rPr>
      </w:pPr>
      <w:r>
        <w:rPr>
          <w:rFonts w:ascii="Mistral" w:hAnsi="Mistral" w:cs="Arial"/>
          <w:b/>
          <w:i/>
          <w:sz w:val="40"/>
          <w:szCs w:val="40"/>
        </w:rPr>
        <w:t>Richard Chalkley</w:t>
      </w:r>
    </w:p>
    <w:p w:rsidR="009268C6" w:rsidRPr="009268C6" w:rsidRDefault="009268C6" w:rsidP="009268C6">
      <w:pPr>
        <w:jc w:val="both"/>
        <w:rPr>
          <w:rFonts w:ascii="Book Antiqua" w:hAnsi="Book Antiqua" w:cs="Arial"/>
        </w:rPr>
      </w:pPr>
    </w:p>
    <w:p w:rsidR="00B95326" w:rsidRDefault="00383246" w:rsidP="00383246">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90D1C">
        <w:rPr>
          <w:rFonts w:ascii="Book Antiqua" w:hAnsi="Book Antiqua" w:cs="Arial"/>
          <w:color w:val="000000"/>
        </w:rPr>
        <w:t xml:space="preserve"> Judge</w:t>
      </w:r>
      <w:r w:rsidR="001B2F75" w:rsidRPr="00890D1C">
        <w:rPr>
          <w:rFonts w:ascii="Book Antiqua" w:hAnsi="Book Antiqua" w:cs="Arial"/>
          <w:color w:val="000000"/>
        </w:rPr>
        <w:t xml:space="preserve"> </w:t>
      </w:r>
      <w:r w:rsidR="00A41957" w:rsidRPr="00890D1C">
        <w:rPr>
          <w:rFonts w:ascii="Book Antiqua" w:hAnsi="Book Antiqua" w:cs="Arial"/>
          <w:color w:val="000000"/>
        </w:rPr>
        <w:t>Chalkley</w:t>
      </w:r>
    </w:p>
    <w:p w:rsidR="00F7512E" w:rsidRDefault="00F7512E">
      <w:pPr>
        <w:rPr>
          <w:rFonts w:ascii="Book Antiqua" w:hAnsi="Book Antiqua" w:cs="Arial"/>
          <w:color w:val="000000"/>
        </w:rPr>
      </w:pPr>
    </w:p>
    <w:p w:rsidR="00F7512E" w:rsidRDefault="00F7512E">
      <w:pPr>
        <w:rPr>
          <w:rFonts w:ascii="Book Antiqua" w:hAnsi="Book Antiqua" w:cs="Arial"/>
          <w:color w:val="000000"/>
        </w:rPr>
      </w:pPr>
      <w:r>
        <w:rPr>
          <w:rFonts w:ascii="Book Antiqua" w:hAnsi="Book Antiqua" w:cs="Arial"/>
          <w:color w:val="000000"/>
        </w:rPr>
        <w:br w:type="page"/>
      </w:r>
    </w:p>
    <w:p w:rsidR="009268C6" w:rsidRPr="00383246" w:rsidRDefault="009268C6" w:rsidP="00383246">
      <w:pPr>
        <w:tabs>
          <w:tab w:val="left" w:pos="2520"/>
        </w:tabs>
        <w:ind w:left="540" w:hanging="540"/>
        <w:jc w:val="both"/>
        <w:rPr>
          <w:rFonts w:ascii="Book Antiqua" w:hAnsi="Book Antiqua" w:cs="Arial"/>
          <w:color w:val="000000"/>
        </w:rPr>
      </w:pPr>
    </w:p>
    <w:p w:rsidR="009268C6" w:rsidRPr="009268C6" w:rsidRDefault="009268C6" w:rsidP="009268C6">
      <w:pPr>
        <w:jc w:val="both"/>
        <w:rPr>
          <w:rFonts w:ascii="Book Antiqua" w:hAnsi="Book Antiqua" w:cs="Arial"/>
          <w:b/>
          <w:u w:val="single"/>
        </w:rPr>
      </w:pPr>
      <w:r w:rsidRPr="009268C6">
        <w:rPr>
          <w:rFonts w:ascii="Book Antiqua" w:hAnsi="Book Antiqua" w:cs="Arial"/>
          <w:b/>
          <w:u w:val="single"/>
        </w:rPr>
        <w:t>TO THE RESPONDENT</w:t>
      </w:r>
    </w:p>
    <w:p w:rsidR="009268C6" w:rsidRPr="009268C6" w:rsidRDefault="009268C6" w:rsidP="009268C6">
      <w:pPr>
        <w:ind w:left="567" w:hanging="567"/>
        <w:jc w:val="both"/>
        <w:rPr>
          <w:rFonts w:ascii="Book Antiqua" w:hAnsi="Book Antiqua" w:cs="Arial"/>
        </w:rPr>
      </w:pPr>
      <w:r w:rsidRPr="009268C6">
        <w:rPr>
          <w:rFonts w:ascii="Book Antiqua" w:hAnsi="Book Antiqua" w:cs="Arial"/>
          <w:b/>
          <w:u w:val="single"/>
        </w:rPr>
        <w:t>FEE AWARD</w:t>
      </w:r>
    </w:p>
    <w:p w:rsidR="009268C6" w:rsidRDefault="009268C6" w:rsidP="00F7512E">
      <w:pPr>
        <w:spacing w:before="240"/>
        <w:jc w:val="both"/>
        <w:rPr>
          <w:rFonts w:ascii="Book Antiqua" w:hAnsi="Book Antiqua" w:cs="Arial"/>
        </w:rPr>
      </w:pPr>
      <w:r w:rsidRPr="009268C6">
        <w:rPr>
          <w:rFonts w:ascii="Book Antiqua" w:hAnsi="Book Antiqua" w:cs="Arial"/>
        </w:rPr>
        <w:t>I have dismissed the appeal and therefore there can be no fee award.</w:t>
      </w:r>
    </w:p>
    <w:p w:rsidR="009268C6" w:rsidRDefault="009268C6" w:rsidP="009268C6">
      <w:pPr>
        <w:jc w:val="both"/>
        <w:rPr>
          <w:rFonts w:ascii="Book Antiqua" w:hAnsi="Book Antiqua" w:cs="Arial"/>
        </w:rPr>
      </w:pPr>
    </w:p>
    <w:p w:rsidR="009268C6" w:rsidRDefault="009268C6" w:rsidP="009268C6">
      <w:pPr>
        <w:jc w:val="both"/>
        <w:rPr>
          <w:rFonts w:ascii="Book Antiqua" w:hAnsi="Book Antiqua" w:cs="Arial"/>
        </w:rPr>
      </w:pPr>
    </w:p>
    <w:p w:rsidR="00E57C8E" w:rsidRPr="00E57C8E" w:rsidRDefault="00E57C8E" w:rsidP="00E57C8E">
      <w:pPr>
        <w:tabs>
          <w:tab w:val="left" w:pos="567"/>
        </w:tabs>
        <w:jc w:val="both"/>
        <w:rPr>
          <w:rFonts w:ascii="Mistral" w:hAnsi="Mistral" w:cs="Arial"/>
          <w:b/>
          <w:i/>
          <w:sz w:val="40"/>
          <w:szCs w:val="40"/>
        </w:rPr>
      </w:pPr>
      <w:r>
        <w:rPr>
          <w:rFonts w:ascii="Mistral" w:hAnsi="Mistral" w:cs="Arial"/>
          <w:b/>
          <w:i/>
          <w:sz w:val="40"/>
          <w:szCs w:val="40"/>
        </w:rPr>
        <w:t>Richard Chalkley</w:t>
      </w:r>
    </w:p>
    <w:p w:rsidR="009268C6" w:rsidRDefault="009268C6" w:rsidP="009268C6">
      <w:pPr>
        <w:jc w:val="both"/>
        <w:rPr>
          <w:rFonts w:ascii="Book Antiqua" w:hAnsi="Book Antiqua" w:cs="Arial"/>
        </w:rPr>
      </w:pPr>
    </w:p>
    <w:p w:rsidR="00B95326" w:rsidRPr="00890D1C" w:rsidRDefault="009268C6" w:rsidP="00E57C8E">
      <w:pPr>
        <w:tabs>
          <w:tab w:val="left" w:pos="2520"/>
        </w:tabs>
        <w:jc w:val="both"/>
        <w:rPr>
          <w:rFonts w:ascii="Book Antiqua" w:hAnsi="Book Antiqua" w:cs="Arial"/>
        </w:rPr>
      </w:pPr>
      <w:r>
        <w:rPr>
          <w:rFonts w:ascii="Book Antiqua" w:hAnsi="Book Antiqua" w:cs="Arial"/>
          <w:color w:val="000000"/>
        </w:rPr>
        <w:t>Upper Tribunal</w:t>
      </w:r>
      <w:r w:rsidRPr="00890D1C">
        <w:rPr>
          <w:rFonts w:ascii="Book Antiqua" w:hAnsi="Book Antiqua" w:cs="Arial"/>
          <w:color w:val="000000"/>
        </w:rPr>
        <w:t xml:space="preserve"> Judge Chalkley</w:t>
      </w:r>
    </w:p>
    <w:p w:rsidR="00B95326" w:rsidRPr="00890D1C" w:rsidRDefault="00B95326" w:rsidP="00402B9E">
      <w:pPr>
        <w:tabs>
          <w:tab w:val="left" w:pos="2520"/>
        </w:tabs>
        <w:ind w:left="540" w:hanging="540"/>
        <w:jc w:val="both"/>
        <w:rPr>
          <w:rFonts w:ascii="Book Antiqua" w:hAnsi="Book Antiqua" w:cs="Arial"/>
        </w:rPr>
      </w:pPr>
    </w:p>
    <w:sectPr w:rsidR="00B95326" w:rsidRPr="00890D1C" w:rsidSect="00776E97">
      <w:headerReference w:type="default" r:id="rId7"/>
      <w:footerReference w:type="default" r:id="rId8"/>
      <w:footerReference w:type="first" r:id="rId9"/>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B65" w:rsidRDefault="00084B65">
      <w:r>
        <w:separator/>
      </w:r>
    </w:p>
  </w:endnote>
  <w:endnote w:type="continuationSeparator" w:id="0">
    <w:p w:rsidR="00084B65" w:rsidRDefault="00084B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890D1C" w:rsidRDefault="00B83391" w:rsidP="00593795">
    <w:pPr>
      <w:pStyle w:val="Footer"/>
      <w:jc w:val="center"/>
      <w:rPr>
        <w:rFonts w:ascii="Book Antiqua" w:hAnsi="Book Antiqua" w:cs="Arial"/>
        <w:sz w:val="16"/>
        <w:szCs w:val="16"/>
      </w:rPr>
    </w:pPr>
    <w:r w:rsidRPr="00890D1C">
      <w:rPr>
        <w:rStyle w:val="PageNumber"/>
        <w:rFonts w:ascii="Book Antiqua" w:hAnsi="Book Antiqua" w:cs="Arial"/>
        <w:sz w:val="16"/>
        <w:szCs w:val="16"/>
      </w:rPr>
      <w:fldChar w:fldCharType="begin"/>
    </w:r>
    <w:r w:rsidRPr="00890D1C">
      <w:rPr>
        <w:rStyle w:val="PageNumber"/>
        <w:rFonts w:ascii="Book Antiqua" w:hAnsi="Book Antiqua" w:cs="Arial"/>
        <w:sz w:val="16"/>
        <w:szCs w:val="16"/>
      </w:rPr>
      <w:instrText xml:space="preserve"> PAGE </w:instrText>
    </w:r>
    <w:r w:rsidRPr="00890D1C">
      <w:rPr>
        <w:rStyle w:val="PageNumber"/>
        <w:rFonts w:ascii="Book Antiqua" w:hAnsi="Book Antiqua" w:cs="Arial"/>
        <w:sz w:val="16"/>
        <w:szCs w:val="16"/>
      </w:rPr>
      <w:fldChar w:fldCharType="separate"/>
    </w:r>
    <w:r w:rsidR="005D76E5">
      <w:rPr>
        <w:rStyle w:val="PageNumber"/>
        <w:rFonts w:ascii="Book Antiqua" w:hAnsi="Book Antiqua" w:cs="Arial"/>
        <w:noProof/>
        <w:sz w:val="16"/>
        <w:szCs w:val="16"/>
      </w:rPr>
      <w:t>6</w:t>
    </w:r>
    <w:r w:rsidRPr="00890D1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890D1C" w:rsidRDefault="00F34590" w:rsidP="00F34590">
    <w:pPr>
      <w:jc w:val="center"/>
      <w:rPr>
        <w:rFonts w:ascii="Book Antiqua" w:hAnsi="Book Antiqua" w:cs="Arial"/>
        <w:b/>
      </w:rPr>
    </w:pPr>
    <w:r w:rsidRPr="00890D1C">
      <w:rPr>
        <w:rFonts w:ascii="Book Antiqua" w:hAnsi="Book Antiqua" w:cs="Arial"/>
        <w:b/>
        <w:spacing w:val="-6"/>
      </w:rPr>
      <w:t>©</w:t>
    </w:r>
    <w:r w:rsidR="000F7448">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B65" w:rsidRDefault="00084B65">
      <w:r>
        <w:separator/>
      </w:r>
    </w:p>
  </w:footnote>
  <w:footnote w:type="continuationSeparator" w:id="0">
    <w:p w:rsidR="00084B65" w:rsidRDefault="00084B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890D1C" w:rsidRDefault="00B83391" w:rsidP="00593795">
    <w:pPr>
      <w:pStyle w:val="Header"/>
      <w:jc w:val="right"/>
      <w:rPr>
        <w:rFonts w:ascii="Book Antiqua" w:hAnsi="Book Antiqua" w:cs="Arial"/>
        <w:sz w:val="16"/>
        <w:szCs w:val="16"/>
      </w:rPr>
    </w:pPr>
    <w:r w:rsidRPr="00890D1C">
      <w:rPr>
        <w:rFonts w:ascii="Book Antiqua" w:hAnsi="Book Antiqua" w:cs="Arial"/>
        <w:sz w:val="16"/>
        <w:szCs w:val="16"/>
      </w:rPr>
      <w:t>Appeal Number:</w:t>
    </w:r>
    <w:r w:rsidR="001B186A" w:rsidRPr="00890D1C">
      <w:rPr>
        <w:rFonts w:ascii="Book Antiqua" w:hAnsi="Book Antiqua" w:cs="Arial"/>
        <w:sz w:val="16"/>
        <w:szCs w:val="16"/>
      </w:rPr>
      <w:t xml:space="preserve"> </w:t>
    </w:r>
    <w:r w:rsidR="00AD6855">
      <w:rPr>
        <w:rFonts w:ascii="Book Antiqua" w:hAnsi="Book Antiqua" w:cs="Arial"/>
        <w:sz w:val="16"/>
        <w:szCs w:val="16"/>
      </w:rPr>
      <w:t>IA/34936/2015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3B"/>
    <w:rsid w:val="00000621"/>
    <w:rsid w:val="000036C2"/>
    <w:rsid w:val="00033D3D"/>
    <w:rsid w:val="00041D15"/>
    <w:rsid w:val="00062F02"/>
    <w:rsid w:val="000670C1"/>
    <w:rsid w:val="00071A7E"/>
    <w:rsid w:val="000746C0"/>
    <w:rsid w:val="00074D1D"/>
    <w:rsid w:val="000764CD"/>
    <w:rsid w:val="00084B65"/>
    <w:rsid w:val="00092580"/>
    <w:rsid w:val="00093D4D"/>
    <w:rsid w:val="000D46FC"/>
    <w:rsid w:val="000D5D94"/>
    <w:rsid w:val="000E2BC0"/>
    <w:rsid w:val="000F1A0E"/>
    <w:rsid w:val="000F7448"/>
    <w:rsid w:val="00103ECD"/>
    <w:rsid w:val="00107482"/>
    <w:rsid w:val="00112E83"/>
    <w:rsid w:val="001165A7"/>
    <w:rsid w:val="001319BA"/>
    <w:rsid w:val="00167D3A"/>
    <w:rsid w:val="00176EC2"/>
    <w:rsid w:val="001804AA"/>
    <w:rsid w:val="00182679"/>
    <w:rsid w:val="001A3082"/>
    <w:rsid w:val="001B186A"/>
    <w:rsid w:val="001B2F75"/>
    <w:rsid w:val="001D3899"/>
    <w:rsid w:val="001F2716"/>
    <w:rsid w:val="001F608D"/>
    <w:rsid w:val="00201BB6"/>
    <w:rsid w:val="00207617"/>
    <w:rsid w:val="0023134B"/>
    <w:rsid w:val="00244BD9"/>
    <w:rsid w:val="00252D28"/>
    <w:rsid w:val="002775EE"/>
    <w:rsid w:val="00283659"/>
    <w:rsid w:val="002901A2"/>
    <w:rsid w:val="002A7DA1"/>
    <w:rsid w:val="002B62BE"/>
    <w:rsid w:val="002C6BD4"/>
    <w:rsid w:val="002D0F99"/>
    <w:rsid w:val="002D68BF"/>
    <w:rsid w:val="002F3688"/>
    <w:rsid w:val="002F6B98"/>
    <w:rsid w:val="003215CE"/>
    <w:rsid w:val="00336CBF"/>
    <w:rsid w:val="00343FE3"/>
    <w:rsid w:val="003546C8"/>
    <w:rsid w:val="00360D24"/>
    <w:rsid w:val="00383246"/>
    <w:rsid w:val="00393270"/>
    <w:rsid w:val="003A0BB5"/>
    <w:rsid w:val="003A7CF2"/>
    <w:rsid w:val="003C5CE5"/>
    <w:rsid w:val="003E267B"/>
    <w:rsid w:val="003E7CD1"/>
    <w:rsid w:val="00402B9E"/>
    <w:rsid w:val="004249CB"/>
    <w:rsid w:val="0044127D"/>
    <w:rsid w:val="004448DB"/>
    <w:rsid w:val="00446C9A"/>
    <w:rsid w:val="00452F2B"/>
    <w:rsid w:val="00477193"/>
    <w:rsid w:val="004A1848"/>
    <w:rsid w:val="004A6F4A"/>
    <w:rsid w:val="004B161B"/>
    <w:rsid w:val="004C1483"/>
    <w:rsid w:val="004C4338"/>
    <w:rsid w:val="004E4717"/>
    <w:rsid w:val="00507FEC"/>
    <w:rsid w:val="00510F0E"/>
    <w:rsid w:val="005479E1"/>
    <w:rsid w:val="00553E0A"/>
    <w:rsid w:val="005570FD"/>
    <w:rsid w:val="005575EA"/>
    <w:rsid w:val="0057790C"/>
    <w:rsid w:val="005906EB"/>
    <w:rsid w:val="00593795"/>
    <w:rsid w:val="00596EA2"/>
    <w:rsid w:val="005A264D"/>
    <w:rsid w:val="005A75FF"/>
    <w:rsid w:val="005B6FD0"/>
    <w:rsid w:val="005D10AB"/>
    <w:rsid w:val="005D76E5"/>
    <w:rsid w:val="005F79E2"/>
    <w:rsid w:val="00601D8F"/>
    <w:rsid w:val="00614BFE"/>
    <w:rsid w:val="0062792D"/>
    <w:rsid w:val="00653E97"/>
    <w:rsid w:val="00684A74"/>
    <w:rsid w:val="00690B8A"/>
    <w:rsid w:val="006A30B3"/>
    <w:rsid w:val="006D737C"/>
    <w:rsid w:val="006F2CF1"/>
    <w:rsid w:val="007038ED"/>
    <w:rsid w:val="00703BC3"/>
    <w:rsid w:val="00704B61"/>
    <w:rsid w:val="00754B1C"/>
    <w:rsid w:val="007552A9"/>
    <w:rsid w:val="00761858"/>
    <w:rsid w:val="00767D59"/>
    <w:rsid w:val="00776E97"/>
    <w:rsid w:val="00780F86"/>
    <w:rsid w:val="007912AD"/>
    <w:rsid w:val="00797EE4"/>
    <w:rsid w:val="007B0824"/>
    <w:rsid w:val="007B5D3C"/>
    <w:rsid w:val="00803909"/>
    <w:rsid w:val="00821175"/>
    <w:rsid w:val="00821B72"/>
    <w:rsid w:val="00823EF2"/>
    <w:rsid w:val="008303B8"/>
    <w:rsid w:val="00833DCE"/>
    <w:rsid w:val="0083414C"/>
    <w:rsid w:val="00841456"/>
    <w:rsid w:val="00871D34"/>
    <w:rsid w:val="00890D1C"/>
    <w:rsid w:val="008B270C"/>
    <w:rsid w:val="008B2935"/>
    <w:rsid w:val="008B5078"/>
    <w:rsid w:val="008C3D3D"/>
    <w:rsid w:val="008D4131"/>
    <w:rsid w:val="008F1932"/>
    <w:rsid w:val="00903708"/>
    <w:rsid w:val="00921062"/>
    <w:rsid w:val="009268C6"/>
    <w:rsid w:val="009722BC"/>
    <w:rsid w:val="009727A3"/>
    <w:rsid w:val="00987774"/>
    <w:rsid w:val="009A11E8"/>
    <w:rsid w:val="009D5D32"/>
    <w:rsid w:val="009F5220"/>
    <w:rsid w:val="00A12F20"/>
    <w:rsid w:val="00A15234"/>
    <w:rsid w:val="00A201AB"/>
    <w:rsid w:val="00A31C8B"/>
    <w:rsid w:val="00A41957"/>
    <w:rsid w:val="00A45075"/>
    <w:rsid w:val="00A509FA"/>
    <w:rsid w:val="00A70014"/>
    <w:rsid w:val="00A845DC"/>
    <w:rsid w:val="00AB18E5"/>
    <w:rsid w:val="00AC3999"/>
    <w:rsid w:val="00AD6855"/>
    <w:rsid w:val="00B237C4"/>
    <w:rsid w:val="00B26AA2"/>
    <w:rsid w:val="00B3524D"/>
    <w:rsid w:val="00B40F69"/>
    <w:rsid w:val="00B46616"/>
    <w:rsid w:val="00B7040A"/>
    <w:rsid w:val="00B83391"/>
    <w:rsid w:val="00B95326"/>
    <w:rsid w:val="00BC24BB"/>
    <w:rsid w:val="00BD4196"/>
    <w:rsid w:val="00BF22CA"/>
    <w:rsid w:val="00BF23BB"/>
    <w:rsid w:val="00BF3B7A"/>
    <w:rsid w:val="00C26032"/>
    <w:rsid w:val="00C345E1"/>
    <w:rsid w:val="00C43BFD"/>
    <w:rsid w:val="00C46C09"/>
    <w:rsid w:val="00C8024F"/>
    <w:rsid w:val="00CA0840"/>
    <w:rsid w:val="00CA75B9"/>
    <w:rsid w:val="00CB4548"/>
    <w:rsid w:val="00CB6E35"/>
    <w:rsid w:val="00CC4193"/>
    <w:rsid w:val="00CE1A46"/>
    <w:rsid w:val="00CF7288"/>
    <w:rsid w:val="00D20757"/>
    <w:rsid w:val="00D22636"/>
    <w:rsid w:val="00D40FD9"/>
    <w:rsid w:val="00D53769"/>
    <w:rsid w:val="00D53B3B"/>
    <w:rsid w:val="00D85C13"/>
    <w:rsid w:val="00D901FF"/>
    <w:rsid w:val="00D9111A"/>
    <w:rsid w:val="00D91BE3"/>
    <w:rsid w:val="00D94AFC"/>
    <w:rsid w:val="00D978CD"/>
    <w:rsid w:val="00DB70AE"/>
    <w:rsid w:val="00DC6E50"/>
    <w:rsid w:val="00DD5071"/>
    <w:rsid w:val="00DD5C39"/>
    <w:rsid w:val="00DE7DB7"/>
    <w:rsid w:val="00E00A0A"/>
    <w:rsid w:val="00E066DE"/>
    <w:rsid w:val="00E07F57"/>
    <w:rsid w:val="00E30683"/>
    <w:rsid w:val="00E443E0"/>
    <w:rsid w:val="00E453D8"/>
    <w:rsid w:val="00E50BCE"/>
    <w:rsid w:val="00E574BF"/>
    <w:rsid w:val="00E57C8E"/>
    <w:rsid w:val="00E61292"/>
    <w:rsid w:val="00E62DA8"/>
    <w:rsid w:val="00E6583B"/>
    <w:rsid w:val="00E77C4D"/>
    <w:rsid w:val="00E81D01"/>
    <w:rsid w:val="00E942B3"/>
    <w:rsid w:val="00EA3C04"/>
    <w:rsid w:val="00ED6FED"/>
    <w:rsid w:val="00ED722A"/>
    <w:rsid w:val="00EE45D8"/>
    <w:rsid w:val="00F14E71"/>
    <w:rsid w:val="00F17BB2"/>
    <w:rsid w:val="00F20F31"/>
    <w:rsid w:val="00F22EDA"/>
    <w:rsid w:val="00F34590"/>
    <w:rsid w:val="00F4025F"/>
    <w:rsid w:val="00F4482D"/>
    <w:rsid w:val="00F66762"/>
    <w:rsid w:val="00F7512E"/>
    <w:rsid w:val="00FE38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7F77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2404</Words>
  <Characters>11755</Characters>
  <Application>Microsoft Office Word</Application>
  <DocSecurity>0</DocSecurity>
  <Lines>97</Lines>
  <Paragraphs>28</Paragraphs>
  <ScaleCrop>false</ScaleCrop>
  <Company/>
  <LinksUpToDate>false</LinksUpToDate>
  <CharactersWithSpaces>14131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2018-06-14T15:41:00Z</dcterms:created>
  <dcterms:modified xsi:type="dcterms:W3CDTF">2018-06-14T15:41:00Z</dcterms:modified>
</cp:coreProperties>
</file>