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42C86" w:rsidP="006736AA">
      <w:pPr>
        <w:ind w:left="3402" w:firstLine="567"/>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B76168">
        <w:rPr>
          <w:rFonts w:ascii="Book Antiqua" w:hAnsi="Book Antiqua" w:cs="Arial"/>
          <w:b/>
        </w:rPr>
        <w:t>Tribunal</w:t>
      </w:r>
    </w:p>
    <w:p w:rsidR="007B0824" w:rsidRPr="0026315D"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26315D">
        <w:rPr>
          <w:rFonts w:ascii="Book Antiqua" w:hAnsi="Book Antiqua" w:cs="Arial"/>
          <w:b/>
        </w:rPr>
        <w:t xml:space="preserve">   </w:t>
      </w:r>
      <w:proofErr w:type="gramEnd"/>
      <w:r w:rsidR="0026315D">
        <w:rPr>
          <w:rFonts w:ascii="Book Antiqua" w:hAnsi="Book Antiqua" w:cs="Arial"/>
          <w:b/>
        </w:rPr>
        <w:t xml:space="preserve">                        </w:t>
      </w:r>
      <w:r w:rsidR="00B3524D" w:rsidRPr="0026315D">
        <w:rPr>
          <w:rFonts w:ascii="Book Antiqua" w:hAnsi="Book Antiqua" w:cs="Arial"/>
          <w:b/>
        </w:rPr>
        <w:t>Appeal Number</w:t>
      </w:r>
      <w:r w:rsidR="00D53769" w:rsidRPr="0026315D">
        <w:rPr>
          <w:rFonts w:ascii="Book Antiqua" w:hAnsi="Book Antiqua" w:cs="Arial"/>
          <w:b/>
        </w:rPr>
        <w:t>:</w:t>
      </w:r>
      <w:r w:rsidR="00B3524D" w:rsidRPr="0026315D">
        <w:rPr>
          <w:rFonts w:ascii="Book Antiqua" w:hAnsi="Book Antiqua" w:cs="Arial"/>
          <w:b/>
        </w:rPr>
        <w:t xml:space="preserve"> </w:t>
      </w:r>
      <w:r w:rsidR="00CD214E" w:rsidRPr="0026315D">
        <w:rPr>
          <w:rFonts w:ascii="Book Antiqua" w:hAnsi="Book Antiqua" w:cs="Arial"/>
          <w:b/>
          <w:caps/>
        </w:rPr>
        <w:t>IA/34946</w:t>
      </w:r>
      <w:r w:rsidR="00394F98" w:rsidRPr="0026315D">
        <w:rPr>
          <w:rFonts w:ascii="Book Antiqua" w:hAnsi="Book Antiqua" w:cs="Arial"/>
          <w:b/>
          <w:caps/>
        </w:rPr>
        <w:t>/201</w:t>
      </w:r>
      <w:r w:rsidR="00165CA9" w:rsidRPr="0026315D">
        <w:rPr>
          <w:rFonts w:ascii="Book Antiqua" w:hAnsi="Book Antiqua" w:cs="Arial"/>
          <w:b/>
          <w:caps/>
        </w:rPr>
        <w:t>5</w:t>
      </w:r>
    </w:p>
    <w:p w:rsidR="00C345E1" w:rsidRPr="0026315D"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529"/>
        <w:gridCol w:w="4479"/>
      </w:tblGrid>
      <w:tr w:rsidR="00D22636" w:rsidRPr="00E61281" w:rsidTr="0026315D">
        <w:tc>
          <w:tcPr>
            <w:tcW w:w="5529" w:type="dxa"/>
            <w:shd w:val="clear" w:color="auto" w:fill="auto"/>
          </w:tcPr>
          <w:p w:rsidR="00D22636" w:rsidRPr="00E61281" w:rsidRDefault="00D22636" w:rsidP="00E61281">
            <w:pPr>
              <w:jc w:val="both"/>
              <w:rPr>
                <w:rFonts w:ascii="Book Antiqua" w:hAnsi="Book Antiqua" w:cs="Arial"/>
                <w:b/>
              </w:rPr>
            </w:pPr>
            <w:r w:rsidRPr="00E61281">
              <w:rPr>
                <w:rFonts w:ascii="Book Antiqua" w:hAnsi="Book Antiqua" w:cs="Arial"/>
                <w:b/>
              </w:rPr>
              <w:t xml:space="preserve">Heard at </w:t>
            </w:r>
            <w:r w:rsidR="00CD214E">
              <w:rPr>
                <w:rFonts w:ascii="Book Antiqua" w:hAnsi="Book Antiqua" w:cs="Arial"/>
                <w:b/>
              </w:rPr>
              <w:t>Birmingham</w:t>
            </w:r>
          </w:p>
        </w:tc>
        <w:tc>
          <w:tcPr>
            <w:tcW w:w="4479" w:type="dxa"/>
            <w:shd w:val="clear" w:color="auto" w:fill="auto"/>
          </w:tcPr>
          <w:p w:rsidR="00D22636" w:rsidRPr="00E61281" w:rsidRDefault="00C77259" w:rsidP="00E61281">
            <w:pPr>
              <w:jc w:val="both"/>
              <w:rPr>
                <w:rFonts w:ascii="Book Antiqua" w:hAnsi="Book Antiqua" w:cs="Arial"/>
                <w:b/>
              </w:rPr>
            </w:pPr>
            <w:r w:rsidRPr="00E61281">
              <w:rPr>
                <w:rFonts w:ascii="Book Antiqua" w:hAnsi="Book Antiqua" w:cs="Arial"/>
                <w:b/>
              </w:rPr>
              <w:t>Decision &amp; Reasons</w:t>
            </w:r>
            <w:r w:rsidR="00B768CA" w:rsidRPr="00E61281">
              <w:rPr>
                <w:rFonts w:ascii="Book Antiqua" w:hAnsi="Book Antiqua" w:cs="Arial"/>
                <w:b/>
              </w:rPr>
              <w:t xml:space="preserve"> Promulgated</w:t>
            </w:r>
            <w:r w:rsidR="008C63D4" w:rsidRPr="00E61281">
              <w:rPr>
                <w:rFonts w:ascii="Book Antiqua" w:hAnsi="Book Antiqua" w:cs="Arial"/>
                <w:b/>
              </w:rPr>
              <w:t xml:space="preserve"> </w:t>
            </w:r>
          </w:p>
        </w:tc>
      </w:tr>
      <w:tr w:rsidR="00D22636" w:rsidRPr="00E61281" w:rsidTr="0026315D">
        <w:tc>
          <w:tcPr>
            <w:tcW w:w="5529" w:type="dxa"/>
            <w:shd w:val="clear" w:color="auto" w:fill="auto"/>
          </w:tcPr>
          <w:p w:rsidR="00D22636" w:rsidRPr="00E61281" w:rsidRDefault="00D22636" w:rsidP="00E61281">
            <w:pPr>
              <w:jc w:val="both"/>
              <w:rPr>
                <w:rFonts w:ascii="Book Antiqua" w:hAnsi="Book Antiqua" w:cs="Arial"/>
                <w:b/>
              </w:rPr>
            </w:pPr>
            <w:r w:rsidRPr="00E61281">
              <w:rPr>
                <w:rFonts w:ascii="Book Antiqua" w:hAnsi="Book Antiqua" w:cs="Arial"/>
                <w:b/>
              </w:rPr>
              <w:t xml:space="preserve">On </w:t>
            </w:r>
            <w:r w:rsidR="00DE5A2E">
              <w:rPr>
                <w:rFonts w:ascii="Book Antiqua" w:hAnsi="Book Antiqua" w:cs="Arial"/>
                <w:b/>
              </w:rPr>
              <w:t>1</w:t>
            </w:r>
            <w:r w:rsidR="00CD214E">
              <w:rPr>
                <w:rFonts w:ascii="Book Antiqua" w:hAnsi="Book Antiqua" w:cs="Arial"/>
                <w:b/>
              </w:rPr>
              <w:t>4</w:t>
            </w:r>
            <w:r w:rsidR="00CD214E" w:rsidRPr="00CD214E">
              <w:rPr>
                <w:rFonts w:ascii="Book Antiqua" w:hAnsi="Book Antiqua" w:cs="Arial"/>
                <w:b/>
                <w:vertAlign w:val="superscript"/>
              </w:rPr>
              <w:t>th</w:t>
            </w:r>
            <w:r w:rsidR="00CD214E">
              <w:rPr>
                <w:rFonts w:ascii="Book Antiqua" w:hAnsi="Book Antiqua" w:cs="Arial"/>
                <w:b/>
              </w:rPr>
              <w:t xml:space="preserve"> May</w:t>
            </w:r>
            <w:r w:rsidR="00394F98" w:rsidRPr="00E61281">
              <w:rPr>
                <w:rFonts w:ascii="Book Antiqua" w:hAnsi="Book Antiqua" w:cs="Arial"/>
                <w:b/>
              </w:rPr>
              <w:t xml:space="preserve"> 201</w:t>
            </w:r>
            <w:r w:rsidR="00CD214E">
              <w:rPr>
                <w:rFonts w:ascii="Book Antiqua" w:hAnsi="Book Antiqua" w:cs="Arial"/>
                <w:b/>
              </w:rPr>
              <w:t>8</w:t>
            </w:r>
          </w:p>
        </w:tc>
        <w:tc>
          <w:tcPr>
            <w:tcW w:w="4479" w:type="dxa"/>
            <w:shd w:val="clear" w:color="auto" w:fill="auto"/>
          </w:tcPr>
          <w:p w:rsidR="00D22636" w:rsidRPr="00E61281" w:rsidRDefault="00C36CA7" w:rsidP="00E61281">
            <w:pPr>
              <w:jc w:val="both"/>
              <w:rPr>
                <w:rFonts w:ascii="Book Antiqua" w:hAnsi="Book Antiqua" w:cs="Arial"/>
                <w:b/>
              </w:rPr>
            </w:pPr>
            <w:r>
              <w:rPr>
                <w:rFonts w:ascii="Book Antiqua" w:hAnsi="Book Antiqua" w:cs="Arial"/>
                <w:b/>
              </w:rPr>
              <w:t>On 22</w:t>
            </w:r>
            <w:r w:rsidRPr="00C36CA7">
              <w:rPr>
                <w:rFonts w:ascii="Book Antiqua" w:hAnsi="Book Antiqua" w:cs="Arial"/>
                <w:b/>
                <w:vertAlign w:val="superscript"/>
              </w:rPr>
              <w:t>nd</w:t>
            </w:r>
            <w:r>
              <w:rPr>
                <w:rFonts w:ascii="Book Antiqua" w:hAnsi="Book Antiqua" w:cs="Arial"/>
                <w:b/>
              </w:rPr>
              <w:t xml:space="preserve"> May 2018 </w:t>
            </w:r>
          </w:p>
        </w:tc>
      </w:tr>
      <w:tr w:rsidR="00D22636" w:rsidRPr="00E61281" w:rsidTr="0026315D">
        <w:tc>
          <w:tcPr>
            <w:tcW w:w="5529" w:type="dxa"/>
            <w:shd w:val="clear" w:color="auto" w:fill="auto"/>
          </w:tcPr>
          <w:p w:rsidR="00D22636" w:rsidRPr="00E61281" w:rsidRDefault="00D22636" w:rsidP="00E61281">
            <w:pPr>
              <w:jc w:val="both"/>
              <w:rPr>
                <w:rFonts w:ascii="Book Antiqua" w:hAnsi="Book Antiqua" w:cs="Arial"/>
                <w:b/>
              </w:rPr>
            </w:pPr>
          </w:p>
        </w:tc>
        <w:tc>
          <w:tcPr>
            <w:tcW w:w="4479" w:type="dxa"/>
            <w:shd w:val="clear" w:color="auto" w:fill="auto"/>
          </w:tcPr>
          <w:p w:rsidR="00D22636" w:rsidRPr="00E61281" w:rsidRDefault="00D22636" w:rsidP="00E61281">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B76168">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DE5A2E" w:rsidRDefault="00DE5A2E" w:rsidP="00DE5A2E">
      <w:pPr>
        <w:jc w:val="center"/>
        <w:rPr>
          <w:rFonts w:ascii="Book Antiqua" w:hAnsi="Book Antiqua" w:cs="Arial"/>
          <w:b/>
          <w:caps/>
        </w:rPr>
      </w:pPr>
      <w:r>
        <w:rPr>
          <w:rFonts w:ascii="Book Antiqua" w:hAnsi="Book Antiqua" w:cs="Arial"/>
          <w:b/>
          <w:caps/>
        </w:rPr>
        <w:t>THE SECRETARY OF STATE FOR THE HOME DEPARTMENT</w:t>
      </w:r>
    </w:p>
    <w:p w:rsidR="00C77259" w:rsidRDefault="00C77259" w:rsidP="00C77259">
      <w:pPr>
        <w:jc w:val="center"/>
        <w:rPr>
          <w:rFonts w:ascii="Book Antiqua" w:hAnsi="Book Antiqua" w:cs="Arial"/>
          <w:b/>
          <w:caps/>
        </w:rPr>
      </w:pPr>
    </w:p>
    <w:p w:rsidR="00704B61" w:rsidRPr="00F5664C" w:rsidRDefault="00B76168" w:rsidP="00704B61">
      <w:pPr>
        <w:jc w:val="right"/>
        <w:rPr>
          <w:rFonts w:ascii="Book Antiqua" w:hAnsi="Book Antiqua" w:cs="Arial"/>
          <w:u w:val="single"/>
        </w:rPr>
      </w:pPr>
      <w:r>
        <w:rPr>
          <w:rFonts w:ascii="Book Antiqua" w:hAnsi="Book Antiqua" w:cs="Arial"/>
          <w:u w:val="single"/>
        </w:rPr>
        <w:t>Appellant</w:t>
      </w:r>
    </w:p>
    <w:p w:rsidR="00704B61" w:rsidRDefault="00DE5A2E" w:rsidP="00704B61">
      <w:pPr>
        <w:jc w:val="center"/>
        <w:rPr>
          <w:rFonts w:ascii="Book Antiqua" w:hAnsi="Book Antiqua" w:cs="Arial"/>
          <w:b/>
        </w:rPr>
      </w:pPr>
      <w:r w:rsidRPr="00F5664C">
        <w:rPr>
          <w:rFonts w:ascii="Book Antiqua" w:hAnsi="Book Antiqua" w:cs="Arial"/>
          <w:b/>
        </w:rPr>
        <w:t>A</w:t>
      </w:r>
      <w:r w:rsidR="00DD5071" w:rsidRPr="00F5664C">
        <w:rPr>
          <w:rFonts w:ascii="Book Antiqua" w:hAnsi="Book Antiqua" w:cs="Arial"/>
          <w:b/>
        </w:rPr>
        <w:t>nd</w:t>
      </w:r>
    </w:p>
    <w:p w:rsidR="00DE5A2E" w:rsidRPr="00F5664C" w:rsidRDefault="00DE5A2E" w:rsidP="00704B61">
      <w:pPr>
        <w:jc w:val="center"/>
        <w:rPr>
          <w:rFonts w:ascii="Book Antiqua" w:hAnsi="Book Antiqua" w:cs="Arial"/>
          <w:b/>
        </w:rPr>
      </w:pPr>
    </w:p>
    <w:p w:rsidR="00DE5A2E" w:rsidRDefault="00CD214E" w:rsidP="00DE5A2E">
      <w:pPr>
        <w:jc w:val="center"/>
        <w:rPr>
          <w:rFonts w:ascii="Book Antiqua" w:hAnsi="Book Antiqua" w:cs="Arial"/>
          <w:b/>
          <w:caps/>
        </w:rPr>
      </w:pPr>
      <w:r>
        <w:rPr>
          <w:rFonts w:ascii="Book Antiqua" w:hAnsi="Book Antiqua" w:cs="Arial"/>
          <w:b/>
          <w:caps/>
        </w:rPr>
        <w:t>Md Ziaul Karrim</w:t>
      </w:r>
    </w:p>
    <w:p w:rsidR="00DE5A2E" w:rsidRPr="0026315D" w:rsidRDefault="00DE5A2E" w:rsidP="00DE5A2E">
      <w:pPr>
        <w:jc w:val="center"/>
        <w:rPr>
          <w:rFonts w:ascii="Book Antiqua" w:hAnsi="Book Antiqua" w:cs="Arial"/>
          <w:caps/>
        </w:rPr>
      </w:pPr>
      <w:r w:rsidRPr="0026315D">
        <w:rPr>
          <w:rFonts w:ascii="Book Antiqua" w:hAnsi="Book Antiqua" w:cs="Arial"/>
          <w:caps/>
        </w:rPr>
        <w:t xml:space="preserve">(Anonymity direction not made) </w:t>
      </w:r>
    </w:p>
    <w:p w:rsidR="00DD5071" w:rsidRPr="00F5664C" w:rsidRDefault="00B76168" w:rsidP="00DD5071">
      <w:pPr>
        <w:jc w:val="right"/>
        <w:rPr>
          <w:rFonts w:ascii="Book Antiqua" w:hAnsi="Book Antiqua" w:cs="Arial"/>
          <w:u w:val="single"/>
        </w:rPr>
      </w:pPr>
      <w:r>
        <w:rPr>
          <w:rFonts w:ascii="Book Antiqua" w:hAnsi="Book Antiqua" w:cs="Arial"/>
          <w:u w:val="single"/>
        </w:rPr>
        <w:t>Respondent</w:t>
      </w:r>
    </w:p>
    <w:p w:rsidR="0026315D" w:rsidRDefault="0026315D"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5A2E">
      <w:pPr>
        <w:tabs>
          <w:tab w:val="left" w:pos="2520"/>
        </w:tabs>
        <w:rPr>
          <w:rFonts w:ascii="Book Antiqua" w:hAnsi="Book Antiqua" w:cs="Arial"/>
        </w:rPr>
      </w:pPr>
      <w:r w:rsidRPr="00F5664C">
        <w:rPr>
          <w:rFonts w:ascii="Book Antiqua" w:hAnsi="Book Antiqua" w:cs="Arial"/>
        </w:rPr>
        <w:t xml:space="preserve">For the </w:t>
      </w:r>
      <w:r w:rsidR="00B76168">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CD214E">
        <w:rPr>
          <w:rFonts w:ascii="Book Antiqua" w:hAnsi="Book Antiqua" w:cs="Arial"/>
        </w:rPr>
        <w:t xml:space="preserve">Ms </w:t>
      </w:r>
      <w:proofErr w:type="spellStart"/>
      <w:r w:rsidR="00CD214E">
        <w:rPr>
          <w:rFonts w:ascii="Book Antiqua" w:hAnsi="Book Antiqua" w:cs="Arial"/>
        </w:rPr>
        <w:t>Aboni</w:t>
      </w:r>
      <w:proofErr w:type="spellEnd"/>
      <w:r w:rsidR="004E27B6">
        <w:rPr>
          <w:rFonts w:ascii="Book Antiqua" w:hAnsi="Book Antiqua" w:cs="Arial"/>
        </w:rPr>
        <w:t>,</w:t>
      </w:r>
      <w:r w:rsidR="00165CA9">
        <w:rPr>
          <w:rFonts w:ascii="Book Antiqua" w:hAnsi="Book Antiqua" w:cs="Arial"/>
        </w:rPr>
        <w:t xml:space="preserve"> </w:t>
      </w:r>
      <w:r w:rsidR="00DE5A2E">
        <w:rPr>
          <w:rFonts w:ascii="Book Antiqua" w:hAnsi="Book Antiqua" w:cs="Arial"/>
        </w:rPr>
        <w:t>Senior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B76168">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CD214E">
        <w:rPr>
          <w:rFonts w:ascii="Book Antiqua" w:hAnsi="Book Antiqua" w:cs="Arial"/>
        </w:rPr>
        <w:t>Mr Yusuf, Solicitor from</w:t>
      </w:r>
      <w:r w:rsidR="00DE5A2E">
        <w:rPr>
          <w:rFonts w:ascii="Book Antiqua" w:hAnsi="Book Antiqua" w:cs="Arial"/>
        </w:rPr>
        <w:t xml:space="preserve"> </w:t>
      </w:r>
      <w:r w:rsidR="00CD214E">
        <w:rPr>
          <w:rFonts w:ascii="Book Antiqua" w:hAnsi="Book Antiqua" w:cs="Arial"/>
        </w:rPr>
        <w:t xml:space="preserve">Kingswood </w:t>
      </w:r>
      <w:r w:rsidR="00DE5A2E">
        <w:rPr>
          <w:rFonts w:ascii="Book Antiqua" w:hAnsi="Book Antiqua" w:cs="Arial"/>
        </w:rPr>
        <w:t>Solicitors</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7725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865560" w:rsidRDefault="00CA0985" w:rsidP="00F12D57">
      <w:pPr>
        <w:numPr>
          <w:ilvl w:val="0"/>
          <w:numId w:val="3"/>
        </w:numPr>
        <w:spacing w:before="240"/>
        <w:jc w:val="both"/>
        <w:rPr>
          <w:rFonts w:ascii="Book Antiqua" w:hAnsi="Book Antiqua" w:cs="Arial"/>
        </w:rPr>
      </w:pPr>
      <w:r w:rsidRPr="00DC27ED">
        <w:rPr>
          <w:rFonts w:ascii="Book Antiqua" w:hAnsi="Book Antiqua" w:cs="Arial"/>
        </w:rPr>
        <w:t xml:space="preserve">The </w:t>
      </w:r>
      <w:r w:rsidR="00DE5A2E">
        <w:rPr>
          <w:rFonts w:ascii="Book Antiqua" w:hAnsi="Book Antiqua" w:cs="Arial"/>
        </w:rPr>
        <w:t>Secretary of State</w:t>
      </w:r>
      <w:r w:rsidRPr="00DC27ED">
        <w:rPr>
          <w:rFonts w:ascii="Book Antiqua" w:hAnsi="Book Antiqua" w:cs="Arial"/>
        </w:rPr>
        <w:t xml:space="preserve"> appeals</w:t>
      </w:r>
      <w:r w:rsidR="00061251" w:rsidRPr="00DC27ED">
        <w:rPr>
          <w:rFonts w:ascii="Book Antiqua" w:hAnsi="Book Antiqua" w:cs="Arial"/>
        </w:rPr>
        <w:t xml:space="preserve"> with permiss</w:t>
      </w:r>
      <w:r w:rsidR="00865560" w:rsidRPr="00DC27ED">
        <w:rPr>
          <w:rFonts w:ascii="Book Antiqua" w:hAnsi="Book Antiqua" w:cs="Arial"/>
        </w:rPr>
        <w:t xml:space="preserve">ion, against the decision of </w:t>
      </w:r>
      <w:r w:rsidR="00165CA9" w:rsidRPr="00DC27ED">
        <w:rPr>
          <w:rFonts w:ascii="Book Antiqua" w:hAnsi="Book Antiqua" w:cs="Arial"/>
        </w:rPr>
        <w:t>the First-</w:t>
      </w:r>
      <w:r w:rsidR="008F2714" w:rsidRPr="00DC27ED">
        <w:rPr>
          <w:rFonts w:ascii="Book Antiqua" w:hAnsi="Book Antiqua" w:cs="Arial"/>
        </w:rPr>
        <w:t xml:space="preserve">tier </w:t>
      </w:r>
      <w:r w:rsidR="00B76168">
        <w:rPr>
          <w:rFonts w:ascii="Book Antiqua" w:hAnsi="Book Antiqua" w:cs="Arial"/>
        </w:rPr>
        <w:t>Tribunal</w:t>
      </w:r>
      <w:r w:rsidR="00CD214E">
        <w:rPr>
          <w:rFonts w:ascii="Book Antiqua" w:hAnsi="Book Antiqua" w:cs="Arial"/>
        </w:rPr>
        <w:t xml:space="preserve"> (Judge Birk</w:t>
      </w:r>
      <w:r w:rsidR="00DE5A2E">
        <w:rPr>
          <w:rFonts w:ascii="Book Antiqua" w:hAnsi="Book Antiqua" w:cs="Arial"/>
        </w:rPr>
        <w:t>)</w:t>
      </w:r>
      <w:r w:rsidR="00061251" w:rsidRPr="00DC27ED">
        <w:rPr>
          <w:rFonts w:ascii="Book Antiqua" w:hAnsi="Book Antiqua" w:cs="Arial"/>
        </w:rPr>
        <w:t xml:space="preserve"> </w:t>
      </w:r>
      <w:r w:rsidR="005D2C66" w:rsidRPr="00DC27ED">
        <w:rPr>
          <w:rFonts w:ascii="Book Antiqua" w:hAnsi="Book Antiqua" w:cs="Arial"/>
        </w:rPr>
        <w:t xml:space="preserve">who, in </w:t>
      </w:r>
      <w:r w:rsidR="00865560" w:rsidRPr="00DC27ED">
        <w:rPr>
          <w:rFonts w:ascii="Book Antiqua" w:hAnsi="Book Antiqua" w:cs="Arial"/>
        </w:rPr>
        <w:t>a determination promu</w:t>
      </w:r>
      <w:r w:rsidR="00165CA9" w:rsidRPr="00DC27ED">
        <w:rPr>
          <w:rFonts w:ascii="Book Antiqua" w:hAnsi="Book Antiqua" w:cs="Arial"/>
        </w:rPr>
        <w:t>lgate</w:t>
      </w:r>
      <w:r w:rsidR="00F12D57" w:rsidRPr="00DC27ED">
        <w:rPr>
          <w:rFonts w:ascii="Book Antiqua" w:hAnsi="Book Antiqua" w:cs="Arial"/>
        </w:rPr>
        <w:t>d</w:t>
      </w:r>
      <w:r w:rsidR="00865560" w:rsidRPr="00DC27ED">
        <w:rPr>
          <w:rFonts w:ascii="Book Antiqua" w:hAnsi="Book Antiqua" w:cs="Arial"/>
        </w:rPr>
        <w:t xml:space="preserve"> on the </w:t>
      </w:r>
      <w:r w:rsidR="00CD214E">
        <w:rPr>
          <w:rFonts w:ascii="Book Antiqua" w:hAnsi="Book Antiqua" w:cs="Arial"/>
        </w:rPr>
        <w:t>20</w:t>
      </w:r>
      <w:r w:rsidR="00CD214E" w:rsidRPr="00CD214E">
        <w:rPr>
          <w:rFonts w:ascii="Book Antiqua" w:hAnsi="Book Antiqua" w:cs="Arial"/>
          <w:vertAlign w:val="superscript"/>
        </w:rPr>
        <w:t>th</w:t>
      </w:r>
      <w:r w:rsidR="00CD214E">
        <w:rPr>
          <w:rFonts w:ascii="Book Antiqua" w:hAnsi="Book Antiqua" w:cs="Arial"/>
        </w:rPr>
        <w:t xml:space="preserve"> March</w:t>
      </w:r>
      <w:r w:rsidR="00865560" w:rsidRPr="00DC27ED">
        <w:rPr>
          <w:rFonts w:ascii="Book Antiqua" w:hAnsi="Book Antiqua" w:cs="Arial"/>
        </w:rPr>
        <w:t xml:space="preserve"> 2017 </w:t>
      </w:r>
      <w:r w:rsidR="00DE5A2E">
        <w:rPr>
          <w:rFonts w:ascii="Book Antiqua" w:hAnsi="Book Antiqua" w:cs="Arial"/>
        </w:rPr>
        <w:t>allowed</w:t>
      </w:r>
      <w:r w:rsidR="008F2714" w:rsidRPr="00DC27ED">
        <w:rPr>
          <w:rFonts w:ascii="Book Antiqua" w:hAnsi="Book Antiqua" w:cs="Arial"/>
        </w:rPr>
        <w:t xml:space="preserve"> his appeal against the decision of the </w:t>
      </w:r>
      <w:r w:rsidR="00B76168">
        <w:rPr>
          <w:rFonts w:ascii="Book Antiqua" w:hAnsi="Book Antiqua" w:cs="Arial"/>
        </w:rPr>
        <w:t>Respondent</w:t>
      </w:r>
      <w:r w:rsidR="00DE5A2E">
        <w:rPr>
          <w:rFonts w:ascii="Book Antiqua" w:hAnsi="Book Antiqua" w:cs="Arial"/>
        </w:rPr>
        <w:t xml:space="preserve"> to refu</w:t>
      </w:r>
      <w:r w:rsidR="00CD214E">
        <w:rPr>
          <w:rFonts w:ascii="Book Antiqua" w:hAnsi="Book Antiqua" w:cs="Arial"/>
        </w:rPr>
        <w:t>se to vary leave to remain</w:t>
      </w:r>
      <w:r w:rsidR="00DE5A2E">
        <w:rPr>
          <w:rFonts w:ascii="Book Antiqua" w:hAnsi="Book Antiqua" w:cs="Arial"/>
        </w:rPr>
        <w:t>.</w:t>
      </w:r>
    </w:p>
    <w:p w:rsidR="00DE5A2E" w:rsidRPr="00DC27ED" w:rsidRDefault="00DE5A2E" w:rsidP="00F12D57">
      <w:pPr>
        <w:numPr>
          <w:ilvl w:val="0"/>
          <w:numId w:val="3"/>
        </w:numPr>
        <w:spacing w:before="240"/>
        <w:jc w:val="both"/>
        <w:rPr>
          <w:rFonts w:ascii="Book Antiqua" w:hAnsi="Book Antiqua" w:cs="Arial"/>
        </w:rPr>
      </w:pPr>
      <w:r>
        <w:rPr>
          <w:rFonts w:ascii="Book Antiqua" w:hAnsi="Book Antiqua" w:cs="Arial"/>
        </w:rPr>
        <w:t xml:space="preserve">Whilst the Secretary of State is the </w:t>
      </w:r>
      <w:r w:rsidR="00B76168">
        <w:rPr>
          <w:rFonts w:ascii="Book Antiqua" w:hAnsi="Book Antiqua" w:cs="Arial"/>
        </w:rPr>
        <w:t>Appellant</w:t>
      </w:r>
      <w:r>
        <w:rPr>
          <w:rFonts w:ascii="Book Antiqua" w:hAnsi="Book Antiqua" w:cs="Arial"/>
        </w:rPr>
        <w:t xml:space="preserve">, for the sake of convenience I intend to refer to the parties as they were before the First-tier </w:t>
      </w:r>
      <w:r w:rsidR="00B76168">
        <w:rPr>
          <w:rFonts w:ascii="Book Antiqua" w:hAnsi="Book Antiqua" w:cs="Arial"/>
        </w:rPr>
        <w:t>Tribunal</w:t>
      </w:r>
      <w:r>
        <w:rPr>
          <w:rFonts w:ascii="Book Antiqua" w:hAnsi="Book Antiqua" w:cs="Arial"/>
        </w:rPr>
        <w:t>.</w:t>
      </w:r>
    </w:p>
    <w:p w:rsidR="00C77259" w:rsidRPr="00DC27ED" w:rsidRDefault="005D2C66" w:rsidP="00865560">
      <w:pPr>
        <w:numPr>
          <w:ilvl w:val="0"/>
          <w:numId w:val="3"/>
        </w:numPr>
        <w:spacing w:before="240"/>
        <w:jc w:val="both"/>
        <w:rPr>
          <w:rFonts w:ascii="Book Antiqua" w:hAnsi="Book Antiqua" w:cs="Arial"/>
        </w:rPr>
      </w:pPr>
      <w:r w:rsidRPr="00DC27ED">
        <w:rPr>
          <w:rFonts w:ascii="Book Antiqua" w:hAnsi="Book Antiqua" w:cs="Arial"/>
        </w:rPr>
        <w:t xml:space="preserve"> </w:t>
      </w:r>
      <w:r w:rsidR="00CB3B8B" w:rsidRPr="00DC27ED">
        <w:rPr>
          <w:rFonts w:ascii="Book Antiqua" w:hAnsi="Book Antiqua" w:cs="Arial"/>
        </w:rPr>
        <w:t>No anonymity direction was made by the First Tier-</w:t>
      </w:r>
      <w:r w:rsidR="00B76168">
        <w:rPr>
          <w:rFonts w:ascii="Book Antiqua" w:hAnsi="Book Antiqua" w:cs="Arial"/>
        </w:rPr>
        <w:t>Tribunal</w:t>
      </w:r>
      <w:r w:rsidR="00CB3B8B" w:rsidRPr="00DC27ED">
        <w:rPr>
          <w:rFonts w:ascii="Book Antiqua" w:hAnsi="Book Antiqua" w:cs="Arial"/>
        </w:rPr>
        <w:t xml:space="preserve"> and no application has been made on beh</w:t>
      </w:r>
      <w:r w:rsidR="003D15F3" w:rsidRPr="00DC27ED">
        <w:rPr>
          <w:rFonts w:ascii="Book Antiqua" w:hAnsi="Book Antiqua" w:cs="Arial"/>
        </w:rPr>
        <w:t xml:space="preserve">alf of the </w:t>
      </w:r>
      <w:r w:rsidR="00B76168">
        <w:rPr>
          <w:rFonts w:ascii="Book Antiqua" w:hAnsi="Book Antiqua" w:cs="Arial"/>
        </w:rPr>
        <w:t>Appellant</w:t>
      </w:r>
      <w:r w:rsidR="00865560" w:rsidRPr="00DC27ED">
        <w:rPr>
          <w:rFonts w:ascii="Book Antiqua" w:hAnsi="Book Antiqua" w:cs="Arial"/>
        </w:rPr>
        <w:t xml:space="preserve"> or any grounds put forward to support such an application.</w:t>
      </w:r>
    </w:p>
    <w:p w:rsidR="003D6BDF" w:rsidRPr="00DC27ED" w:rsidRDefault="003D6BDF" w:rsidP="003D6BDF">
      <w:pPr>
        <w:spacing w:before="240"/>
        <w:jc w:val="both"/>
        <w:rPr>
          <w:rFonts w:ascii="Book Antiqua" w:hAnsi="Book Antiqua" w:cs="Arial"/>
        </w:rPr>
      </w:pPr>
      <w:r w:rsidRPr="00DC27ED">
        <w:rPr>
          <w:rFonts w:ascii="Book Antiqua" w:hAnsi="Book Antiqua" w:cs="Arial"/>
          <w:u w:val="single"/>
        </w:rPr>
        <w:lastRenderedPageBreak/>
        <w:t>The background</w:t>
      </w:r>
      <w:r w:rsidRPr="00DC27ED">
        <w:rPr>
          <w:rFonts w:ascii="Book Antiqua" w:hAnsi="Book Antiqua" w:cs="Arial"/>
        </w:rPr>
        <w:t>:</w:t>
      </w:r>
    </w:p>
    <w:p w:rsidR="00DE5A2E" w:rsidRDefault="00DE5A2E" w:rsidP="00335421">
      <w:pPr>
        <w:numPr>
          <w:ilvl w:val="0"/>
          <w:numId w:val="3"/>
        </w:numPr>
        <w:spacing w:before="240"/>
        <w:jc w:val="both"/>
        <w:rPr>
          <w:rFonts w:ascii="Book Antiqua" w:hAnsi="Book Antiqua" w:cs="Arial"/>
        </w:rPr>
      </w:pPr>
      <w:r>
        <w:rPr>
          <w:rFonts w:ascii="Book Antiqua" w:hAnsi="Book Antiqua" w:cs="Arial"/>
        </w:rPr>
        <w:t xml:space="preserve">The </w:t>
      </w:r>
      <w:r w:rsidR="00B76168">
        <w:rPr>
          <w:rFonts w:ascii="Book Antiqua" w:hAnsi="Book Antiqua" w:cs="Arial"/>
        </w:rPr>
        <w:t>Appellant</w:t>
      </w:r>
      <w:r w:rsidR="009D455B">
        <w:rPr>
          <w:rFonts w:ascii="Book Antiqua" w:hAnsi="Book Antiqua" w:cs="Arial"/>
        </w:rPr>
        <w:t>, a citizen of Bangladesh</w:t>
      </w:r>
      <w:r>
        <w:rPr>
          <w:rFonts w:ascii="Book Antiqua" w:hAnsi="Book Antiqua" w:cs="Arial"/>
        </w:rPr>
        <w:t>,</w:t>
      </w:r>
      <w:r w:rsidR="00F0640F" w:rsidRPr="00DC27ED">
        <w:rPr>
          <w:rFonts w:ascii="Book Antiqua" w:hAnsi="Book Antiqua" w:cs="Arial"/>
        </w:rPr>
        <w:t xml:space="preserve"> entered the U</w:t>
      </w:r>
      <w:r w:rsidR="009D455B">
        <w:rPr>
          <w:rFonts w:ascii="Book Antiqua" w:hAnsi="Book Antiqua" w:cs="Arial"/>
        </w:rPr>
        <w:t>nited Kingdom on the 1</w:t>
      </w:r>
      <w:r w:rsidR="009D455B" w:rsidRPr="009D455B">
        <w:rPr>
          <w:rFonts w:ascii="Book Antiqua" w:hAnsi="Book Antiqua" w:cs="Arial"/>
          <w:vertAlign w:val="superscript"/>
        </w:rPr>
        <w:t>st</w:t>
      </w:r>
      <w:r w:rsidR="00474549">
        <w:rPr>
          <w:rFonts w:ascii="Book Antiqua" w:hAnsi="Book Antiqua" w:cs="Arial"/>
        </w:rPr>
        <w:t xml:space="preserve"> January 2010</w:t>
      </w:r>
      <w:r>
        <w:rPr>
          <w:rFonts w:ascii="Book Antiqua" w:hAnsi="Book Antiqua" w:cs="Arial"/>
        </w:rPr>
        <w:t xml:space="preserve"> on a </w:t>
      </w:r>
      <w:r w:rsidR="009D455B">
        <w:rPr>
          <w:rFonts w:ascii="Book Antiqua" w:hAnsi="Book Antiqua" w:cs="Arial"/>
        </w:rPr>
        <w:t xml:space="preserve">Tier 4 </w:t>
      </w:r>
      <w:r>
        <w:rPr>
          <w:rFonts w:ascii="Book Antiqua" w:hAnsi="Book Antiqua" w:cs="Arial"/>
        </w:rPr>
        <w:t>student visa</w:t>
      </w:r>
      <w:r w:rsidR="0066211F">
        <w:rPr>
          <w:rFonts w:ascii="Book Antiqua" w:hAnsi="Book Antiqua" w:cs="Arial"/>
        </w:rPr>
        <w:t xml:space="preserve"> valid until the 3</w:t>
      </w:r>
      <w:r w:rsidR="009D455B">
        <w:rPr>
          <w:rFonts w:ascii="Book Antiqua" w:hAnsi="Book Antiqua" w:cs="Arial"/>
        </w:rPr>
        <w:t>0</w:t>
      </w:r>
      <w:r w:rsidR="009D455B" w:rsidRPr="009D455B">
        <w:rPr>
          <w:rFonts w:ascii="Book Antiqua" w:hAnsi="Book Antiqua" w:cs="Arial"/>
          <w:vertAlign w:val="superscript"/>
        </w:rPr>
        <w:t>th</w:t>
      </w:r>
      <w:r w:rsidR="009D455B">
        <w:rPr>
          <w:rFonts w:ascii="Book Antiqua" w:hAnsi="Book Antiqua" w:cs="Arial"/>
        </w:rPr>
        <w:t xml:space="preserve"> April 2013</w:t>
      </w:r>
      <w:r>
        <w:rPr>
          <w:rFonts w:ascii="Book Antiqua" w:hAnsi="Book Antiqua" w:cs="Arial"/>
        </w:rPr>
        <w:t>.</w:t>
      </w:r>
    </w:p>
    <w:p w:rsidR="009A189F" w:rsidRDefault="00F12D57" w:rsidP="00335421">
      <w:pPr>
        <w:numPr>
          <w:ilvl w:val="0"/>
          <w:numId w:val="3"/>
        </w:numPr>
        <w:spacing w:before="240"/>
        <w:jc w:val="both"/>
        <w:rPr>
          <w:rFonts w:ascii="Book Antiqua" w:hAnsi="Book Antiqua" w:cs="Arial"/>
        </w:rPr>
      </w:pPr>
      <w:r w:rsidRPr="00DC27ED">
        <w:rPr>
          <w:rFonts w:ascii="Book Antiqua" w:hAnsi="Book Antiqua" w:cs="Arial"/>
        </w:rPr>
        <w:t xml:space="preserve"> </w:t>
      </w:r>
      <w:r w:rsidR="00773B0A" w:rsidRPr="00DC27ED">
        <w:rPr>
          <w:rFonts w:ascii="Book Antiqua" w:hAnsi="Book Antiqua" w:cs="Arial"/>
        </w:rPr>
        <w:t xml:space="preserve">His leave to remain as a </w:t>
      </w:r>
      <w:r w:rsidR="009A189F">
        <w:rPr>
          <w:rFonts w:ascii="Book Antiqua" w:hAnsi="Book Antiqua" w:cs="Arial"/>
        </w:rPr>
        <w:t xml:space="preserve">Tier 4 student was extended </w:t>
      </w:r>
      <w:r w:rsidR="009D455B">
        <w:rPr>
          <w:rFonts w:ascii="Book Antiqua" w:hAnsi="Book Antiqua" w:cs="Arial"/>
        </w:rPr>
        <w:t>until the 20</w:t>
      </w:r>
      <w:r w:rsidR="009D455B" w:rsidRPr="009D455B">
        <w:rPr>
          <w:rFonts w:ascii="Book Antiqua" w:hAnsi="Book Antiqua" w:cs="Arial"/>
          <w:vertAlign w:val="superscript"/>
        </w:rPr>
        <w:t>th</w:t>
      </w:r>
      <w:r w:rsidR="009D455B">
        <w:rPr>
          <w:rFonts w:ascii="Book Antiqua" w:hAnsi="Book Antiqua" w:cs="Arial"/>
        </w:rPr>
        <w:t xml:space="preserve"> June 2013</w:t>
      </w:r>
      <w:r w:rsidR="0066211F">
        <w:rPr>
          <w:rFonts w:ascii="Book Antiqua" w:hAnsi="Book Antiqua" w:cs="Arial"/>
        </w:rPr>
        <w:t>.</w:t>
      </w:r>
      <w:r w:rsidR="009A189F">
        <w:rPr>
          <w:rFonts w:ascii="Book Antiqua" w:hAnsi="Book Antiqua" w:cs="Arial"/>
        </w:rPr>
        <w:t xml:space="preserve">     </w:t>
      </w:r>
    </w:p>
    <w:p w:rsidR="009A189F" w:rsidRDefault="00773B0A" w:rsidP="009A189F">
      <w:pPr>
        <w:numPr>
          <w:ilvl w:val="0"/>
          <w:numId w:val="3"/>
        </w:numPr>
        <w:spacing w:before="240"/>
        <w:jc w:val="both"/>
        <w:rPr>
          <w:rFonts w:ascii="Book Antiqua" w:hAnsi="Book Antiqua" w:cs="Arial"/>
        </w:rPr>
      </w:pPr>
      <w:r w:rsidRPr="00DC27ED">
        <w:rPr>
          <w:rFonts w:ascii="Book Antiqua" w:hAnsi="Book Antiqua" w:cs="Arial"/>
        </w:rPr>
        <w:t xml:space="preserve"> On the </w:t>
      </w:r>
      <w:r w:rsidR="009D455B">
        <w:rPr>
          <w:rFonts w:ascii="Book Antiqua" w:hAnsi="Book Antiqua" w:cs="Arial"/>
        </w:rPr>
        <w:t>5</w:t>
      </w:r>
      <w:r w:rsidR="009D455B" w:rsidRPr="009D455B">
        <w:rPr>
          <w:rFonts w:ascii="Book Antiqua" w:hAnsi="Book Antiqua" w:cs="Arial"/>
          <w:vertAlign w:val="superscript"/>
        </w:rPr>
        <w:t>th</w:t>
      </w:r>
      <w:r w:rsidR="009D455B">
        <w:rPr>
          <w:rFonts w:ascii="Book Antiqua" w:hAnsi="Book Antiqua" w:cs="Arial"/>
        </w:rPr>
        <w:t xml:space="preserve"> July 2012</w:t>
      </w:r>
      <w:r w:rsidRPr="00DC27ED">
        <w:rPr>
          <w:rFonts w:ascii="Book Antiqua" w:hAnsi="Book Antiqua" w:cs="Arial"/>
        </w:rPr>
        <w:t xml:space="preserve"> he submitted an appli</w:t>
      </w:r>
      <w:r w:rsidR="009D455B">
        <w:rPr>
          <w:rFonts w:ascii="Book Antiqua" w:hAnsi="Book Antiqua" w:cs="Arial"/>
        </w:rPr>
        <w:t xml:space="preserve">cation for leave to remain as a spouse of a person present and settled in the </w:t>
      </w:r>
      <w:proofErr w:type="gramStart"/>
      <w:r w:rsidR="009D455B">
        <w:rPr>
          <w:rFonts w:ascii="Book Antiqua" w:hAnsi="Book Antiqua" w:cs="Arial"/>
        </w:rPr>
        <w:t>UK  and</w:t>
      </w:r>
      <w:proofErr w:type="gramEnd"/>
      <w:r w:rsidR="009D455B">
        <w:rPr>
          <w:rFonts w:ascii="Book Antiqua" w:hAnsi="Book Antiqua" w:cs="Arial"/>
        </w:rPr>
        <w:t xml:space="preserve"> he was granted leave on that basis from the 13</w:t>
      </w:r>
      <w:r w:rsidR="009D455B" w:rsidRPr="009D455B">
        <w:rPr>
          <w:rFonts w:ascii="Book Antiqua" w:hAnsi="Book Antiqua" w:cs="Arial"/>
          <w:vertAlign w:val="superscript"/>
        </w:rPr>
        <w:t>th</w:t>
      </w:r>
      <w:r w:rsidR="009D455B">
        <w:rPr>
          <w:rFonts w:ascii="Book Antiqua" w:hAnsi="Book Antiqua" w:cs="Arial"/>
        </w:rPr>
        <w:t xml:space="preserve"> February 2013 – 13</w:t>
      </w:r>
      <w:r w:rsidR="009D455B" w:rsidRPr="009D455B">
        <w:rPr>
          <w:rFonts w:ascii="Book Antiqua" w:hAnsi="Book Antiqua" w:cs="Arial"/>
          <w:vertAlign w:val="superscript"/>
        </w:rPr>
        <w:t>th</w:t>
      </w:r>
      <w:r w:rsidR="009D455B">
        <w:rPr>
          <w:rFonts w:ascii="Book Antiqua" w:hAnsi="Book Antiqua" w:cs="Arial"/>
        </w:rPr>
        <w:t xml:space="preserve"> February 2015 was granted</w:t>
      </w:r>
      <w:r w:rsidR="009A189F">
        <w:rPr>
          <w:rFonts w:ascii="Book Antiqua" w:hAnsi="Book Antiqua" w:cs="Arial"/>
        </w:rPr>
        <w:t xml:space="preserve"> on the 9</w:t>
      </w:r>
      <w:r w:rsidR="009A189F" w:rsidRPr="009A189F">
        <w:rPr>
          <w:rFonts w:ascii="Book Antiqua" w:hAnsi="Book Antiqua" w:cs="Arial"/>
          <w:vertAlign w:val="superscript"/>
        </w:rPr>
        <w:t>th</w:t>
      </w:r>
      <w:r w:rsidR="009D455B">
        <w:rPr>
          <w:rFonts w:ascii="Book Antiqua" w:hAnsi="Book Antiqua" w:cs="Arial"/>
        </w:rPr>
        <w:t xml:space="preserve"> November 2013 ( 2 years leave).</w:t>
      </w:r>
    </w:p>
    <w:p w:rsidR="009A189F" w:rsidRDefault="009D455B" w:rsidP="00474549">
      <w:pPr>
        <w:numPr>
          <w:ilvl w:val="0"/>
          <w:numId w:val="3"/>
        </w:numPr>
        <w:spacing w:before="240"/>
        <w:jc w:val="both"/>
        <w:rPr>
          <w:rFonts w:ascii="Book Antiqua" w:hAnsi="Book Antiqua" w:cs="Arial"/>
        </w:rPr>
      </w:pPr>
      <w:r>
        <w:rPr>
          <w:rFonts w:ascii="Book Antiqua" w:hAnsi="Book Antiqua" w:cs="Arial"/>
        </w:rPr>
        <w:t>O</w:t>
      </w:r>
      <w:r w:rsidR="009A189F">
        <w:rPr>
          <w:rFonts w:ascii="Book Antiqua" w:hAnsi="Book Antiqua" w:cs="Arial"/>
        </w:rPr>
        <w:t xml:space="preserve">n the </w:t>
      </w:r>
      <w:r>
        <w:rPr>
          <w:rFonts w:ascii="Book Antiqua" w:hAnsi="Book Antiqua" w:cs="Arial"/>
        </w:rPr>
        <w:t>9</w:t>
      </w:r>
      <w:r w:rsidRPr="009D455B">
        <w:rPr>
          <w:rFonts w:ascii="Book Antiqua" w:hAnsi="Book Antiqua" w:cs="Arial"/>
          <w:vertAlign w:val="superscript"/>
        </w:rPr>
        <w:t>th</w:t>
      </w:r>
      <w:r>
        <w:rPr>
          <w:rFonts w:ascii="Book Antiqua" w:hAnsi="Book Antiqua" w:cs="Arial"/>
        </w:rPr>
        <w:t xml:space="preserve"> February 2015 he applied for leave to remain as a spouse of a person present and settled. That application was refused on the 17</w:t>
      </w:r>
      <w:r w:rsidRPr="009D455B">
        <w:rPr>
          <w:rFonts w:ascii="Book Antiqua" w:hAnsi="Book Antiqua" w:cs="Arial"/>
          <w:vertAlign w:val="superscript"/>
        </w:rPr>
        <w:t>th</w:t>
      </w:r>
      <w:r>
        <w:rPr>
          <w:rFonts w:ascii="Book Antiqua" w:hAnsi="Book Antiqua" w:cs="Arial"/>
        </w:rPr>
        <w:t xml:space="preserve"> November 2015.</w:t>
      </w:r>
    </w:p>
    <w:p w:rsidR="00474549" w:rsidRPr="00474549" w:rsidRDefault="00474549" w:rsidP="00474549">
      <w:pPr>
        <w:spacing w:before="240"/>
        <w:ind w:left="567"/>
        <w:jc w:val="both"/>
        <w:rPr>
          <w:rFonts w:ascii="Book Antiqua" w:hAnsi="Book Antiqua" w:cs="Arial"/>
        </w:rPr>
      </w:pPr>
    </w:p>
    <w:p w:rsidR="00730E59" w:rsidRPr="009D455B" w:rsidRDefault="00773B0A" w:rsidP="009D455B">
      <w:pPr>
        <w:numPr>
          <w:ilvl w:val="0"/>
          <w:numId w:val="3"/>
        </w:numPr>
        <w:rPr>
          <w:rFonts w:ascii="Book Antiqua" w:hAnsi="Book Antiqua"/>
        </w:rPr>
      </w:pPr>
      <w:r w:rsidRPr="009A189F">
        <w:rPr>
          <w:rFonts w:ascii="Book Antiqua" w:hAnsi="Book Antiqua"/>
        </w:rPr>
        <w:t xml:space="preserve">The </w:t>
      </w:r>
      <w:r w:rsidR="00B76168">
        <w:rPr>
          <w:rFonts w:ascii="Book Antiqua" w:hAnsi="Book Antiqua"/>
        </w:rPr>
        <w:t>Respondent</w:t>
      </w:r>
      <w:r w:rsidRPr="009A189F">
        <w:rPr>
          <w:rFonts w:ascii="Book Antiqua" w:hAnsi="Book Antiqua"/>
        </w:rPr>
        <w:t xml:space="preserve"> refused the ap</w:t>
      </w:r>
      <w:r w:rsidR="009A189F">
        <w:rPr>
          <w:rFonts w:ascii="Book Antiqua" w:hAnsi="Book Antiqua"/>
        </w:rPr>
        <w:t xml:space="preserve">plication </w:t>
      </w:r>
      <w:r w:rsidRPr="009A189F">
        <w:rPr>
          <w:rFonts w:ascii="Book Antiqua" w:hAnsi="Book Antiqua"/>
        </w:rPr>
        <w:t>under paragraphs</w:t>
      </w:r>
      <w:r w:rsidR="009D455B">
        <w:rPr>
          <w:rFonts w:ascii="Book Antiqua" w:hAnsi="Book Antiqua"/>
        </w:rPr>
        <w:t xml:space="preserve"> 322(2) and paragraph 289 with reference to 287(a) (vii)</w:t>
      </w:r>
      <w:r w:rsidRPr="009A189F">
        <w:rPr>
          <w:rFonts w:ascii="Book Antiqua" w:hAnsi="Book Antiqua"/>
        </w:rPr>
        <w:t xml:space="preserve"> of the Immigration Rules on the basis that the </w:t>
      </w:r>
      <w:r w:rsidR="00B76168">
        <w:rPr>
          <w:rFonts w:ascii="Book Antiqua" w:hAnsi="Book Antiqua"/>
        </w:rPr>
        <w:t>Appellant</w:t>
      </w:r>
      <w:r w:rsidRPr="009A189F">
        <w:rPr>
          <w:rFonts w:ascii="Book Antiqua" w:hAnsi="Book Antiqua"/>
        </w:rPr>
        <w:t xml:space="preserve"> had, in an earlier ap</w:t>
      </w:r>
      <w:r w:rsidR="009D455B">
        <w:rPr>
          <w:rFonts w:ascii="Book Antiqua" w:hAnsi="Book Antiqua"/>
        </w:rPr>
        <w:t>plication for leave to remain on the 5</w:t>
      </w:r>
      <w:r w:rsidR="009D455B" w:rsidRPr="009D455B">
        <w:rPr>
          <w:rFonts w:ascii="Book Antiqua" w:hAnsi="Book Antiqua"/>
          <w:vertAlign w:val="superscript"/>
        </w:rPr>
        <w:t>th</w:t>
      </w:r>
      <w:r w:rsidR="009D455B">
        <w:rPr>
          <w:rFonts w:ascii="Book Antiqua" w:hAnsi="Book Antiqua"/>
        </w:rPr>
        <w:t xml:space="preserve"> July 2012</w:t>
      </w:r>
      <w:r w:rsidR="00187386">
        <w:rPr>
          <w:rFonts w:ascii="Book Antiqua" w:hAnsi="Book Antiqua"/>
        </w:rPr>
        <w:t>,</w:t>
      </w:r>
      <w:r w:rsidR="009A189F">
        <w:rPr>
          <w:rFonts w:ascii="Book Antiqua" w:hAnsi="Book Antiqua"/>
        </w:rPr>
        <w:t xml:space="preserve"> </w:t>
      </w:r>
      <w:r w:rsidRPr="009A189F">
        <w:rPr>
          <w:rFonts w:ascii="Book Antiqua" w:hAnsi="Book Antiqua"/>
        </w:rPr>
        <w:t xml:space="preserve">submitted an English language test certificate from ETS which was false. The </w:t>
      </w:r>
      <w:r w:rsidR="00B76168">
        <w:rPr>
          <w:rFonts w:ascii="Book Antiqua" w:hAnsi="Book Antiqua"/>
        </w:rPr>
        <w:t>Respondent</w:t>
      </w:r>
      <w:r w:rsidRPr="009A189F">
        <w:rPr>
          <w:rFonts w:ascii="Book Antiqua" w:hAnsi="Book Antiqua"/>
        </w:rPr>
        <w:t xml:space="preserve"> referred to the </w:t>
      </w:r>
      <w:r w:rsidR="00B76168">
        <w:rPr>
          <w:rFonts w:ascii="Book Antiqua" w:hAnsi="Book Antiqua"/>
        </w:rPr>
        <w:t>Appellant</w:t>
      </w:r>
      <w:r w:rsidRPr="009A189F">
        <w:rPr>
          <w:rFonts w:ascii="Book Antiqua" w:hAnsi="Book Antiqua"/>
        </w:rPr>
        <w:t xml:space="preserve">'s test scores </w:t>
      </w:r>
      <w:r w:rsidR="009D455B">
        <w:rPr>
          <w:rFonts w:ascii="Book Antiqua" w:hAnsi="Book Antiqua"/>
        </w:rPr>
        <w:t xml:space="preserve">having been cancelled by </w:t>
      </w:r>
      <w:r w:rsidR="002A3836">
        <w:rPr>
          <w:rFonts w:ascii="Book Antiqua" w:hAnsi="Book Antiqua"/>
        </w:rPr>
        <w:t xml:space="preserve">ETS. </w:t>
      </w:r>
      <w:r w:rsidR="009D455B">
        <w:rPr>
          <w:rFonts w:ascii="Book Antiqua" w:hAnsi="Book Antiqua"/>
        </w:rPr>
        <w:t xml:space="preserve">As he </w:t>
      </w:r>
      <w:r w:rsidR="002A3836">
        <w:rPr>
          <w:rFonts w:ascii="Book Antiqua" w:hAnsi="Book Antiqua"/>
        </w:rPr>
        <w:t>had</w:t>
      </w:r>
      <w:r w:rsidR="009D455B">
        <w:rPr>
          <w:rFonts w:ascii="Book Antiqua" w:hAnsi="Book Antiqua"/>
        </w:rPr>
        <w:t xml:space="preserve"> provided a certificate that was </w:t>
      </w:r>
      <w:r w:rsidR="002A3836">
        <w:rPr>
          <w:rFonts w:ascii="Book Antiqua" w:hAnsi="Book Antiqua"/>
        </w:rPr>
        <w:t>fraudulently</w:t>
      </w:r>
      <w:r w:rsidR="009D455B">
        <w:rPr>
          <w:rFonts w:ascii="Book Antiqua" w:hAnsi="Book Antiqua"/>
        </w:rPr>
        <w:t xml:space="preserve"> obtained</w:t>
      </w:r>
      <w:r w:rsidR="009A189F">
        <w:rPr>
          <w:rFonts w:ascii="Book Antiqua" w:hAnsi="Book Antiqua"/>
        </w:rPr>
        <w:t xml:space="preserve">, the </w:t>
      </w:r>
      <w:r w:rsidR="00B76168">
        <w:rPr>
          <w:rFonts w:ascii="Book Antiqua" w:hAnsi="Book Antiqua"/>
        </w:rPr>
        <w:t>Respondent</w:t>
      </w:r>
      <w:r w:rsidR="009A189F">
        <w:rPr>
          <w:rFonts w:ascii="Book Antiqua" w:hAnsi="Book Antiqua"/>
        </w:rPr>
        <w:t xml:space="preserve"> refused the ap</w:t>
      </w:r>
      <w:r w:rsidR="009D455B">
        <w:rPr>
          <w:rFonts w:ascii="Book Antiqua" w:hAnsi="Book Antiqua"/>
        </w:rPr>
        <w:t>plication under Paragraph 322(2)</w:t>
      </w:r>
      <w:r w:rsidR="009A189F">
        <w:rPr>
          <w:rFonts w:ascii="Book Antiqua" w:hAnsi="Book Antiqua"/>
        </w:rPr>
        <w:t>.</w:t>
      </w:r>
    </w:p>
    <w:p w:rsidR="009A189F" w:rsidRDefault="009A189F" w:rsidP="009A189F">
      <w:pPr>
        <w:pStyle w:val="ListParagraph"/>
        <w:rPr>
          <w:rFonts w:ascii="Book Antiqua" w:hAnsi="Book Antiqua"/>
        </w:rPr>
      </w:pPr>
    </w:p>
    <w:p w:rsidR="00F62711" w:rsidRPr="00474549" w:rsidRDefault="004E4343" w:rsidP="00F62711">
      <w:pPr>
        <w:numPr>
          <w:ilvl w:val="0"/>
          <w:numId w:val="3"/>
        </w:numPr>
        <w:spacing w:before="240"/>
        <w:jc w:val="both"/>
        <w:rPr>
          <w:rFonts w:ascii="Book Antiqua" w:hAnsi="Book Antiqua" w:cs="Arial"/>
        </w:rPr>
      </w:pPr>
      <w:r w:rsidRPr="00DC27ED">
        <w:rPr>
          <w:rFonts w:ascii="Book Antiqua" w:hAnsi="Book Antiqua" w:cs="Arial"/>
        </w:rPr>
        <w:t xml:space="preserve">The </w:t>
      </w:r>
      <w:r w:rsidR="00B76168">
        <w:rPr>
          <w:rFonts w:ascii="Book Antiqua" w:hAnsi="Book Antiqua" w:cs="Arial"/>
        </w:rPr>
        <w:t>Appellant</w:t>
      </w:r>
      <w:r w:rsidRPr="00DC27ED">
        <w:rPr>
          <w:rFonts w:ascii="Book Antiqua" w:hAnsi="Book Antiqua" w:cs="Arial"/>
        </w:rPr>
        <w:t xml:space="preserve"> appealed that decision on the </w:t>
      </w:r>
      <w:r w:rsidR="00167BFA">
        <w:rPr>
          <w:rFonts w:ascii="Book Antiqua" w:hAnsi="Book Antiqua" w:cs="Arial"/>
        </w:rPr>
        <w:t>2</w:t>
      </w:r>
      <w:r w:rsidR="009D455B">
        <w:rPr>
          <w:rFonts w:ascii="Book Antiqua" w:hAnsi="Book Antiqua" w:cs="Arial"/>
        </w:rPr>
        <w:t>7</w:t>
      </w:r>
      <w:r w:rsidR="00167BFA" w:rsidRPr="00167BFA">
        <w:rPr>
          <w:rFonts w:ascii="Book Antiqua" w:hAnsi="Book Antiqua" w:cs="Arial"/>
          <w:vertAlign w:val="superscript"/>
        </w:rPr>
        <w:t>th</w:t>
      </w:r>
      <w:r w:rsidR="00167BFA">
        <w:rPr>
          <w:rFonts w:ascii="Book Antiqua" w:hAnsi="Book Antiqua" w:cs="Arial"/>
        </w:rPr>
        <w:t xml:space="preserve"> November</w:t>
      </w:r>
      <w:r w:rsidRPr="00DC27ED">
        <w:rPr>
          <w:rFonts w:ascii="Book Antiqua" w:hAnsi="Book Antiqua" w:cs="Arial"/>
        </w:rPr>
        <w:t xml:space="preserve"> 2015. </w:t>
      </w:r>
    </w:p>
    <w:p w:rsidR="00167BFA" w:rsidRDefault="00167BFA" w:rsidP="00167BFA">
      <w:pPr>
        <w:pStyle w:val="ListParagraph"/>
        <w:rPr>
          <w:rFonts w:ascii="Book Antiqua" w:hAnsi="Book Antiqua" w:cs="Arial"/>
        </w:rPr>
      </w:pPr>
    </w:p>
    <w:p w:rsidR="00F864A7" w:rsidRDefault="004E4343" w:rsidP="009D455B">
      <w:pPr>
        <w:numPr>
          <w:ilvl w:val="0"/>
          <w:numId w:val="3"/>
        </w:numPr>
        <w:spacing w:before="240"/>
        <w:jc w:val="both"/>
        <w:rPr>
          <w:rFonts w:ascii="Book Antiqua" w:hAnsi="Book Antiqua" w:cs="Arial"/>
        </w:rPr>
      </w:pPr>
      <w:r w:rsidRPr="00DC27ED">
        <w:rPr>
          <w:rFonts w:ascii="Book Antiqua" w:hAnsi="Book Antiqua" w:cs="Arial"/>
        </w:rPr>
        <w:t xml:space="preserve">On the </w:t>
      </w:r>
      <w:r w:rsidR="009D455B">
        <w:rPr>
          <w:rFonts w:ascii="Book Antiqua" w:hAnsi="Book Antiqua" w:cs="Arial"/>
        </w:rPr>
        <w:t>8</w:t>
      </w:r>
      <w:r w:rsidR="009D455B" w:rsidRPr="009D455B">
        <w:rPr>
          <w:rFonts w:ascii="Book Antiqua" w:hAnsi="Book Antiqua" w:cs="Arial"/>
          <w:vertAlign w:val="superscript"/>
        </w:rPr>
        <w:t>th</w:t>
      </w:r>
      <w:r w:rsidR="009D455B">
        <w:rPr>
          <w:rFonts w:ascii="Book Antiqua" w:hAnsi="Book Antiqua" w:cs="Arial"/>
        </w:rPr>
        <w:t xml:space="preserve"> March</w:t>
      </w:r>
      <w:r w:rsidR="0048196A" w:rsidRPr="00DC27ED">
        <w:rPr>
          <w:rFonts w:ascii="Book Antiqua" w:hAnsi="Book Antiqua" w:cs="Arial"/>
        </w:rPr>
        <w:t xml:space="preserve"> 2017 his appeal was hea</w:t>
      </w:r>
      <w:r w:rsidR="000C5D78" w:rsidRPr="00DC27ED">
        <w:rPr>
          <w:rFonts w:ascii="Book Antiqua" w:hAnsi="Book Antiqua" w:cs="Arial"/>
        </w:rPr>
        <w:t xml:space="preserve">rd by the First-tier </w:t>
      </w:r>
      <w:r w:rsidR="00B76168">
        <w:rPr>
          <w:rFonts w:ascii="Book Antiqua" w:hAnsi="Book Antiqua" w:cs="Arial"/>
        </w:rPr>
        <w:t>Tribunal</w:t>
      </w:r>
      <w:r w:rsidR="009D455B">
        <w:rPr>
          <w:rFonts w:ascii="Book Antiqua" w:hAnsi="Book Antiqua" w:cs="Arial"/>
        </w:rPr>
        <w:t xml:space="preserve"> (Judge Birk</w:t>
      </w:r>
      <w:r w:rsidR="00167BFA">
        <w:rPr>
          <w:rFonts w:ascii="Book Antiqua" w:hAnsi="Book Antiqua" w:cs="Arial"/>
        </w:rPr>
        <w:t>)</w:t>
      </w:r>
      <w:r w:rsidR="000C5D78" w:rsidRPr="00DC27ED">
        <w:rPr>
          <w:rFonts w:ascii="Book Antiqua" w:hAnsi="Book Antiqua" w:cs="Arial"/>
        </w:rPr>
        <w:t>.</w:t>
      </w:r>
      <w:r w:rsidR="0048196A" w:rsidRPr="00DC27ED">
        <w:rPr>
          <w:rFonts w:ascii="Book Antiqua" w:hAnsi="Book Antiqua" w:cs="Arial"/>
        </w:rPr>
        <w:t xml:space="preserve"> In</w:t>
      </w:r>
      <w:r w:rsidR="000C5D78" w:rsidRPr="00DC27ED">
        <w:rPr>
          <w:rFonts w:ascii="Book Antiqua" w:hAnsi="Book Antiqua" w:cs="Arial"/>
        </w:rPr>
        <w:t xml:space="preserve"> </w:t>
      </w:r>
      <w:r w:rsidR="0048196A" w:rsidRPr="00DC27ED">
        <w:rPr>
          <w:rFonts w:ascii="Book Antiqua" w:hAnsi="Book Antiqua" w:cs="Arial"/>
        </w:rPr>
        <w:t>a de</w:t>
      </w:r>
      <w:r w:rsidR="009D455B">
        <w:rPr>
          <w:rFonts w:ascii="Book Antiqua" w:hAnsi="Book Antiqua" w:cs="Arial"/>
        </w:rPr>
        <w:t>termination promulgated on the 20</w:t>
      </w:r>
      <w:r w:rsidR="009D455B" w:rsidRPr="009D455B">
        <w:rPr>
          <w:rFonts w:ascii="Book Antiqua" w:hAnsi="Book Antiqua" w:cs="Arial"/>
          <w:vertAlign w:val="superscript"/>
        </w:rPr>
        <w:t>th</w:t>
      </w:r>
      <w:r w:rsidR="009D455B">
        <w:rPr>
          <w:rFonts w:ascii="Book Antiqua" w:hAnsi="Book Antiqua" w:cs="Arial"/>
        </w:rPr>
        <w:t xml:space="preserve"> March</w:t>
      </w:r>
      <w:r w:rsidR="0048196A" w:rsidRPr="00DC27ED">
        <w:rPr>
          <w:rFonts w:ascii="Book Antiqua" w:hAnsi="Book Antiqua" w:cs="Arial"/>
        </w:rPr>
        <w:t xml:space="preserve"> 2017 </w:t>
      </w:r>
      <w:r w:rsidR="000C5D78" w:rsidRPr="00DC27ED">
        <w:rPr>
          <w:rFonts w:ascii="Book Antiqua" w:hAnsi="Book Antiqua" w:cs="Arial"/>
        </w:rPr>
        <w:t>t</w:t>
      </w:r>
      <w:r w:rsidR="0048196A" w:rsidRPr="00DC27ED">
        <w:rPr>
          <w:rFonts w:ascii="Book Antiqua" w:hAnsi="Book Antiqua" w:cs="Arial"/>
        </w:rPr>
        <w:t xml:space="preserve">he </w:t>
      </w:r>
      <w:r w:rsidR="000C5D78" w:rsidRPr="00DC27ED">
        <w:rPr>
          <w:rFonts w:ascii="Book Antiqua" w:hAnsi="Book Antiqua" w:cs="Arial"/>
        </w:rPr>
        <w:t xml:space="preserve">judge </w:t>
      </w:r>
      <w:r w:rsidR="00167BFA">
        <w:rPr>
          <w:rFonts w:ascii="Book Antiqua" w:hAnsi="Book Antiqua" w:cs="Arial"/>
        </w:rPr>
        <w:t>allowed</w:t>
      </w:r>
      <w:r w:rsidR="0048196A" w:rsidRPr="00DC27ED">
        <w:rPr>
          <w:rFonts w:ascii="Book Antiqua" w:hAnsi="Book Antiqua" w:cs="Arial"/>
        </w:rPr>
        <w:t xml:space="preserve"> his a</w:t>
      </w:r>
      <w:r w:rsidR="00167BFA">
        <w:rPr>
          <w:rFonts w:ascii="Book Antiqua" w:hAnsi="Book Antiqua" w:cs="Arial"/>
        </w:rPr>
        <w:t>ppeal.</w:t>
      </w:r>
      <w:r w:rsidR="009D455B">
        <w:rPr>
          <w:rFonts w:ascii="Book Antiqua" w:hAnsi="Book Antiqua" w:cs="Arial"/>
        </w:rPr>
        <w:t xml:space="preserve"> In that</w:t>
      </w:r>
      <w:r w:rsidR="006B6B99" w:rsidRPr="009D455B">
        <w:rPr>
          <w:rFonts w:ascii="Book Antiqua" w:hAnsi="Book Antiqua" w:cs="Arial"/>
        </w:rPr>
        <w:t xml:space="preserve"> determination he set out the </w:t>
      </w:r>
      <w:r w:rsidR="00B76168">
        <w:rPr>
          <w:rFonts w:ascii="Book Antiqua" w:hAnsi="Book Antiqua" w:cs="Arial"/>
        </w:rPr>
        <w:t>Respondent</w:t>
      </w:r>
      <w:r w:rsidR="00474549">
        <w:rPr>
          <w:rFonts w:ascii="Book Antiqua" w:hAnsi="Book Antiqua" w:cs="Arial"/>
        </w:rPr>
        <w:t>’s case at paragraphs</w:t>
      </w:r>
      <w:r w:rsidR="00F864A7">
        <w:rPr>
          <w:rFonts w:ascii="Book Antiqua" w:hAnsi="Book Antiqua" w:cs="Arial"/>
        </w:rPr>
        <w:t xml:space="preserve"> 4 and 5</w:t>
      </w:r>
      <w:r w:rsidR="006B6B99" w:rsidRPr="009D455B">
        <w:rPr>
          <w:rFonts w:ascii="Book Antiqua" w:hAnsi="Book Antiqua" w:cs="Arial"/>
        </w:rPr>
        <w:t xml:space="preserve"> and the </w:t>
      </w:r>
      <w:r w:rsidR="00B76168">
        <w:rPr>
          <w:rFonts w:ascii="Book Antiqua" w:hAnsi="Book Antiqua" w:cs="Arial"/>
        </w:rPr>
        <w:t>Appellant</w:t>
      </w:r>
      <w:r w:rsidR="00F864A7">
        <w:rPr>
          <w:rFonts w:ascii="Book Antiqua" w:hAnsi="Book Antiqua" w:cs="Arial"/>
        </w:rPr>
        <w:t>’s case at paragraphs 6-9.</w:t>
      </w:r>
      <w:r w:rsidR="009F7DC6">
        <w:rPr>
          <w:rFonts w:ascii="Book Antiqua" w:hAnsi="Book Antiqua" w:cs="Arial"/>
        </w:rPr>
        <w:t xml:space="preserve"> </w:t>
      </w:r>
    </w:p>
    <w:p w:rsidR="00C649EB" w:rsidRDefault="00C649EB" w:rsidP="00C649EB">
      <w:pPr>
        <w:pStyle w:val="ListParagraph"/>
        <w:rPr>
          <w:rFonts w:ascii="Book Antiqua" w:hAnsi="Book Antiqua" w:cs="Arial"/>
        </w:rPr>
      </w:pPr>
    </w:p>
    <w:p w:rsidR="00C649EB" w:rsidRDefault="00C649EB" w:rsidP="00474549">
      <w:pPr>
        <w:numPr>
          <w:ilvl w:val="0"/>
          <w:numId w:val="3"/>
        </w:numPr>
        <w:spacing w:before="240"/>
        <w:jc w:val="both"/>
        <w:rPr>
          <w:rFonts w:ascii="Book Antiqua" w:hAnsi="Book Antiqua" w:cs="Arial"/>
        </w:rPr>
      </w:pPr>
      <w:r>
        <w:rPr>
          <w:rFonts w:ascii="Book Antiqua" w:hAnsi="Book Antiqua" w:cs="Arial"/>
        </w:rPr>
        <w:t xml:space="preserve">The judge’s findings of fact </w:t>
      </w:r>
      <w:r w:rsidR="00F864A7">
        <w:rPr>
          <w:rFonts w:ascii="Book Antiqua" w:hAnsi="Book Antiqua" w:cs="Arial"/>
        </w:rPr>
        <w:t>are set out at paragraph 13-17</w:t>
      </w:r>
      <w:r>
        <w:rPr>
          <w:rFonts w:ascii="Book Antiqua" w:hAnsi="Book Antiqua" w:cs="Arial"/>
        </w:rPr>
        <w:t>.</w:t>
      </w:r>
      <w:r w:rsidR="00474549">
        <w:rPr>
          <w:rFonts w:ascii="Book Antiqua" w:hAnsi="Book Antiqua" w:cs="Arial"/>
        </w:rPr>
        <w:t xml:space="preserve"> At paragraph 14 the judge considered</w:t>
      </w:r>
      <w:r w:rsidRPr="00474549">
        <w:rPr>
          <w:rFonts w:ascii="Book Antiqua" w:hAnsi="Book Antiqua" w:cs="Arial"/>
        </w:rPr>
        <w:t xml:space="preserve"> the evidence provided by the Secretary of State and </w:t>
      </w:r>
      <w:proofErr w:type="gramStart"/>
      <w:r w:rsidRPr="00474549">
        <w:rPr>
          <w:rFonts w:ascii="Book Antiqua" w:hAnsi="Book Antiqua" w:cs="Arial"/>
        </w:rPr>
        <w:t>made reference</w:t>
      </w:r>
      <w:proofErr w:type="gramEnd"/>
      <w:r w:rsidRPr="00474549">
        <w:rPr>
          <w:rFonts w:ascii="Book Antiqua" w:hAnsi="Book Antiqua" w:cs="Arial"/>
        </w:rPr>
        <w:t xml:space="preserve"> to </w:t>
      </w:r>
      <w:r w:rsidR="00474549">
        <w:rPr>
          <w:rFonts w:ascii="Book Antiqua" w:hAnsi="Book Antiqua" w:cs="Arial"/>
        </w:rPr>
        <w:t>generic evidence which</w:t>
      </w:r>
      <w:r w:rsidRPr="00474549">
        <w:rPr>
          <w:rFonts w:ascii="Book Antiqua" w:hAnsi="Book Antiqua" w:cs="Arial"/>
        </w:rPr>
        <w:t xml:space="preserve"> included</w:t>
      </w:r>
      <w:r w:rsidR="00474549">
        <w:rPr>
          <w:rFonts w:ascii="Book Antiqua" w:hAnsi="Book Antiqua" w:cs="Arial"/>
        </w:rPr>
        <w:t xml:space="preserve"> a statement from Mary Morgan.</w:t>
      </w:r>
      <w:r w:rsidRPr="00474549">
        <w:rPr>
          <w:rFonts w:ascii="Book Antiqua" w:hAnsi="Book Antiqua" w:cs="Arial"/>
        </w:rPr>
        <w:t xml:space="preserve"> He also </w:t>
      </w:r>
      <w:proofErr w:type="gramStart"/>
      <w:r w:rsidRPr="00474549">
        <w:rPr>
          <w:rFonts w:ascii="Book Antiqua" w:hAnsi="Book Antiqua" w:cs="Arial"/>
        </w:rPr>
        <w:t>made reference</w:t>
      </w:r>
      <w:proofErr w:type="gramEnd"/>
      <w:r w:rsidRPr="00474549">
        <w:rPr>
          <w:rFonts w:ascii="Book Antiqua" w:hAnsi="Book Antiqua" w:cs="Arial"/>
        </w:rPr>
        <w:t xml:space="preserve"> to the witness statement</w:t>
      </w:r>
      <w:r w:rsidR="003935F6" w:rsidRPr="00474549">
        <w:rPr>
          <w:rFonts w:ascii="Book Antiqua" w:hAnsi="Book Antiqua" w:cs="Arial"/>
        </w:rPr>
        <w:t>s</w:t>
      </w:r>
      <w:r w:rsidRPr="00474549">
        <w:rPr>
          <w:rFonts w:ascii="Book Antiqua" w:hAnsi="Book Antiqua" w:cs="Arial"/>
        </w:rPr>
        <w:t xml:space="preserve"> from Peter Millington and Rebecca Collings</w:t>
      </w:r>
      <w:r w:rsidR="00474549">
        <w:rPr>
          <w:rFonts w:ascii="Book Antiqua" w:hAnsi="Book Antiqua" w:cs="Arial"/>
        </w:rPr>
        <w:t xml:space="preserve"> and that the test results which had been provided which stated were “questionable”.</w:t>
      </w:r>
      <w:r w:rsidR="009F7DC6">
        <w:rPr>
          <w:rFonts w:ascii="Book Antiqua" w:hAnsi="Book Antiqua" w:cs="Arial"/>
        </w:rPr>
        <w:t xml:space="preserve"> </w:t>
      </w:r>
      <w:r w:rsidR="00137057">
        <w:rPr>
          <w:rFonts w:ascii="Book Antiqua" w:hAnsi="Book Antiqua" w:cs="Arial"/>
        </w:rPr>
        <w:t>The project façade report although in the index was no</w:t>
      </w:r>
      <w:r w:rsidR="00BA20D3">
        <w:rPr>
          <w:rFonts w:ascii="Book Antiqua" w:hAnsi="Book Antiqua" w:cs="Arial"/>
        </w:rPr>
        <w:t xml:space="preserve">t in the bundle before the </w:t>
      </w:r>
      <w:proofErr w:type="gramStart"/>
      <w:r w:rsidR="00BA20D3">
        <w:rPr>
          <w:rFonts w:ascii="Book Antiqua" w:hAnsi="Book Antiqua" w:cs="Arial"/>
        </w:rPr>
        <w:t>FTTJ( and</w:t>
      </w:r>
      <w:proofErr w:type="gramEnd"/>
      <w:r w:rsidR="00BA20D3">
        <w:rPr>
          <w:rFonts w:ascii="Book Antiqua" w:hAnsi="Book Antiqua" w:cs="Arial"/>
        </w:rPr>
        <w:t xml:space="preserve"> is not in the bundle in the Tribunal file).</w:t>
      </w:r>
      <w:r w:rsidR="00137057">
        <w:rPr>
          <w:rFonts w:ascii="Book Antiqua" w:hAnsi="Book Antiqua" w:cs="Arial"/>
        </w:rPr>
        <w:t xml:space="preserve"> </w:t>
      </w:r>
      <w:r w:rsidR="009F7DC6">
        <w:rPr>
          <w:rFonts w:ascii="Book Antiqua" w:hAnsi="Book Antiqua" w:cs="Arial"/>
        </w:rPr>
        <w:t xml:space="preserve">The bundle </w:t>
      </w:r>
      <w:r w:rsidR="00BA20D3">
        <w:rPr>
          <w:rFonts w:ascii="Book Antiqua" w:hAnsi="Book Antiqua" w:cs="Arial"/>
        </w:rPr>
        <w:t>did have</w:t>
      </w:r>
      <w:r w:rsidR="009F7DC6">
        <w:rPr>
          <w:rFonts w:ascii="Book Antiqua" w:hAnsi="Book Antiqua" w:cs="Arial"/>
        </w:rPr>
        <w:t xml:space="preserve"> an extract form the test centre where 20% were questionable” and 80% invalid and this Appellant’s test score by reference to his certificate no ending in 1260.</w:t>
      </w:r>
      <w:r w:rsidR="00474549">
        <w:rPr>
          <w:rFonts w:ascii="Book Antiqua" w:hAnsi="Book Antiqua" w:cs="Arial"/>
        </w:rPr>
        <w:t xml:space="preserve"> The judge found the</w:t>
      </w:r>
      <w:r w:rsidRPr="00474549">
        <w:rPr>
          <w:rFonts w:ascii="Book Antiqua" w:hAnsi="Book Antiqua" w:cs="Arial"/>
        </w:rPr>
        <w:t xml:space="preserve"> generic evidence was o</w:t>
      </w:r>
      <w:r w:rsidR="00474549">
        <w:rPr>
          <w:rFonts w:ascii="Book Antiqua" w:hAnsi="Book Antiqua" w:cs="Arial"/>
        </w:rPr>
        <w:t xml:space="preserve">f sufficient evidential quality </w:t>
      </w:r>
      <w:r w:rsidRPr="00474549">
        <w:rPr>
          <w:rFonts w:ascii="Book Antiqua" w:hAnsi="Book Antiqua" w:cs="Arial"/>
        </w:rPr>
        <w:t>to discharge the burden of proof</w:t>
      </w:r>
      <w:r w:rsidR="00474549">
        <w:rPr>
          <w:rFonts w:ascii="Book Antiqua" w:hAnsi="Book Antiqua" w:cs="Arial"/>
        </w:rPr>
        <w:t>.</w:t>
      </w:r>
    </w:p>
    <w:p w:rsidR="00474549" w:rsidRDefault="00474549" w:rsidP="00474549">
      <w:pPr>
        <w:pStyle w:val="ListParagraph"/>
        <w:rPr>
          <w:rFonts w:ascii="Book Antiqua" w:hAnsi="Book Antiqua" w:cs="Arial"/>
        </w:rPr>
      </w:pPr>
    </w:p>
    <w:p w:rsidR="00474549" w:rsidRDefault="00474549" w:rsidP="00474549">
      <w:pPr>
        <w:numPr>
          <w:ilvl w:val="0"/>
          <w:numId w:val="3"/>
        </w:numPr>
        <w:spacing w:before="240"/>
        <w:jc w:val="both"/>
        <w:rPr>
          <w:rFonts w:ascii="Book Antiqua" w:hAnsi="Book Antiqua" w:cs="Arial"/>
        </w:rPr>
      </w:pPr>
      <w:r>
        <w:rPr>
          <w:rFonts w:ascii="Book Antiqua" w:hAnsi="Book Antiqua" w:cs="Arial"/>
        </w:rPr>
        <w:t>At paragraph 15 the judge made the following findings of fact:</w:t>
      </w:r>
    </w:p>
    <w:p w:rsidR="00474549" w:rsidRDefault="00474549" w:rsidP="00474549">
      <w:pPr>
        <w:spacing w:before="240"/>
        <w:ind w:left="567"/>
        <w:jc w:val="both"/>
        <w:rPr>
          <w:rFonts w:ascii="Book Antiqua" w:hAnsi="Book Antiqua" w:cs="Arial"/>
        </w:rPr>
      </w:pPr>
      <w:r>
        <w:rPr>
          <w:rFonts w:ascii="Book Antiqua" w:hAnsi="Book Antiqua" w:cs="Arial"/>
        </w:rPr>
        <w:lastRenderedPageBreak/>
        <w:t xml:space="preserve">“15. The </w:t>
      </w:r>
      <w:r w:rsidR="00B76168">
        <w:rPr>
          <w:rFonts w:ascii="Book Antiqua" w:hAnsi="Book Antiqua" w:cs="Arial"/>
        </w:rPr>
        <w:t>Appellant</w:t>
      </w:r>
      <w:r>
        <w:rPr>
          <w:rFonts w:ascii="Book Antiqua" w:hAnsi="Book Antiqua" w:cs="Arial"/>
        </w:rPr>
        <w:t xml:space="preserve"> </w:t>
      </w:r>
      <w:r w:rsidR="002A3836">
        <w:rPr>
          <w:rFonts w:ascii="Book Antiqua" w:hAnsi="Book Antiqua" w:cs="Arial"/>
        </w:rPr>
        <w:t xml:space="preserve">has </w:t>
      </w:r>
      <w:r>
        <w:rPr>
          <w:rFonts w:ascii="Book Antiqua" w:hAnsi="Book Antiqua" w:cs="Arial"/>
        </w:rPr>
        <w:t>provided an</w:t>
      </w:r>
      <w:r w:rsidR="002A3836">
        <w:rPr>
          <w:rFonts w:ascii="Book Antiqua" w:hAnsi="Book Antiqua" w:cs="Arial"/>
        </w:rPr>
        <w:t xml:space="preserve"> </w:t>
      </w:r>
      <w:r w:rsidR="009577CA">
        <w:rPr>
          <w:rFonts w:ascii="Book Antiqua" w:hAnsi="Book Antiqua" w:cs="Arial"/>
        </w:rPr>
        <w:t>account of his</w:t>
      </w:r>
      <w:r>
        <w:rPr>
          <w:rFonts w:ascii="Book Antiqua" w:hAnsi="Book Antiqua" w:cs="Arial"/>
        </w:rPr>
        <w:t xml:space="preserve"> background in terms of his education and sitting English tests and the test</w:t>
      </w:r>
      <w:r w:rsidR="002A3836">
        <w:rPr>
          <w:rFonts w:ascii="Book Antiqua" w:hAnsi="Book Antiqua" w:cs="Arial"/>
        </w:rPr>
        <w:t>s he</w:t>
      </w:r>
      <w:r>
        <w:rPr>
          <w:rFonts w:ascii="Book Antiqua" w:hAnsi="Book Antiqua" w:cs="Arial"/>
        </w:rPr>
        <w:t xml:space="preserve"> sat on 6 November 2011. He was cross-examined about his evidence. I found that he was a credible and plausible witness because he </w:t>
      </w:r>
      <w:proofErr w:type="gramStart"/>
      <w:r>
        <w:rPr>
          <w:rFonts w:ascii="Book Antiqua" w:hAnsi="Book Antiqua" w:cs="Arial"/>
        </w:rPr>
        <w:t>was able to</w:t>
      </w:r>
      <w:proofErr w:type="gramEnd"/>
      <w:r>
        <w:rPr>
          <w:rFonts w:ascii="Book Antiqua" w:hAnsi="Book Antiqua" w:cs="Arial"/>
        </w:rPr>
        <w:t xml:space="preserve"> describe what </w:t>
      </w:r>
      <w:r w:rsidR="002A3836">
        <w:rPr>
          <w:rFonts w:ascii="Book Antiqua" w:hAnsi="Book Antiqua" w:cs="Arial"/>
        </w:rPr>
        <w:t xml:space="preserve">happened on </w:t>
      </w:r>
      <w:r>
        <w:rPr>
          <w:rFonts w:ascii="Book Antiqua" w:hAnsi="Book Antiqua" w:cs="Arial"/>
        </w:rPr>
        <w:t xml:space="preserve">the test dates in some detail and I find that he has demonstrated that he has done a number of other English tests which show that he had acquired a certain level of English ability prior to doing the ELTS. He obtained an English speaking and listening certificate from Trinity College dated June 2011 and was enrolled onto a HND course in business studies </w:t>
      </w:r>
      <w:proofErr w:type="gramStart"/>
      <w:r>
        <w:rPr>
          <w:rFonts w:ascii="Book Antiqua" w:hAnsi="Book Antiqua" w:cs="Arial"/>
        </w:rPr>
        <w:t>a</w:t>
      </w:r>
      <w:r w:rsidR="002A3836">
        <w:rPr>
          <w:rFonts w:ascii="Book Antiqua" w:hAnsi="Book Antiqua" w:cs="Arial"/>
        </w:rPr>
        <w:t>nd  which</w:t>
      </w:r>
      <w:proofErr w:type="gramEnd"/>
      <w:r w:rsidR="002A3836">
        <w:rPr>
          <w:rFonts w:ascii="Book Antiqua" w:hAnsi="Book Antiqua" w:cs="Arial"/>
        </w:rPr>
        <w:t xml:space="preserve"> </w:t>
      </w:r>
      <w:r>
        <w:rPr>
          <w:rFonts w:ascii="Book Antiqua" w:hAnsi="Book Antiqua" w:cs="Arial"/>
        </w:rPr>
        <w:t>he was able to study on.</w:t>
      </w:r>
    </w:p>
    <w:p w:rsidR="00474549" w:rsidRDefault="00474549" w:rsidP="00474549">
      <w:pPr>
        <w:spacing w:before="240"/>
        <w:ind w:left="567"/>
        <w:jc w:val="both"/>
        <w:rPr>
          <w:rFonts w:ascii="Book Antiqua" w:hAnsi="Book Antiqua" w:cs="Arial"/>
        </w:rPr>
      </w:pPr>
      <w:r>
        <w:rPr>
          <w:rFonts w:ascii="Book Antiqua" w:hAnsi="Book Antiqua" w:cs="Arial"/>
        </w:rPr>
        <w:t xml:space="preserve">16. I do not find that the </w:t>
      </w:r>
      <w:r w:rsidR="00B76168">
        <w:rPr>
          <w:rFonts w:ascii="Book Antiqua" w:hAnsi="Book Antiqua" w:cs="Arial"/>
        </w:rPr>
        <w:t>Respondent</w:t>
      </w:r>
      <w:r>
        <w:rPr>
          <w:rFonts w:ascii="Book Antiqua" w:hAnsi="Book Antiqua" w:cs="Arial"/>
        </w:rPr>
        <w:t xml:space="preserve"> has discharged the legal burden of establishing that the </w:t>
      </w:r>
      <w:r w:rsidR="00B76168">
        <w:rPr>
          <w:rFonts w:ascii="Book Antiqua" w:hAnsi="Book Antiqua" w:cs="Arial"/>
        </w:rPr>
        <w:t>Appellant</w:t>
      </w:r>
      <w:r>
        <w:rPr>
          <w:rFonts w:ascii="Book Antiqua" w:hAnsi="Book Antiqua" w:cs="Arial"/>
        </w:rPr>
        <w:t xml:space="preserve">’s test was taken by </w:t>
      </w:r>
      <w:r w:rsidR="002A3836">
        <w:rPr>
          <w:rFonts w:ascii="Book Antiqua" w:hAnsi="Book Antiqua" w:cs="Arial"/>
        </w:rPr>
        <w:t>a proxy test</w:t>
      </w:r>
      <w:r>
        <w:rPr>
          <w:rFonts w:ascii="Book Antiqua" w:hAnsi="Book Antiqua" w:cs="Arial"/>
        </w:rPr>
        <w:t xml:space="preserve"> take</w:t>
      </w:r>
      <w:r w:rsidR="002A3836">
        <w:rPr>
          <w:rFonts w:ascii="Book Antiqua" w:hAnsi="Book Antiqua" w:cs="Arial"/>
        </w:rPr>
        <w:t>r</w:t>
      </w:r>
      <w:r>
        <w:rPr>
          <w:rFonts w:ascii="Book Antiqua" w:hAnsi="Book Antiqua" w:cs="Arial"/>
        </w:rPr>
        <w:t xml:space="preserve"> on his behalf. I do not find that the </w:t>
      </w:r>
      <w:r w:rsidR="00B76168">
        <w:rPr>
          <w:rFonts w:ascii="Book Antiqua" w:hAnsi="Book Antiqua" w:cs="Arial"/>
        </w:rPr>
        <w:t>Appellant</w:t>
      </w:r>
      <w:r>
        <w:rPr>
          <w:rFonts w:ascii="Book Antiqua" w:hAnsi="Book Antiqua" w:cs="Arial"/>
        </w:rPr>
        <w:t xml:space="preserve"> used deception to obtain his previous leave and I therefore find </w:t>
      </w:r>
      <w:r w:rsidR="002A3836">
        <w:rPr>
          <w:rFonts w:ascii="Book Antiqua" w:hAnsi="Book Antiqua" w:cs="Arial"/>
        </w:rPr>
        <w:t>it was not lawful to be refused</w:t>
      </w:r>
      <w:r>
        <w:rPr>
          <w:rFonts w:ascii="Book Antiqua" w:hAnsi="Book Antiqua" w:cs="Arial"/>
        </w:rPr>
        <w:t xml:space="preserve"> under paragraph 322 (1A).</w:t>
      </w:r>
    </w:p>
    <w:p w:rsidR="00474549" w:rsidRDefault="00474549" w:rsidP="00474549">
      <w:pPr>
        <w:spacing w:before="240"/>
        <w:ind w:left="567"/>
        <w:jc w:val="both"/>
        <w:rPr>
          <w:rFonts w:ascii="Book Antiqua" w:hAnsi="Book Antiqua" w:cs="Arial"/>
        </w:rPr>
      </w:pPr>
      <w:r>
        <w:rPr>
          <w:rFonts w:ascii="Book Antiqua" w:hAnsi="Book Antiqua" w:cs="Arial"/>
        </w:rPr>
        <w:t xml:space="preserve">17. I find that the </w:t>
      </w:r>
      <w:r w:rsidR="00B76168">
        <w:rPr>
          <w:rFonts w:ascii="Book Antiqua" w:hAnsi="Book Antiqua" w:cs="Arial"/>
        </w:rPr>
        <w:t>Appellant</w:t>
      </w:r>
      <w:r>
        <w:rPr>
          <w:rFonts w:ascii="Book Antiqua" w:hAnsi="Book Antiqua" w:cs="Arial"/>
        </w:rPr>
        <w:t xml:space="preserve"> therefore does not to be rejected under the general grounds of refusal under paragraph 287 either. I find that the </w:t>
      </w:r>
      <w:r w:rsidR="00B76168">
        <w:rPr>
          <w:rFonts w:ascii="Book Antiqua" w:hAnsi="Book Antiqua" w:cs="Arial"/>
        </w:rPr>
        <w:t>Appellant</w:t>
      </w:r>
      <w:r>
        <w:rPr>
          <w:rFonts w:ascii="Book Antiqua" w:hAnsi="Book Antiqua" w:cs="Arial"/>
        </w:rPr>
        <w:t xml:space="preserve"> does not fall for limited leave to remain as a partner with regards to </w:t>
      </w:r>
      <w:proofErr w:type="gramStart"/>
      <w:r>
        <w:rPr>
          <w:rFonts w:ascii="Book Antiqua" w:hAnsi="Book Antiqua" w:cs="Arial"/>
        </w:rPr>
        <w:t>being</w:t>
      </w:r>
      <w:proofErr w:type="gramEnd"/>
      <w:r>
        <w:rPr>
          <w:rFonts w:ascii="Book Antiqua" w:hAnsi="Book Antiqua" w:cs="Arial"/>
        </w:rPr>
        <w:t xml:space="preserve"> a person whose presence is not conducive to the public good. The decision to refuse therefore </w:t>
      </w:r>
      <w:r w:rsidR="002A3836">
        <w:rPr>
          <w:rFonts w:ascii="Book Antiqua" w:hAnsi="Book Antiqua" w:cs="Arial"/>
        </w:rPr>
        <w:t xml:space="preserve">is </w:t>
      </w:r>
      <w:r>
        <w:rPr>
          <w:rFonts w:ascii="Book Antiqua" w:hAnsi="Book Antiqua" w:cs="Arial"/>
        </w:rPr>
        <w:t xml:space="preserve">not in accordance with the law and I allow the appeal. As he meets the Immigration Rules there is no need to consider the appeal on the alternative grounds of paragraph 276 ADE or </w:t>
      </w:r>
      <w:r w:rsidR="00B76168">
        <w:rPr>
          <w:rFonts w:ascii="Book Antiqua" w:hAnsi="Book Antiqua" w:cs="Arial"/>
        </w:rPr>
        <w:t>Article</w:t>
      </w:r>
      <w:r>
        <w:rPr>
          <w:rFonts w:ascii="Book Antiqua" w:hAnsi="Book Antiqua" w:cs="Arial"/>
        </w:rPr>
        <w:t xml:space="preserve"> 8 outside the Immigration Rules.”</w:t>
      </w:r>
    </w:p>
    <w:p w:rsidR="00474549" w:rsidRPr="00474549" w:rsidRDefault="00474549" w:rsidP="00474549">
      <w:pPr>
        <w:spacing w:before="240"/>
        <w:ind w:left="567"/>
        <w:jc w:val="both"/>
        <w:rPr>
          <w:rFonts w:ascii="Book Antiqua" w:hAnsi="Book Antiqua" w:cs="Arial"/>
        </w:rPr>
      </w:pPr>
    </w:p>
    <w:p w:rsidR="00856DA5" w:rsidRPr="00856DA5" w:rsidRDefault="00856DA5" w:rsidP="00856DA5">
      <w:pPr>
        <w:spacing w:before="240"/>
        <w:jc w:val="both"/>
        <w:rPr>
          <w:rFonts w:ascii="Book Antiqua" w:hAnsi="Book Antiqua" w:cs="Arial"/>
          <w:u w:val="single"/>
        </w:rPr>
      </w:pPr>
      <w:r w:rsidRPr="00856DA5">
        <w:rPr>
          <w:rFonts w:ascii="Book Antiqua" w:hAnsi="Book Antiqua" w:cs="Arial"/>
          <w:u w:val="single"/>
        </w:rPr>
        <w:t>The appeal:</w:t>
      </w:r>
    </w:p>
    <w:p w:rsidR="0048196A" w:rsidRPr="00DC27ED" w:rsidRDefault="0048196A" w:rsidP="00856DA5">
      <w:pPr>
        <w:pStyle w:val="ListParagraph"/>
        <w:ind w:left="0"/>
        <w:rPr>
          <w:rFonts w:ascii="Book Antiqua" w:hAnsi="Book Antiqua" w:cs="Arial"/>
        </w:rPr>
      </w:pPr>
    </w:p>
    <w:p w:rsidR="00000017" w:rsidRDefault="0048196A" w:rsidP="00A56BF1">
      <w:pPr>
        <w:numPr>
          <w:ilvl w:val="0"/>
          <w:numId w:val="3"/>
        </w:numPr>
        <w:spacing w:before="240"/>
        <w:jc w:val="both"/>
        <w:rPr>
          <w:rFonts w:ascii="Book Antiqua" w:hAnsi="Book Antiqua" w:cs="Arial"/>
        </w:rPr>
      </w:pPr>
      <w:r w:rsidRPr="00DC27ED">
        <w:rPr>
          <w:rFonts w:ascii="Book Antiqua" w:hAnsi="Book Antiqua" w:cs="Arial"/>
        </w:rPr>
        <w:t xml:space="preserve">The </w:t>
      </w:r>
      <w:r w:rsidR="00167BFA">
        <w:rPr>
          <w:rFonts w:ascii="Book Antiqua" w:hAnsi="Book Antiqua" w:cs="Arial"/>
        </w:rPr>
        <w:t xml:space="preserve">Secretary of State </w:t>
      </w:r>
      <w:r w:rsidRPr="00DC27ED">
        <w:rPr>
          <w:rFonts w:ascii="Book Antiqua" w:hAnsi="Book Antiqua" w:cs="Arial"/>
        </w:rPr>
        <w:t>sought permission to appeal that decision</w:t>
      </w:r>
      <w:r w:rsidR="00000017">
        <w:rPr>
          <w:rFonts w:ascii="Book Antiqua" w:hAnsi="Book Antiqua" w:cs="Arial"/>
        </w:rPr>
        <w:t>. The grounds stated as follows:</w:t>
      </w:r>
    </w:p>
    <w:p w:rsidR="00000017" w:rsidRDefault="00000017" w:rsidP="00000017">
      <w:pPr>
        <w:pStyle w:val="ListParagraph"/>
        <w:rPr>
          <w:rFonts w:ascii="Book Antiqua" w:hAnsi="Book Antiqua" w:cs="Arial"/>
        </w:rPr>
      </w:pPr>
    </w:p>
    <w:p w:rsidR="00000017" w:rsidRDefault="00000017" w:rsidP="00A56BF1">
      <w:pPr>
        <w:numPr>
          <w:ilvl w:val="6"/>
          <w:numId w:val="3"/>
        </w:numPr>
        <w:spacing w:before="240"/>
        <w:jc w:val="both"/>
        <w:rPr>
          <w:rFonts w:ascii="Book Antiqua" w:hAnsi="Book Antiqua" w:cs="Arial"/>
        </w:rPr>
      </w:pPr>
      <w:r>
        <w:rPr>
          <w:rFonts w:ascii="Book Antiqua" w:hAnsi="Book Antiqua" w:cs="Arial"/>
        </w:rPr>
        <w:t>In reac</w:t>
      </w:r>
      <w:r w:rsidR="00AD0B14">
        <w:rPr>
          <w:rFonts w:ascii="Book Antiqua" w:hAnsi="Book Antiqua" w:cs="Arial"/>
        </w:rPr>
        <w:t>hing the material finding, the judge</w:t>
      </w:r>
      <w:r>
        <w:rPr>
          <w:rFonts w:ascii="Book Antiqua" w:hAnsi="Book Antiqua" w:cs="Arial"/>
        </w:rPr>
        <w:t xml:space="preserve"> relied on the </w:t>
      </w:r>
      <w:r w:rsidR="00B76168">
        <w:rPr>
          <w:rFonts w:ascii="Book Antiqua" w:hAnsi="Book Antiqua" w:cs="Arial"/>
        </w:rPr>
        <w:t>Appellant</w:t>
      </w:r>
      <w:r w:rsidR="00F864A7">
        <w:rPr>
          <w:rFonts w:ascii="Book Antiqua" w:hAnsi="Book Antiqua" w:cs="Arial"/>
        </w:rPr>
        <w:t>’s English ability [15</w:t>
      </w:r>
      <w:r>
        <w:rPr>
          <w:rFonts w:ascii="Book Antiqua" w:hAnsi="Book Antiqua" w:cs="Arial"/>
        </w:rPr>
        <w:t>].</w:t>
      </w:r>
    </w:p>
    <w:p w:rsidR="00000017" w:rsidRDefault="00000017" w:rsidP="00A56BF1">
      <w:pPr>
        <w:numPr>
          <w:ilvl w:val="6"/>
          <w:numId w:val="3"/>
        </w:numPr>
        <w:spacing w:before="240"/>
        <w:jc w:val="both"/>
        <w:rPr>
          <w:rFonts w:ascii="Book Antiqua" w:hAnsi="Book Antiqua" w:cs="Arial"/>
        </w:rPr>
      </w:pPr>
      <w:r>
        <w:rPr>
          <w:rFonts w:ascii="Book Antiqua" w:hAnsi="Book Antiqua" w:cs="Arial"/>
        </w:rPr>
        <w:t xml:space="preserve">Plainly there may be reasons why a person who is able to speak English to the required level would nonetheless cause or permit a proxy candidate to undertake an ETS test on their behalf, or otherwise to cheat. </w:t>
      </w:r>
    </w:p>
    <w:p w:rsidR="00000017" w:rsidRDefault="00000017" w:rsidP="00A56BF1">
      <w:pPr>
        <w:numPr>
          <w:ilvl w:val="6"/>
          <w:numId w:val="3"/>
        </w:numPr>
        <w:spacing w:before="240"/>
        <w:jc w:val="both"/>
        <w:rPr>
          <w:rFonts w:ascii="Book Antiqua" w:hAnsi="Book Antiqua" w:cs="Arial"/>
        </w:rPr>
      </w:pPr>
      <w:r>
        <w:rPr>
          <w:rFonts w:ascii="Book Antiqua" w:hAnsi="Book Antiqua" w:cs="Arial"/>
        </w:rPr>
        <w:t xml:space="preserve">The FTT has materially erred by failing to give adequate reasons for holding that a person who clearly speaks English with therefore have no reason to secure a test certificate by deception. </w:t>
      </w:r>
    </w:p>
    <w:p w:rsidR="00000017" w:rsidRDefault="00000017" w:rsidP="00A56BF1">
      <w:pPr>
        <w:numPr>
          <w:ilvl w:val="6"/>
          <w:numId w:val="3"/>
        </w:numPr>
        <w:spacing w:before="240"/>
        <w:jc w:val="both"/>
        <w:rPr>
          <w:rFonts w:ascii="Book Antiqua" w:hAnsi="Book Antiqua" w:cs="Arial"/>
        </w:rPr>
      </w:pPr>
      <w:r>
        <w:rPr>
          <w:rFonts w:ascii="Book Antiqua" w:hAnsi="Book Antiqua" w:cs="Arial"/>
        </w:rPr>
        <w:t xml:space="preserve">The judgement of MA Nigeria [2016] UKUT 450 records at [57], “second, we acknowledge the suggestion that the </w:t>
      </w:r>
      <w:r w:rsidR="00B76168">
        <w:rPr>
          <w:rFonts w:ascii="Book Antiqua" w:hAnsi="Book Antiqua" w:cs="Arial"/>
        </w:rPr>
        <w:t>Appellant</w:t>
      </w:r>
      <w:r>
        <w:rPr>
          <w:rFonts w:ascii="Book Antiqua" w:hAnsi="Book Antiqua" w:cs="Arial"/>
        </w:rPr>
        <w:t xml:space="preserve"> had no reason to engage in deception which we have found proven. </w:t>
      </w:r>
      <w:proofErr w:type="gramStart"/>
      <w:r>
        <w:rPr>
          <w:rFonts w:ascii="Book Antiqua" w:hAnsi="Book Antiqua" w:cs="Arial"/>
        </w:rPr>
        <w:t>However</w:t>
      </w:r>
      <w:proofErr w:type="gramEnd"/>
      <w:r>
        <w:rPr>
          <w:rFonts w:ascii="Book Antiqua" w:hAnsi="Book Antiqua" w:cs="Arial"/>
        </w:rPr>
        <w:t xml:space="preserve"> this has not deflected any way from reaching our main findings and conclusions. In the abstract, of course, there is a range </w:t>
      </w:r>
      <w:r>
        <w:rPr>
          <w:rFonts w:ascii="Book Antiqua" w:hAnsi="Book Antiqua" w:cs="Arial"/>
        </w:rPr>
        <w:lastRenderedPageBreak/>
        <w:t xml:space="preserve">of reasons why persons proficient in English may engage in TOEIC fraud. These include, in exhaustively, lack of confidence, fear of failure, lack of time and commitment and contempt for the immigration system. These reasons could conceivably overlap in individual cases and there is scope for other explanations the deceitful conduct in the sphere. We are not required to make a further finding of why the </w:t>
      </w:r>
      <w:r w:rsidR="00B76168">
        <w:rPr>
          <w:rFonts w:ascii="Book Antiqua" w:hAnsi="Book Antiqua" w:cs="Arial"/>
        </w:rPr>
        <w:t>Appellant</w:t>
      </w:r>
      <w:r>
        <w:rPr>
          <w:rFonts w:ascii="Book Antiqua" w:hAnsi="Book Antiqua" w:cs="Arial"/>
        </w:rPr>
        <w:t xml:space="preserve"> engaged in deception and do this we add that this issue was not explored during the hearing. We resist any temptation </w:t>
      </w:r>
      <w:r w:rsidR="00AD0B14">
        <w:rPr>
          <w:rFonts w:ascii="Book Antiqua" w:hAnsi="Book Antiqua" w:cs="Arial"/>
        </w:rPr>
        <w:t>to speculate about this discrete</w:t>
      </w:r>
      <w:r>
        <w:rPr>
          <w:rFonts w:ascii="Book Antiqua" w:hAnsi="Book Antiqua" w:cs="Arial"/>
        </w:rPr>
        <w:t xml:space="preserve"> matter.”</w:t>
      </w:r>
    </w:p>
    <w:p w:rsidR="00000017" w:rsidRDefault="00F864A7" w:rsidP="00A56BF1">
      <w:pPr>
        <w:numPr>
          <w:ilvl w:val="6"/>
          <w:numId w:val="3"/>
        </w:numPr>
        <w:spacing w:before="240"/>
        <w:jc w:val="both"/>
        <w:rPr>
          <w:rFonts w:ascii="Book Antiqua" w:hAnsi="Book Antiqua" w:cs="Arial"/>
        </w:rPr>
      </w:pPr>
      <w:r>
        <w:rPr>
          <w:rFonts w:ascii="Book Antiqua" w:hAnsi="Book Antiqua" w:cs="Arial"/>
        </w:rPr>
        <w:t xml:space="preserve">It is submitted that the Secretary of State’s evidential burden was met and that the evidential burden fell upon the </w:t>
      </w:r>
      <w:r w:rsidR="00B76168">
        <w:rPr>
          <w:rFonts w:ascii="Book Antiqua" w:hAnsi="Book Antiqua" w:cs="Arial"/>
        </w:rPr>
        <w:t>Appellant</w:t>
      </w:r>
      <w:r>
        <w:rPr>
          <w:rFonts w:ascii="Book Antiqua" w:hAnsi="Book Antiqua" w:cs="Arial"/>
        </w:rPr>
        <w:t xml:space="preserve"> to offer an innocent explanation. The judge failed to give adequate reasons are finding that the </w:t>
      </w:r>
      <w:r w:rsidR="00B76168">
        <w:rPr>
          <w:rFonts w:ascii="Book Antiqua" w:hAnsi="Book Antiqua" w:cs="Arial"/>
        </w:rPr>
        <w:t>Appellant</w:t>
      </w:r>
      <w:r>
        <w:rPr>
          <w:rFonts w:ascii="Book Antiqua" w:hAnsi="Book Antiqua" w:cs="Arial"/>
        </w:rPr>
        <w:t xml:space="preserve"> provided an innocent explanation.</w:t>
      </w:r>
    </w:p>
    <w:p w:rsidR="00F864A7" w:rsidRDefault="00F864A7" w:rsidP="00A56BF1">
      <w:pPr>
        <w:numPr>
          <w:ilvl w:val="6"/>
          <w:numId w:val="3"/>
        </w:numPr>
        <w:spacing w:before="240"/>
        <w:jc w:val="both"/>
        <w:rPr>
          <w:rFonts w:ascii="Book Antiqua" w:hAnsi="Book Antiqua" w:cs="Arial"/>
        </w:rPr>
      </w:pPr>
      <w:r>
        <w:rPr>
          <w:rFonts w:ascii="Book Antiqua" w:hAnsi="Book Antiqua" w:cs="Arial"/>
        </w:rPr>
        <w:t xml:space="preserve">It is submitted that whilst the ETS verification system is not infallible, it is adequately robust and </w:t>
      </w:r>
      <w:r w:rsidR="002A3836">
        <w:rPr>
          <w:rFonts w:ascii="Book Antiqua" w:hAnsi="Book Antiqua" w:cs="Arial"/>
        </w:rPr>
        <w:t>rigorous</w:t>
      </w:r>
      <w:r>
        <w:rPr>
          <w:rFonts w:ascii="Book Antiqua" w:hAnsi="Book Antiqua" w:cs="Arial"/>
        </w:rPr>
        <w:t xml:space="preserve">. In any event, the Secretary of State must rely on such information provided to by an applicant which has been certified as being true by third party. The third party withdraws the certificate, as here, and is no longer able to batch the validity of information, </w:t>
      </w:r>
      <w:proofErr w:type="gramStart"/>
      <w:r>
        <w:rPr>
          <w:rFonts w:ascii="Book Antiqua" w:hAnsi="Book Antiqua" w:cs="Arial"/>
        </w:rPr>
        <w:t>on the basis of</w:t>
      </w:r>
      <w:proofErr w:type="gramEnd"/>
      <w:r>
        <w:rPr>
          <w:rFonts w:ascii="Book Antiqua" w:hAnsi="Book Antiqua" w:cs="Arial"/>
        </w:rPr>
        <w:t xml:space="preserve"> leave is also removed.</w:t>
      </w:r>
    </w:p>
    <w:p w:rsidR="00F864A7" w:rsidRDefault="00F864A7" w:rsidP="00A56BF1">
      <w:pPr>
        <w:numPr>
          <w:ilvl w:val="6"/>
          <w:numId w:val="3"/>
        </w:numPr>
        <w:spacing w:before="240"/>
        <w:jc w:val="both"/>
        <w:rPr>
          <w:rFonts w:ascii="Book Antiqua" w:hAnsi="Book Antiqua" w:cs="Arial"/>
        </w:rPr>
      </w:pPr>
      <w:r>
        <w:rPr>
          <w:rFonts w:ascii="Book Antiqua" w:hAnsi="Book Antiqua" w:cs="Arial"/>
        </w:rPr>
        <w:t xml:space="preserve">The </w:t>
      </w:r>
      <w:r w:rsidR="00B76168">
        <w:rPr>
          <w:rFonts w:ascii="Book Antiqua" w:hAnsi="Book Antiqua" w:cs="Arial"/>
        </w:rPr>
        <w:t>Respondent</w:t>
      </w:r>
      <w:r>
        <w:rPr>
          <w:rFonts w:ascii="Book Antiqua" w:hAnsi="Book Antiqua" w:cs="Arial"/>
        </w:rPr>
        <w:t xml:space="preserve"> maintained that there were no compelling circumstances to justify the consideration of the </w:t>
      </w:r>
      <w:r w:rsidR="00B76168">
        <w:rPr>
          <w:rFonts w:ascii="Book Antiqua" w:hAnsi="Book Antiqua" w:cs="Arial"/>
        </w:rPr>
        <w:t>Appellant</w:t>
      </w:r>
      <w:r>
        <w:rPr>
          <w:rFonts w:ascii="Book Antiqua" w:hAnsi="Book Antiqua" w:cs="Arial"/>
        </w:rPr>
        <w:t>’s case outside the immigration rules.</w:t>
      </w:r>
    </w:p>
    <w:p w:rsidR="00F864A7" w:rsidRDefault="00F864A7" w:rsidP="00A56BF1">
      <w:pPr>
        <w:numPr>
          <w:ilvl w:val="6"/>
          <w:numId w:val="3"/>
        </w:numPr>
        <w:spacing w:before="240"/>
        <w:jc w:val="both"/>
        <w:rPr>
          <w:rFonts w:ascii="Book Antiqua" w:hAnsi="Book Antiqua" w:cs="Arial"/>
        </w:rPr>
      </w:pPr>
      <w:r>
        <w:rPr>
          <w:rFonts w:ascii="Book Antiqua" w:hAnsi="Book Antiqua" w:cs="Arial"/>
        </w:rPr>
        <w:t xml:space="preserve">In any event there was nothing to prevent the </w:t>
      </w:r>
      <w:r w:rsidR="00B76168">
        <w:rPr>
          <w:rFonts w:ascii="Book Antiqua" w:hAnsi="Book Antiqua" w:cs="Arial"/>
        </w:rPr>
        <w:t>Appellant</w:t>
      </w:r>
      <w:r>
        <w:rPr>
          <w:rFonts w:ascii="Book Antiqua" w:hAnsi="Book Antiqua" w:cs="Arial"/>
        </w:rPr>
        <w:t xml:space="preserve"> returning to Bangladesh with the sponsor to continue their family of life there.</w:t>
      </w:r>
    </w:p>
    <w:p w:rsidR="00BC5719" w:rsidRPr="00DC27ED" w:rsidRDefault="00000017" w:rsidP="00A56BF1">
      <w:pPr>
        <w:numPr>
          <w:ilvl w:val="0"/>
          <w:numId w:val="3"/>
        </w:numPr>
        <w:spacing w:before="240"/>
        <w:jc w:val="both"/>
        <w:rPr>
          <w:rFonts w:ascii="Book Antiqua" w:hAnsi="Book Antiqua" w:cs="Arial"/>
        </w:rPr>
      </w:pPr>
      <w:r>
        <w:rPr>
          <w:rFonts w:ascii="Book Antiqua" w:hAnsi="Book Antiqua" w:cs="Arial"/>
        </w:rPr>
        <w:t xml:space="preserve"> O</w:t>
      </w:r>
      <w:r w:rsidR="00DD63CA" w:rsidRPr="00DC27ED">
        <w:rPr>
          <w:rFonts w:ascii="Book Antiqua" w:hAnsi="Book Antiqua" w:cs="Arial"/>
        </w:rPr>
        <w:t xml:space="preserve">n the </w:t>
      </w:r>
      <w:r w:rsidR="00167BFA">
        <w:rPr>
          <w:rFonts w:ascii="Book Antiqua" w:hAnsi="Book Antiqua" w:cs="Arial"/>
        </w:rPr>
        <w:t>12</w:t>
      </w:r>
      <w:r w:rsidR="00167BFA" w:rsidRPr="00167BFA">
        <w:rPr>
          <w:rFonts w:ascii="Book Antiqua" w:hAnsi="Book Antiqua" w:cs="Arial"/>
          <w:vertAlign w:val="superscript"/>
        </w:rPr>
        <w:t>th</w:t>
      </w:r>
      <w:r w:rsidR="00167BFA">
        <w:rPr>
          <w:rFonts w:ascii="Book Antiqua" w:hAnsi="Book Antiqua" w:cs="Arial"/>
        </w:rPr>
        <w:t xml:space="preserve"> July</w:t>
      </w:r>
      <w:r w:rsidR="00F12D57" w:rsidRPr="00DC27ED">
        <w:rPr>
          <w:rFonts w:ascii="Book Antiqua" w:hAnsi="Book Antiqua" w:cs="Arial"/>
        </w:rPr>
        <w:t xml:space="preserve"> 2017 First-tier</w:t>
      </w:r>
      <w:r w:rsidR="00DD63CA" w:rsidRPr="00DC27ED">
        <w:rPr>
          <w:rFonts w:ascii="Book Antiqua" w:hAnsi="Book Antiqua" w:cs="Arial"/>
        </w:rPr>
        <w:t xml:space="preserve"> </w:t>
      </w:r>
      <w:r w:rsidR="00B76168">
        <w:rPr>
          <w:rFonts w:ascii="Book Antiqua" w:hAnsi="Book Antiqua" w:cs="Arial"/>
        </w:rPr>
        <w:t>Tribunal</w:t>
      </w:r>
      <w:r w:rsidR="00A52BEC">
        <w:rPr>
          <w:rFonts w:ascii="Book Antiqua" w:hAnsi="Book Antiqua" w:cs="Arial"/>
        </w:rPr>
        <w:t xml:space="preserve"> Judge E.M Simpson</w:t>
      </w:r>
      <w:r w:rsidR="00BC5719" w:rsidRPr="00DC27ED">
        <w:rPr>
          <w:rFonts w:ascii="Book Antiqua" w:hAnsi="Book Antiqua" w:cs="Arial"/>
        </w:rPr>
        <w:t xml:space="preserve"> granted permission</w:t>
      </w:r>
      <w:r w:rsidR="00DD63CA" w:rsidRPr="00DC27ED">
        <w:rPr>
          <w:rFonts w:ascii="Book Antiqua" w:hAnsi="Book Antiqua" w:cs="Arial"/>
        </w:rPr>
        <w:t xml:space="preserve"> fo</w:t>
      </w:r>
      <w:r w:rsidR="000F2683" w:rsidRPr="00DC27ED">
        <w:rPr>
          <w:rFonts w:ascii="Book Antiqua" w:hAnsi="Book Antiqua" w:cs="Arial"/>
        </w:rPr>
        <w:t>r</w:t>
      </w:r>
      <w:r w:rsidR="00DD63CA" w:rsidRPr="00DC27ED">
        <w:rPr>
          <w:rFonts w:ascii="Book Antiqua" w:hAnsi="Book Antiqua" w:cs="Arial"/>
        </w:rPr>
        <w:t xml:space="preserve"> the following reasons:</w:t>
      </w:r>
    </w:p>
    <w:p w:rsidR="00F13FEE" w:rsidRPr="00DC27ED" w:rsidRDefault="00F13FEE" w:rsidP="00F13FEE">
      <w:pPr>
        <w:pStyle w:val="ListParagraph"/>
        <w:rPr>
          <w:rFonts w:ascii="Book Antiqua" w:hAnsi="Book Antiqua" w:cs="Arial"/>
        </w:rPr>
      </w:pPr>
    </w:p>
    <w:p w:rsidR="00A52BEC" w:rsidRDefault="00F3661B" w:rsidP="00167BFA">
      <w:pPr>
        <w:spacing w:before="240"/>
        <w:ind w:left="1134"/>
        <w:jc w:val="both"/>
        <w:rPr>
          <w:rFonts w:ascii="Book Antiqua" w:hAnsi="Book Antiqua" w:cs="Arial"/>
        </w:rPr>
      </w:pPr>
      <w:r>
        <w:rPr>
          <w:rFonts w:ascii="Book Antiqua" w:hAnsi="Book Antiqua" w:cs="Arial"/>
        </w:rPr>
        <w:t>“</w:t>
      </w:r>
      <w:r w:rsidR="00A52BEC">
        <w:rPr>
          <w:rFonts w:ascii="Book Antiqua" w:hAnsi="Book Antiqua" w:cs="Arial"/>
        </w:rPr>
        <w:t xml:space="preserve"> (</w:t>
      </w:r>
      <w:proofErr w:type="spellStart"/>
      <w:r w:rsidR="00A52BEC">
        <w:rPr>
          <w:rFonts w:ascii="Book Antiqua" w:hAnsi="Book Antiqua" w:cs="Arial"/>
        </w:rPr>
        <w:t>i</w:t>
      </w:r>
      <w:proofErr w:type="spellEnd"/>
      <w:r w:rsidR="00A52BEC">
        <w:rPr>
          <w:rFonts w:ascii="Book Antiqua" w:hAnsi="Book Antiqua" w:cs="Arial"/>
        </w:rPr>
        <w:t xml:space="preserve">) there appeared as asserted that where having considered para 322(1A) of the immigration rules, with reference to a  TOEIC certificate declared invalid by  ETS, and concluding that the </w:t>
      </w:r>
      <w:r w:rsidR="00B76168">
        <w:rPr>
          <w:rFonts w:ascii="Book Antiqua" w:hAnsi="Book Antiqua" w:cs="Arial"/>
        </w:rPr>
        <w:t>Respondent</w:t>
      </w:r>
      <w:r w:rsidR="00A52BEC">
        <w:rPr>
          <w:rFonts w:ascii="Book Antiqua" w:hAnsi="Book Antiqua" w:cs="Arial"/>
        </w:rPr>
        <w:t xml:space="preserve"> discharged the initial evidential burden, that in a paragraph appearing altogether brief and absent of a critical evaluation of the </w:t>
      </w:r>
      <w:r w:rsidR="00B76168">
        <w:rPr>
          <w:rFonts w:ascii="Book Antiqua" w:hAnsi="Book Antiqua" w:cs="Arial"/>
        </w:rPr>
        <w:t>Appellant</w:t>
      </w:r>
      <w:r w:rsidR="00A52BEC">
        <w:rPr>
          <w:rFonts w:ascii="Book Antiqua" w:hAnsi="Book Antiqua" w:cs="Arial"/>
        </w:rPr>
        <w:t xml:space="preserve">’s evidence, that there appeared an inadequacy of reasoning in the decision, when concluding that the </w:t>
      </w:r>
      <w:r w:rsidR="00B76168">
        <w:rPr>
          <w:rFonts w:ascii="Book Antiqua" w:hAnsi="Book Antiqua" w:cs="Arial"/>
        </w:rPr>
        <w:t>Appellant</w:t>
      </w:r>
      <w:r w:rsidR="00A52BEC">
        <w:rPr>
          <w:rFonts w:ascii="Book Antiqua" w:hAnsi="Book Antiqua" w:cs="Arial"/>
        </w:rPr>
        <w:t xml:space="preserve"> provided a plausible innocent explanation and the burden of proof not been discharged, and that the </w:t>
      </w:r>
      <w:r w:rsidR="00B76168">
        <w:rPr>
          <w:rFonts w:ascii="Book Antiqua" w:hAnsi="Book Antiqua" w:cs="Arial"/>
        </w:rPr>
        <w:t>Respondent</w:t>
      </w:r>
      <w:r w:rsidR="00A52BEC">
        <w:rPr>
          <w:rFonts w:ascii="Book Antiqua" w:hAnsi="Book Antiqua" w:cs="Arial"/>
        </w:rPr>
        <w:t xml:space="preserve"> failed to show deception are being used, and a refusal under 322(1A) had thus been lawful;</w:t>
      </w:r>
    </w:p>
    <w:p w:rsidR="00A52BEC" w:rsidRDefault="00A52BEC" w:rsidP="00167BFA">
      <w:pPr>
        <w:spacing w:before="240"/>
        <w:ind w:left="1134"/>
        <w:jc w:val="both"/>
        <w:rPr>
          <w:rFonts w:ascii="Book Antiqua" w:hAnsi="Book Antiqua" w:cs="Arial"/>
        </w:rPr>
      </w:pPr>
      <w:r>
        <w:rPr>
          <w:rFonts w:ascii="Book Antiqua" w:hAnsi="Book Antiqua" w:cs="Arial"/>
        </w:rPr>
        <w:t xml:space="preserve">(ii) though poorly articulated there appeared that upon the judge concluding that there had not been shown that the general grounds for refusal under 322(1A) applied and therefore 287(vii) also, in the absence of any indications on the part of the </w:t>
      </w:r>
      <w:r w:rsidR="00B76168">
        <w:rPr>
          <w:rFonts w:ascii="Book Antiqua" w:hAnsi="Book Antiqua" w:cs="Arial"/>
        </w:rPr>
        <w:t>Respondent</w:t>
      </w:r>
      <w:r>
        <w:rPr>
          <w:rFonts w:ascii="Book Antiqua" w:hAnsi="Book Antiqua" w:cs="Arial"/>
        </w:rPr>
        <w:t xml:space="preserve"> of concessions, that the judge allowing the appeal, at this </w:t>
      </w:r>
      <w:r>
        <w:rPr>
          <w:rFonts w:ascii="Book Antiqua" w:hAnsi="Book Antiqua" w:cs="Arial"/>
        </w:rPr>
        <w:lastRenderedPageBreak/>
        <w:t xml:space="preserve">juncture, without having regard to matters remaining under contention, with reference to </w:t>
      </w:r>
      <w:r w:rsidR="00AB7D4E">
        <w:rPr>
          <w:rFonts w:ascii="Book Antiqua" w:hAnsi="Book Antiqua" w:cs="Arial"/>
        </w:rPr>
        <w:t>Appendix</w:t>
      </w:r>
      <w:r>
        <w:rPr>
          <w:rFonts w:ascii="Book Antiqua" w:hAnsi="Book Antiqua" w:cs="Arial"/>
        </w:rPr>
        <w:t xml:space="preserve"> FM, more particularly under R-LTRP1.1 and paragraph EX1, and paragraph 276 ADE that arguably the judge fell into error;</w:t>
      </w:r>
    </w:p>
    <w:p w:rsidR="00A52BEC" w:rsidRDefault="00A52BEC" w:rsidP="00167BFA">
      <w:pPr>
        <w:spacing w:before="240"/>
        <w:ind w:left="1134"/>
        <w:jc w:val="both"/>
        <w:rPr>
          <w:rFonts w:ascii="Book Antiqua" w:hAnsi="Book Antiqua" w:cs="Arial"/>
        </w:rPr>
      </w:pPr>
      <w:r>
        <w:rPr>
          <w:rFonts w:ascii="Book Antiqua" w:hAnsi="Book Antiqua" w:cs="Arial"/>
        </w:rPr>
        <w:t xml:space="preserve">(iii) there was not considered </w:t>
      </w:r>
      <w:r w:rsidR="00B76168">
        <w:rPr>
          <w:rFonts w:ascii="Book Antiqua" w:hAnsi="Book Antiqua" w:cs="Arial"/>
        </w:rPr>
        <w:t>Article</w:t>
      </w:r>
      <w:r>
        <w:rPr>
          <w:rFonts w:ascii="Book Antiqua" w:hAnsi="Book Antiqua" w:cs="Arial"/>
        </w:rPr>
        <w:t xml:space="preserve"> 8 either, by the judge, there appearing at the compelling circumstances threshold/barrier was to the fore, and though not raising the </w:t>
      </w:r>
      <w:r w:rsidR="00B76168">
        <w:rPr>
          <w:rFonts w:ascii="Book Antiqua" w:hAnsi="Book Antiqua" w:cs="Arial"/>
        </w:rPr>
        <w:t>Respondent</w:t>
      </w:r>
      <w:r>
        <w:rPr>
          <w:rFonts w:ascii="Book Antiqua" w:hAnsi="Book Antiqua" w:cs="Arial"/>
        </w:rPr>
        <w:t xml:space="preserve">’s grounds, because St was relied upon, as a matter of simple observation that the said threshold no longer remains good law </w:t>
      </w:r>
      <w:proofErr w:type="spellStart"/>
      <w:r>
        <w:rPr>
          <w:rFonts w:ascii="Book Antiqua" w:hAnsi="Book Antiqua" w:cs="Arial"/>
        </w:rPr>
        <w:t>Agyarko</w:t>
      </w:r>
      <w:proofErr w:type="spellEnd"/>
      <w:r>
        <w:rPr>
          <w:rFonts w:ascii="Book Antiqua" w:hAnsi="Book Antiqua" w:cs="Arial"/>
        </w:rPr>
        <w:t xml:space="preserve"> and others [2017] UKSC 11.”</w:t>
      </w:r>
    </w:p>
    <w:p w:rsidR="006B6B99" w:rsidRPr="006B6B99" w:rsidRDefault="006B6B99" w:rsidP="00474549">
      <w:pPr>
        <w:spacing w:before="240"/>
        <w:ind w:left="1134"/>
        <w:jc w:val="both"/>
        <w:rPr>
          <w:rFonts w:ascii="Book Antiqua" w:hAnsi="Book Antiqua" w:cs="Arial"/>
          <w:u w:val="single"/>
        </w:rPr>
      </w:pPr>
    </w:p>
    <w:p w:rsidR="00DD15E3" w:rsidRPr="006B6B99" w:rsidRDefault="00DD15E3" w:rsidP="00DD15E3">
      <w:pPr>
        <w:spacing w:before="240"/>
        <w:jc w:val="both"/>
        <w:rPr>
          <w:rFonts w:ascii="Book Antiqua" w:hAnsi="Book Antiqua" w:cs="Arial"/>
          <w:u w:val="single"/>
        </w:rPr>
      </w:pPr>
      <w:r w:rsidRPr="006B6B99">
        <w:rPr>
          <w:rFonts w:ascii="Book Antiqua" w:hAnsi="Book Antiqua" w:cs="Arial"/>
          <w:u w:val="single"/>
        </w:rPr>
        <w:t>The hearing:</w:t>
      </w:r>
    </w:p>
    <w:p w:rsidR="00A52BEC" w:rsidRDefault="00A52BEC" w:rsidP="00A56BF1">
      <w:pPr>
        <w:numPr>
          <w:ilvl w:val="0"/>
          <w:numId w:val="3"/>
        </w:numPr>
        <w:spacing w:before="240"/>
        <w:jc w:val="both"/>
        <w:rPr>
          <w:rFonts w:ascii="Book Antiqua" w:hAnsi="Book Antiqua" w:cs="Arial"/>
        </w:rPr>
      </w:pPr>
      <w:r w:rsidRPr="00A52BEC">
        <w:rPr>
          <w:rFonts w:ascii="Book Antiqua" w:hAnsi="Book Antiqua" w:cs="Arial"/>
        </w:rPr>
        <w:t xml:space="preserve">At the hearing, Ms </w:t>
      </w:r>
      <w:proofErr w:type="spellStart"/>
      <w:r w:rsidRPr="00A52BEC">
        <w:rPr>
          <w:rFonts w:ascii="Book Antiqua" w:hAnsi="Book Antiqua" w:cs="Arial"/>
        </w:rPr>
        <w:t>Aboni</w:t>
      </w:r>
      <w:proofErr w:type="spellEnd"/>
      <w:r w:rsidR="0048196A" w:rsidRPr="00A52BEC">
        <w:rPr>
          <w:rFonts w:ascii="Book Antiqua" w:hAnsi="Book Antiqua" w:cs="Arial"/>
        </w:rPr>
        <w:t xml:space="preserve"> relied upon the grounds</w:t>
      </w:r>
      <w:r w:rsidR="0013410A" w:rsidRPr="00A52BEC">
        <w:rPr>
          <w:rFonts w:ascii="Book Antiqua" w:hAnsi="Book Antiqua" w:cs="Arial"/>
        </w:rPr>
        <w:t xml:space="preserve"> as recorded above.</w:t>
      </w:r>
      <w:r w:rsidRPr="00A52BEC">
        <w:rPr>
          <w:rFonts w:ascii="Book Antiqua" w:hAnsi="Book Antiqua" w:cs="Arial"/>
        </w:rPr>
        <w:t xml:space="preserve"> Sh</w:t>
      </w:r>
      <w:r w:rsidR="00401E46" w:rsidRPr="00A52BEC">
        <w:rPr>
          <w:rFonts w:ascii="Book Antiqua" w:hAnsi="Book Antiqua" w:cs="Arial"/>
        </w:rPr>
        <w:t xml:space="preserve">e submitted that </w:t>
      </w:r>
      <w:r w:rsidR="00474549">
        <w:rPr>
          <w:rFonts w:ascii="Book Antiqua" w:hAnsi="Book Antiqua" w:cs="Arial"/>
        </w:rPr>
        <w:t xml:space="preserve">having found that the evidential burden was satisfied, it then shifted to the </w:t>
      </w:r>
      <w:r w:rsidR="00B76168">
        <w:rPr>
          <w:rFonts w:ascii="Book Antiqua" w:hAnsi="Book Antiqua" w:cs="Arial"/>
        </w:rPr>
        <w:t>Appellant</w:t>
      </w:r>
      <w:r w:rsidR="00474549">
        <w:rPr>
          <w:rFonts w:ascii="Book Antiqua" w:hAnsi="Book Antiqua" w:cs="Arial"/>
        </w:rPr>
        <w:t xml:space="preserve"> to provide an innocent explanation. She submitted that the judge had failed to give adequate consideration and reasons</w:t>
      </w:r>
      <w:r w:rsidR="002A3836">
        <w:rPr>
          <w:rFonts w:ascii="Book Antiqua" w:hAnsi="Book Antiqua" w:cs="Arial"/>
        </w:rPr>
        <w:t xml:space="preserve"> for</w:t>
      </w:r>
      <w:r w:rsidR="00474549">
        <w:rPr>
          <w:rFonts w:ascii="Book Antiqua" w:hAnsi="Book Antiqua" w:cs="Arial"/>
        </w:rPr>
        <w:t xml:space="preserve"> this</w:t>
      </w:r>
      <w:r w:rsidR="00B2690A">
        <w:rPr>
          <w:rFonts w:ascii="Book Antiqua" w:hAnsi="Book Antiqua" w:cs="Arial"/>
        </w:rPr>
        <w:t>. She also submitted that there were no adequate reasoning or findings given at paragraph 15.</w:t>
      </w:r>
      <w:r w:rsidR="00187386" w:rsidRPr="00A52BEC">
        <w:rPr>
          <w:rFonts w:ascii="Book Antiqua" w:hAnsi="Book Antiqua" w:cs="Arial"/>
        </w:rPr>
        <w:t xml:space="preserve"> </w:t>
      </w:r>
    </w:p>
    <w:p w:rsidR="00B2690A" w:rsidRDefault="00A52BEC" w:rsidP="00A56BF1">
      <w:pPr>
        <w:numPr>
          <w:ilvl w:val="0"/>
          <w:numId w:val="3"/>
        </w:numPr>
        <w:spacing w:before="240"/>
        <w:jc w:val="both"/>
        <w:rPr>
          <w:rFonts w:ascii="Book Antiqua" w:hAnsi="Book Antiqua" w:cs="Arial"/>
        </w:rPr>
      </w:pPr>
      <w:r>
        <w:rPr>
          <w:rFonts w:ascii="Book Antiqua" w:hAnsi="Book Antiqua" w:cs="Arial"/>
        </w:rPr>
        <w:t>Sh</w:t>
      </w:r>
      <w:r w:rsidR="00187386" w:rsidRPr="00A52BEC">
        <w:rPr>
          <w:rFonts w:ascii="Book Antiqua" w:hAnsi="Book Antiqua" w:cs="Arial"/>
        </w:rPr>
        <w:t xml:space="preserve">e further submitted that as paragraph 4 of the grounds set out, the judge </w:t>
      </w:r>
      <w:proofErr w:type="gramStart"/>
      <w:r w:rsidR="00187386" w:rsidRPr="00A52BEC">
        <w:rPr>
          <w:rFonts w:ascii="Book Antiqua" w:hAnsi="Book Antiqua" w:cs="Arial"/>
        </w:rPr>
        <w:t>made reference</w:t>
      </w:r>
      <w:proofErr w:type="gramEnd"/>
      <w:r w:rsidR="00187386" w:rsidRPr="00A52BEC">
        <w:rPr>
          <w:rFonts w:ascii="Book Antiqua" w:hAnsi="Book Antiqua" w:cs="Arial"/>
        </w:rPr>
        <w:t xml:space="preserve"> to the </w:t>
      </w:r>
      <w:r w:rsidR="00B76168">
        <w:rPr>
          <w:rFonts w:ascii="Book Antiqua" w:hAnsi="Book Antiqua" w:cs="Arial"/>
        </w:rPr>
        <w:t>Appellant</w:t>
      </w:r>
      <w:r w:rsidR="00187386" w:rsidRPr="00A52BEC">
        <w:rPr>
          <w:rFonts w:ascii="Book Antiqua" w:hAnsi="Book Antiqua" w:cs="Arial"/>
        </w:rPr>
        <w:t xml:space="preserve">’s ability to speak English but did not consider why he would have cheated </w:t>
      </w:r>
      <w:r w:rsidR="004E27B6" w:rsidRPr="00A52BEC">
        <w:rPr>
          <w:rFonts w:ascii="Book Antiqua" w:hAnsi="Book Antiqua" w:cs="Arial"/>
        </w:rPr>
        <w:t>(see</w:t>
      </w:r>
      <w:r w:rsidR="00187386" w:rsidRPr="00A52BEC">
        <w:rPr>
          <w:rFonts w:ascii="Book Antiqua" w:hAnsi="Book Antiqua" w:cs="Arial"/>
        </w:rPr>
        <w:t xml:space="preserve"> MA at paragraph 57 as cited in the grounds</w:t>
      </w:r>
      <w:r w:rsidR="0013410A" w:rsidRPr="00A52BEC">
        <w:rPr>
          <w:rFonts w:ascii="Book Antiqua" w:hAnsi="Book Antiqua" w:cs="Arial"/>
        </w:rPr>
        <w:t>)</w:t>
      </w:r>
      <w:r w:rsidR="00187386" w:rsidRPr="00A52BEC">
        <w:rPr>
          <w:rFonts w:ascii="Book Antiqua" w:hAnsi="Book Antiqua" w:cs="Arial"/>
        </w:rPr>
        <w:t>.</w:t>
      </w:r>
      <w:r w:rsidR="00B2690A">
        <w:rPr>
          <w:rFonts w:ascii="Book Antiqua" w:hAnsi="Book Antiqua" w:cs="Arial"/>
        </w:rPr>
        <w:t xml:space="preserve"> In this context she submitted that the judge failed to weigh up the relevant evidence and simply accepted that the </w:t>
      </w:r>
      <w:r w:rsidR="00B76168">
        <w:rPr>
          <w:rFonts w:ascii="Book Antiqua" w:hAnsi="Book Antiqua" w:cs="Arial"/>
        </w:rPr>
        <w:t>Appellant</w:t>
      </w:r>
      <w:r w:rsidR="00B2690A">
        <w:rPr>
          <w:rFonts w:ascii="Book Antiqua" w:hAnsi="Book Antiqua" w:cs="Arial"/>
        </w:rPr>
        <w:t xml:space="preserve"> had a sufficient level of English.</w:t>
      </w:r>
    </w:p>
    <w:p w:rsidR="00B2690A" w:rsidRPr="00B2690A" w:rsidRDefault="00B2690A" w:rsidP="00A56BF1">
      <w:pPr>
        <w:numPr>
          <w:ilvl w:val="0"/>
          <w:numId w:val="3"/>
        </w:numPr>
        <w:spacing w:before="240"/>
        <w:jc w:val="both"/>
        <w:rPr>
          <w:rFonts w:ascii="Book Antiqua" w:hAnsi="Book Antiqua" w:cs="Arial"/>
        </w:rPr>
      </w:pPr>
      <w:r>
        <w:rPr>
          <w:rFonts w:ascii="Book Antiqua" w:hAnsi="Book Antiqua" w:cs="Arial"/>
        </w:rPr>
        <w:t xml:space="preserve">In addition, she submitted that even if the </w:t>
      </w:r>
      <w:r w:rsidR="00B76168">
        <w:rPr>
          <w:rFonts w:ascii="Book Antiqua" w:hAnsi="Book Antiqua" w:cs="Arial"/>
        </w:rPr>
        <w:t>Tribunal</w:t>
      </w:r>
      <w:r>
        <w:rPr>
          <w:rFonts w:ascii="Book Antiqua" w:hAnsi="Book Antiqua" w:cs="Arial"/>
        </w:rPr>
        <w:t xml:space="preserve"> found that the findings made by the judge on the issue of deception were open to the judge to make on the evidence, the judge failed to consider the substance of the immigration rules relating to </w:t>
      </w:r>
      <w:r w:rsidR="00B76168">
        <w:rPr>
          <w:rFonts w:ascii="Book Antiqua" w:hAnsi="Book Antiqua" w:cs="Arial"/>
        </w:rPr>
        <w:t>Article</w:t>
      </w:r>
      <w:r>
        <w:rPr>
          <w:rFonts w:ascii="Book Antiqua" w:hAnsi="Book Antiqua" w:cs="Arial"/>
        </w:rPr>
        <w:t xml:space="preserve"> 8 and is also failed to go on to consider </w:t>
      </w:r>
      <w:r w:rsidR="00B76168">
        <w:rPr>
          <w:rFonts w:ascii="Book Antiqua" w:hAnsi="Book Antiqua" w:cs="Arial"/>
        </w:rPr>
        <w:t>Article</w:t>
      </w:r>
      <w:r>
        <w:rPr>
          <w:rFonts w:ascii="Book Antiqua" w:hAnsi="Book Antiqua" w:cs="Arial"/>
        </w:rPr>
        <w:t xml:space="preserve"> 8 outside of the rules. She submitted that this was considered to be </w:t>
      </w:r>
      <w:proofErr w:type="gramStart"/>
      <w:r>
        <w:rPr>
          <w:rFonts w:ascii="Book Antiqua" w:hAnsi="Book Antiqua" w:cs="Arial"/>
        </w:rPr>
        <w:t>a human rights</w:t>
      </w:r>
      <w:proofErr w:type="gramEnd"/>
      <w:r>
        <w:rPr>
          <w:rFonts w:ascii="Book Antiqua" w:hAnsi="Book Antiqua" w:cs="Arial"/>
        </w:rPr>
        <w:t xml:space="preserve"> claim therefore the judge should have considered </w:t>
      </w:r>
      <w:r w:rsidR="00B76168">
        <w:rPr>
          <w:rFonts w:ascii="Book Antiqua" w:hAnsi="Book Antiqua" w:cs="Arial"/>
        </w:rPr>
        <w:t>Article</w:t>
      </w:r>
      <w:r>
        <w:rPr>
          <w:rFonts w:ascii="Book Antiqua" w:hAnsi="Book Antiqua" w:cs="Arial"/>
        </w:rPr>
        <w:t xml:space="preserve"> 8 through the prism of the Rules and should not just found that the rules were met.</w:t>
      </w:r>
    </w:p>
    <w:p w:rsidR="00B2690A" w:rsidRDefault="0048196A" w:rsidP="00A56BF1">
      <w:pPr>
        <w:numPr>
          <w:ilvl w:val="0"/>
          <w:numId w:val="3"/>
        </w:numPr>
        <w:spacing w:before="240"/>
        <w:jc w:val="both"/>
        <w:rPr>
          <w:rFonts w:ascii="Book Antiqua" w:hAnsi="Book Antiqua" w:cs="Arial"/>
        </w:rPr>
      </w:pPr>
      <w:r w:rsidRPr="00DC27ED">
        <w:rPr>
          <w:rFonts w:ascii="Book Antiqua" w:hAnsi="Book Antiqua" w:cs="Arial"/>
        </w:rPr>
        <w:t>M</w:t>
      </w:r>
      <w:r w:rsidR="00187386">
        <w:rPr>
          <w:rFonts w:ascii="Book Antiqua" w:hAnsi="Book Antiqua" w:cs="Arial"/>
        </w:rPr>
        <w:t>r</w:t>
      </w:r>
      <w:r w:rsidR="00A52BEC">
        <w:rPr>
          <w:rFonts w:ascii="Book Antiqua" w:hAnsi="Book Antiqua" w:cs="Arial"/>
        </w:rPr>
        <w:t xml:space="preserve"> Yusuf relied upon his skeleton argument. </w:t>
      </w:r>
      <w:r w:rsidR="00B2690A">
        <w:rPr>
          <w:rFonts w:ascii="Book Antiqua" w:hAnsi="Book Antiqua" w:cs="Arial"/>
        </w:rPr>
        <w:t xml:space="preserve">In his oral submissions he stated that the judge had </w:t>
      </w:r>
      <w:proofErr w:type="gramStart"/>
      <w:r w:rsidR="00B2690A">
        <w:rPr>
          <w:rFonts w:ascii="Book Antiqua" w:hAnsi="Book Antiqua" w:cs="Arial"/>
        </w:rPr>
        <w:t>taken into account</w:t>
      </w:r>
      <w:proofErr w:type="gramEnd"/>
      <w:r w:rsidR="00B2690A">
        <w:rPr>
          <w:rFonts w:ascii="Book Antiqua" w:hAnsi="Book Antiqua" w:cs="Arial"/>
        </w:rPr>
        <w:t xml:space="preserve"> the </w:t>
      </w:r>
      <w:r w:rsidR="00B76168">
        <w:rPr>
          <w:rFonts w:ascii="Book Antiqua" w:hAnsi="Book Antiqua" w:cs="Arial"/>
        </w:rPr>
        <w:t>Appellant</w:t>
      </w:r>
      <w:r w:rsidR="00B2690A">
        <w:rPr>
          <w:rFonts w:ascii="Book Antiqua" w:hAnsi="Book Antiqua" w:cs="Arial"/>
        </w:rPr>
        <w:t xml:space="preserve">’s English language ability but not at the hearing itself but by reference to his past English ability in 2011 (the Trinity College certificate) and having been enrolled on the HND course which was a bridging course to degree level. He submitted that the </w:t>
      </w:r>
      <w:r w:rsidR="00B76168">
        <w:rPr>
          <w:rFonts w:ascii="Book Antiqua" w:hAnsi="Book Antiqua" w:cs="Arial"/>
        </w:rPr>
        <w:t>Appellant</w:t>
      </w:r>
      <w:r w:rsidR="00B2690A">
        <w:rPr>
          <w:rFonts w:ascii="Book Antiqua" w:hAnsi="Book Antiqua" w:cs="Arial"/>
        </w:rPr>
        <w:t xml:space="preserve"> had provided evidence before the judge as to what he could remember about the test in 2011 which was a long time ago.</w:t>
      </w:r>
    </w:p>
    <w:p w:rsidR="00B2690A" w:rsidRDefault="00B2690A" w:rsidP="00A56BF1">
      <w:pPr>
        <w:numPr>
          <w:ilvl w:val="0"/>
          <w:numId w:val="3"/>
        </w:numPr>
        <w:spacing w:before="240"/>
        <w:jc w:val="both"/>
        <w:rPr>
          <w:rFonts w:ascii="Book Antiqua" w:hAnsi="Book Antiqua" w:cs="Arial"/>
        </w:rPr>
      </w:pPr>
      <w:r>
        <w:rPr>
          <w:rFonts w:ascii="Book Antiqua" w:hAnsi="Book Antiqua" w:cs="Arial"/>
        </w:rPr>
        <w:t xml:space="preserve">He </w:t>
      </w:r>
      <w:proofErr w:type="gramStart"/>
      <w:r>
        <w:rPr>
          <w:rFonts w:ascii="Book Antiqua" w:hAnsi="Book Antiqua" w:cs="Arial"/>
        </w:rPr>
        <w:t>made reference</w:t>
      </w:r>
      <w:proofErr w:type="gramEnd"/>
      <w:r>
        <w:rPr>
          <w:rFonts w:ascii="Book Antiqua" w:hAnsi="Book Antiqua" w:cs="Arial"/>
        </w:rPr>
        <w:t xml:space="preserve"> to paragraph 9 of the judge’s determination which is reference to a letter dated 6 February 2017 which was asking for documentary evidence which had not been received. He conceded that there had been no request made in the grounds for the recordings of further evidence but there had been a letter of 6 February which had asked for further proof in relation to the allegation of deception and would have asked for audio evidence.</w:t>
      </w:r>
    </w:p>
    <w:p w:rsidR="003638B3" w:rsidRDefault="00B2690A" w:rsidP="00A56BF1">
      <w:pPr>
        <w:numPr>
          <w:ilvl w:val="0"/>
          <w:numId w:val="3"/>
        </w:numPr>
        <w:spacing w:before="240"/>
        <w:jc w:val="both"/>
        <w:rPr>
          <w:rFonts w:ascii="Book Antiqua" w:hAnsi="Book Antiqua" w:cs="Arial"/>
        </w:rPr>
      </w:pPr>
      <w:r>
        <w:rPr>
          <w:rFonts w:ascii="Book Antiqua" w:hAnsi="Book Antiqua" w:cs="Arial"/>
        </w:rPr>
        <w:lastRenderedPageBreak/>
        <w:t xml:space="preserve">He submitted that the only evidence provided was generic and that the report of Prof French was equally generic did not specifically </w:t>
      </w:r>
      <w:proofErr w:type="gramStart"/>
      <w:r>
        <w:rPr>
          <w:rFonts w:ascii="Book Antiqua" w:hAnsi="Book Antiqua" w:cs="Arial"/>
        </w:rPr>
        <w:t>make reference</w:t>
      </w:r>
      <w:proofErr w:type="gramEnd"/>
      <w:r>
        <w:rPr>
          <w:rFonts w:ascii="Book Antiqua" w:hAnsi="Book Antiqua" w:cs="Arial"/>
        </w:rPr>
        <w:t xml:space="preserve"> to this particular </w:t>
      </w:r>
      <w:r w:rsidR="00B76168">
        <w:rPr>
          <w:rFonts w:ascii="Book Antiqua" w:hAnsi="Book Antiqua" w:cs="Arial"/>
        </w:rPr>
        <w:t>Appellant</w:t>
      </w:r>
      <w:r>
        <w:rPr>
          <w:rFonts w:ascii="Book Antiqua" w:hAnsi="Book Antiqua" w:cs="Arial"/>
        </w:rPr>
        <w:t>.</w:t>
      </w:r>
    </w:p>
    <w:p w:rsidR="00B2690A" w:rsidRDefault="00B2690A" w:rsidP="00A56BF1">
      <w:pPr>
        <w:numPr>
          <w:ilvl w:val="0"/>
          <w:numId w:val="3"/>
        </w:numPr>
        <w:spacing w:before="240"/>
        <w:jc w:val="both"/>
        <w:rPr>
          <w:rFonts w:ascii="Book Antiqua" w:hAnsi="Book Antiqua" w:cs="Arial"/>
        </w:rPr>
      </w:pPr>
      <w:r>
        <w:rPr>
          <w:rFonts w:ascii="Book Antiqua" w:hAnsi="Book Antiqua" w:cs="Arial"/>
        </w:rPr>
        <w:t>In relation to the alternative grounds relied upon by the Secretary of State (</w:t>
      </w:r>
      <w:r w:rsidR="00B76168">
        <w:rPr>
          <w:rFonts w:ascii="Book Antiqua" w:hAnsi="Book Antiqua" w:cs="Arial"/>
        </w:rPr>
        <w:t>Article</w:t>
      </w:r>
      <w:r>
        <w:rPr>
          <w:rFonts w:ascii="Book Antiqua" w:hAnsi="Book Antiqua" w:cs="Arial"/>
        </w:rPr>
        <w:t xml:space="preserve"> 8), he submitted that the judge did not need to consider whether there were insurmountable obstacles because he had met the</w:t>
      </w:r>
      <w:r w:rsidR="009577CA">
        <w:rPr>
          <w:rFonts w:ascii="Book Antiqua" w:hAnsi="Book Antiqua" w:cs="Arial"/>
        </w:rPr>
        <w:t xml:space="preserve"> substance of the Immigration R</w:t>
      </w:r>
      <w:r>
        <w:rPr>
          <w:rFonts w:ascii="Book Antiqua" w:hAnsi="Book Antiqua" w:cs="Arial"/>
        </w:rPr>
        <w:t xml:space="preserve">ules. </w:t>
      </w:r>
      <w:proofErr w:type="gramStart"/>
      <w:r>
        <w:rPr>
          <w:rFonts w:ascii="Book Antiqua" w:hAnsi="Book Antiqua" w:cs="Arial"/>
        </w:rPr>
        <w:t>Thus</w:t>
      </w:r>
      <w:proofErr w:type="gramEnd"/>
      <w:r>
        <w:rPr>
          <w:rFonts w:ascii="Book Antiqua" w:hAnsi="Book Antiqua" w:cs="Arial"/>
        </w:rPr>
        <w:t xml:space="preserve"> he submitted in the light of the judge finding that the </w:t>
      </w:r>
      <w:r w:rsidR="00B76168">
        <w:rPr>
          <w:rFonts w:ascii="Book Antiqua" w:hAnsi="Book Antiqua" w:cs="Arial"/>
        </w:rPr>
        <w:t>Appellant</w:t>
      </w:r>
      <w:r>
        <w:rPr>
          <w:rFonts w:ascii="Book Antiqua" w:hAnsi="Book Antiqua" w:cs="Arial"/>
        </w:rPr>
        <w:t xml:space="preserve"> had not used a fraudulent certificate to obtain his last period of leave, there was no requirement for the judge to consider </w:t>
      </w:r>
      <w:r w:rsidR="00B76168">
        <w:rPr>
          <w:rFonts w:ascii="Book Antiqua" w:hAnsi="Book Antiqua" w:cs="Arial"/>
        </w:rPr>
        <w:t>Article</w:t>
      </w:r>
      <w:r>
        <w:rPr>
          <w:rFonts w:ascii="Book Antiqua" w:hAnsi="Book Antiqua" w:cs="Arial"/>
        </w:rPr>
        <w:t xml:space="preserve"> 8 under the rules. </w:t>
      </w:r>
      <w:proofErr w:type="gramStart"/>
      <w:r>
        <w:rPr>
          <w:rFonts w:ascii="Book Antiqua" w:hAnsi="Book Antiqua" w:cs="Arial"/>
        </w:rPr>
        <w:t>Thus</w:t>
      </w:r>
      <w:proofErr w:type="gramEnd"/>
      <w:r>
        <w:rPr>
          <w:rFonts w:ascii="Book Antiqua" w:hAnsi="Book Antiqua" w:cs="Arial"/>
        </w:rPr>
        <w:t xml:space="preserve"> he submitted </w:t>
      </w:r>
      <w:r w:rsidR="00B76168">
        <w:rPr>
          <w:rFonts w:ascii="Book Antiqua" w:hAnsi="Book Antiqua" w:cs="Arial"/>
        </w:rPr>
        <w:t>Article</w:t>
      </w:r>
      <w:r>
        <w:rPr>
          <w:rFonts w:ascii="Book Antiqua" w:hAnsi="Book Antiqua" w:cs="Arial"/>
        </w:rPr>
        <w:t xml:space="preserve"> 8 was not an issue because it applied under the immigration rules and had provided an English-language certificate and has met the financial threshold).</w:t>
      </w:r>
    </w:p>
    <w:p w:rsidR="00B2690A" w:rsidRDefault="00B2690A" w:rsidP="00A56BF1">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Aboni</w:t>
      </w:r>
      <w:proofErr w:type="spellEnd"/>
      <w:r>
        <w:rPr>
          <w:rFonts w:ascii="Book Antiqua" w:hAnsi="Book Antiqua" w:cs="Arial"/>
        </w:rPr>
        <w:t xml:space="preserve"> by way of reply did not accept that deception was the only ground for refusing the application. She submitted that there were other grounds for refusing the application. In this context she referred to EX1 under </w:t>
      </w:r>
      <w:r w:rsidR="00AB7D4E">
        <w:rPr>
          <w:rFonts w:ascii="Book Antiqua" w:hAnsi="Book Antiqua" w:cs="Arial"/>
        </w:rPr>
        <w:t>Appendix</w:t>
      </w:r>
      <w:r>
        <w:rPr>
          <w:rFonts w:ascii="Book Antiqua" w:hAnsi="Book Antiqua" w:cs="Arial"/>
        </w:rPr>
        <w:t xml:space="preserve"> FM and the issue of insurmountable obstacles. The she submitted that these were issues that should have been considered by the judge. Even if the judge had found no deception, </w:t>
      </w:r>
      <w:r w:rsidR="00B76168">
        <w:rPr>
          <w:rFonts w:ascii="Book Antiqua" w:hAnsi="Book Antiqua" w:cs="Arial"/>
        </w:rPr>
        <w:t>Article</w:t>
      </w:r>
      <w:r>
        <w:rPr>
          <w:rFonts w:ascii="Book Antiqua" w:hAnsi="Book Antiqua" w:cs="Arial"/>
        </w:rPr>
        <w:t xml:space="preserve"> 8 needed to be considered and the judge failed to make findings in this respect.</w:t>
      </w:r>
    </w:p>
    <w:p w:rsidR="00B2690A" w:rsidRDefault="00B2690A" w:rsidP="00A56BF1">
      <w:pPr>
        <w:numPr>
          <w:ilvl w:val="0"/>
          <w:numId w:val="3"/>
        </w:numPr>
        <w:spacing w:before="240"/>
        <w:jc w:val="both"/>
        <w:rPr>
          <w:rFonts w:ascii="Book Antiqua" w:hAnsi="Book Antiqua" w:cs="Arial"/>
        </w:rPr>
      </w:pPr>
      <w:r>
        <w:rPr>
          <w:rFonts w:ascii="Book Antiqua" w:hAnsi="Book Antiqua" w:cs="Arial"/>
        </w:rPr>
        <w:t xml:space="preserve">During their submissions I asked the parties if they had given any consideration to the decision letter in the context of any of the transitional provisions. Neither advocate </w:t>
      </w:r>
      <w:proofErr w:type="gramStart"/>
      <w:r>
        <w:rPr>
          <w:rFonts w:ascii="Book Antiqua" w:hAnsi="Book Antiqua" w:cs="Arial"/>
        </w:rPr>
        <w:t>were</w:t>
      </w:r>
      <w:proofErr w:type="gramEnd"/>
      <w:r>
        <w:rPr>
          <w:rFonts w:ascii="Book Antiqua" w:hAnsi="Book Antiqua" w:cs="Arial"/>
        </w:rPr>
        <w:t xml:space="preserve"> able to provide submissions about the relevant transitional provisions although it was plain from their respective submissions that they did not agree as to how the judge should have approached this appeal in law.</w:t>
      </w:r>
    </w:p>
    <w:p w:rsidR="000C75D0" w:rsidRPr="00B2690A" w:rsidRDefault="00B2690A" w:rsidP="00A56BF1">
      <w:pPr>
        <w:numPr>
          <w:ilvl w:val="0"/>
          <w:numId w:val="3"/>
        </w:numPr>
        <w:spacing w:before="240"/>
        <w:jc w:val="both"/>
        <w:rPr>
          <w:rFonts w:ascii="Book Antiqua" w:hAnsi="Book Antiqua" w:cs="Arial"/>
        </w:rPr>
      </w:pPr>
      <w:proofErr w:type="gramStart"/>
      <w:r>
        <w:rPr>
          <w:rFonts w:ascii="Book Antiqua" w:hAnsi="Book Antiqua" w:cs="Arial"/>
        </w:rPr>
        <w:t>At the conclusion of</w:t>
      </w:r>
      <w:proofErr w:type="gramEnd"/>
      <w:r>
        <w:rPr>
          <w:rFonts w:ascii="Book Antiqua" w:hAnsi="Book Antiqua" w:cs="Arial"/>
        </w:rPr>
        <w:t xml:space="preserve"> the hearing I reserved my decision</w:t>
      </w:r>
    </w:p>
    <w:p w:rsidR="00DD63CA" w:rsidRPr="00A56BF1" w:rsidRDefault="00B2690A" w:rsidP="00F12D57">
      <w:pPr>
        <w:spacing w:before="240"/>
        <w:ind w:left="567"/>
        <w:jc w:val="both"/>
        <w:rPr>
          <w:rFonts w:ascii="Book Antiqua" w:hAnsi="Book Antiqua" w:cs="Arial"/>
          <w:b/>
          <w:u w:val="single"/>
        </w:rPr>
      </w:pPr>
      <w:r w:rsidRPr="00A56BF1">
        <w:rPr>
          <w:rFonts w:ascii="Book Antiqua" w:hAnsi="Book Antiqua" w:cs="Arial"/>
          <w:b/>
          <w:u w:val="single"/>
        </w:rPr>
        <w:t>Decision on error of law</w:t>
      </w:r>
      <w:r w:rsidR="00DD63CA" w:rsidRPr="00A56BF1">
        <w:rPr>
          <w:rFonts w:ascii="Book Antiqua" w:hAnsi="Book Antiqua" w:cs="Arial"/>
          <w:b/>
          <w:u w:val="single"/>
        </w:rPr>
        <w:t>:</w:t>
      </w:r>
    </w:p>
    <w:p w:rsidR="000C75D0" w:rsidRPr="00DC27ED" w:rsidRDefault="000C75D0" w:rsidP="00F12D57">
      <w:pPr>
        <w:spacing w:before="240"/>
        <w:ind w:left="567"/>
        <w:jc w:val="both"/>
        <w:rPr>
          <w:rFonts w:ascii="Book Antiqua" w:hAnsi="Book Antiqua" w:cs="Arial"/>
          <w:u w:val="single"/>
        </w:rPr>
      </w:pPr>
    </w:p>
    <w:p w:rsidR="003638B3" w:rsidRPr="00DC27ED" w:rsidRDefault="003638B3" w:rsidP="00A56BF1">
      <w:pPr>
        <w:numPr>
          <w:ilvl w:val="0"/>
          <w:numId w:val="3"/>
        </w:numPr>
        <w:rPr>
          <w:rFonts w:ascii="Book Antiqua" w:hAnsi="Book Antiqua"/>
        </w:rPr>
      </w:pPr>
      <w:r w:rsidRPr="00DC27ED">
        <w:rPr>
          <w:rFonts w:ascii="Book Antiqua" w:hAnsi="Book Antiqua" w:cs="Arial"/>
        </w:rPr>
        <w:t xml:space="preserve">There is no dispute between the parties of the correct approach that should be taken in cases involving the issue of deception. </w:t>
      </w:r>
      <w:r w:rsidRPr="00DC27ED">
        <w:rPr>
          <w:rFonts w:ascii="Book Antiqua" w:hAnsi="Book Antiqua"/>
        </w:rPr>
        <w:t xml:space="preserve"> The key decisions relevant to determining whether the </w:t>
      </w:r>
      <w:r w:rsidR="00B76168">
        <w:rPr>
          <w:rFonts w:ascii="Book Antiqua" w:hAnsi="Book Antiqua"/>
        </w:rPr>
        <w:t>Appellant</w:t>
      </w:r>
      <w:r w:rsidRPr="00DC27ED">
        <w:rPr>
          <w:rFonts w:ascii="Book Antiqua" w:hAnsi="Book Antiqua"/>
        </w:rPr>
        <w:t xml:space="preserve"> has used deception in this context are </w:t>
      </w:r>
      <w:r w:rsidRPr="00DC27ED">
        <w:rPr>
          <w:rFonts w:ascii="Book Antiqua" w:hAnsi="Book Antiqua"/>
          <w:u w:val="single"/>
        </w:rPr>
        <w:t xml:space="preserve">SM &amp; </w:t>
      </w:r>
      <w:proofErr w:type="spellStart"/>
      <w:r w:rsidRPr="00DC27ED">
        <w:rPr>
          <w:rFonts w:ascii="Book Antiqua" w:hAnsi="Book Antiqua"/>
          <w:u w:val="single"/>
        </w:rPr>
        <w:t>Qadir</w:t>
      </w:r>
      <w:proofErr w:type="spellEnd"/>
      <w:r w:rsidRPr="00DC27ED">
        <w:rPr>
          <w:rFonts w:ascii="Book Antiqua" w:hAnsi="Book Antiqua"/>
          <w:u w:val="single"/>
        </w:rPr>
        <w:t xml:space="preserve"> (ETS -Evidence - Burden of Proof)</w:t>
      </w:r>
      <w:r w:rsidRPr="00DC27ED">
        <w:rPr>
          <w:rFonts w:ascii="Book Antiqua" w:hAnsi="Book Antiqua"/>
        </w:rPr>
        <w:t xml:space="preserve"> [2016</w:t>
      </w:r>
      <w:r w:rsidR="00A24A81">
        <w:rPr>
          <w:rFonts w:ascii="Book Antiqua" w:hAnsi="Book Antiqua"/>
        </w:rPr>
        <w:t>]</w:t>
      </w:r>
      <w:r w:rsidRPr="00DC27ED">
        <w:rPr>
          <w:rFonts w:ascii="Book Antiqua" w:hAnsi="Book Antiqua"/>
        </w:rPr>
        <w:t xml:space="preserve"> UKUT 229 and </w:t>
      </w:r>
      <w:r w:rsidRPr="00DC27ED">
        <w:rPr>
          <w:rFonts w:ascii="Book Antiqua" w:hAnsi="Book Antiqua"/>
          <w:u w:val="single"/>
        </w:rPr>
        <w:t xml:space="preserve">Sharif Ahmed </w:t>
      </w:r>
      <w:proofErr w:type="spellStart"/>
      <w:r w:rsidRPr="00DC27ED">
        <w:rPr>
          <w:rFonts w:ascii="Book Antiqua" w:hAnsi="Book Antiqua"/>
          <w:u w:val="single"/>
        </w:rPr>
        <w:t>Majumder</w:t>
      </w:r>
      <w:proofErr w:type="spellEnd"/>
      <w:r w:rsidRPr="00DC27ED">
        <w:rPr>
          <w:rFonts w:ascii="Book Antiqua" w:hAnsi="Book Antiqua"/>
          <w:u w:val="single"/>
        </w:rPr>
        <w:t xml:space="preserve"> and Ihsan </w:t>
      </w:r>
      <w:proofErr w:type="spellStart"/>
      <w:r w:rsidRPr="00DC27ED">
        <w:rPr>
          <w:rFonts w:ascii="Book Antiqua" w:hAnsi="Book Antiqua"/>
          <w:u w:val="single"/>
        </w:rPr>
        <w:t>Qadir</w:t>
      </w:r>
      <w:proofErr w:type="spellEnd"/>
      <w:r w:rsidRPr="00DC27ED">
        <w:rPr>
          <w:rFonts w:ascii="Book Antiqua" w:hAnsi="Book Antiqua"/>
          <w:u w:val="single"/>
        </w:rPr>
        <w:t xml:space="preserve"> v Secretary of State for the Home Department</w:t>
      </w:r>
      <w:r w:rsidRPr="00DC27ED">
        <w:rPr>
          <w:rFonts w:ascii="Book Antiqua" w:hAnsi="Book Antiqua"/>
        </w:rPr>
        <w:t xml:space="preserve"> [2016] EWCA </w:t>
      </w:r>
      <w:proofErr w:type="spellStart"/>
      <w:r w:rsidRPr="00DC27ED">
        <w:rPr>
          <w:rFonts w:ascii="Book Antiqua" w:hAnsi="Book Antiqua"/>
        </w:rPr>
        <w:t>Civ</w:t>
      </w:r>
      <w:proofErr w:type="spellEnd"/>
      <w:r w:rsidRPr="00DC27ED">
        <w:rPr>
          <w:rFonts w:ascii="Book Antiqua" w:hAnsi="Book Antiqua"/>
        </w:rPr>
        <w:t xml:space="preserve"> 1167. The </w:t>
      </w:r>
      <w:r w:rsidR="00B76168">
        <w:rPr>
          <w:rFonts w:ascii="Book Antiqua" w:hAnsi="Book Antiqua"/>
        </w:rPr>
        <w:t>Respondent</w:t>
      </w:r>
      <w:r w:rsidRPr="00DC27ED">
        <w:rPr>
          <w:rFonts w:ascii="Book Antiqua" w:hAnsi="Book Antiqua"/>
        </w:rPr>
        <w:t xml:space="preserve">'s evidence in </w:t>
      </w:r>
      <w:r w:rsidR="000C5D78" w:rsidRPr="00DC27ED">
        <w:rPr>
          <w:rFonts w:ascii="Book Antiqua" w:hAnsi="Book Antiqua"/>
          <w:u w:val="single"/>
        </w:rPr>
        <w:t xml:space="preserve">SM </w:t>
      </w:r>
      <w:r w:rsidR="004E27B6" w:rsidRPr="00DC27ED">
        <w:rPr>
          <w:rFonts w:ascii="Book Antiqua" w:hAnsi="Book Antiqua"/>
          <w:u w:val="single"/>
        </w:rPr>
        <w:t xml:space="preserve">and </w:t>
      </w:r>
      <w:proofErr w:type="spellStart"/>
      <w:r w:rsidR="004E27B6" w:rsidRPr="00DC27ED">
        <w:rPr>
          <w:rFonts w:ascii="Book Antiqua" w:hAnsi="Book Antiqua"/>
          <w:u w:val="single"/>
        </w:rPr>
        <w:t>Qadir</w:t>
      </w:r>
      <w:proofErr w:type="spellEnd"/>
      <w:r w:rsidRPr="00DC27ED">
        <w:rPr>
          <w:rFonts w:ascii="Book Antiqua" w:hAnsi="Book Antiqua"/>
        </w:rPr>
        <w:t xml:space="preserve"> was found by the Upper </w:t>
      </w:r>
      <w:r w:rsidR="00B76168">
        <w:rPr>
          <w:rFonts w:ascii="Book Antiqua" w:hAnsi="Book Antiqua"/>
        </w:rPr>
        <w:t>Tribunal</w:t>
      </w:r>
      <w:r w:rsidRPr="00DC27ED">
        <w:rPr>
          <w:rFonts w:ascii="Book Antiqua" w:hAnsi="Book Antiqua"/>
        </w:rPr>
        <w:t xml:space="preserve"> to suffice to meet, albeit by a narrow margin, the initial evidential burden of showing deception. The burden then shifted to the </w:t>
      </w:r>
      <w:r w:rsidR="00B76168">
        <w:rPr>
          <w:rFonts w:ascii="Book Antiqua" w:hAnsi="Book Antiqua"/>
        </w:rPr>
        <w:t>Appellant</w:t>
      </w:r>
      <w:r w:rsidRPr="00DC27ED">
        <w:rPr>
          <w:rFonts w:ascii="Book Antiqua" w:hAnsi="Book Antiqua"/>
        </w:rPr>
        <w:t xml:space="preserve">s to raise an innocent explanation. In the cases of Mr </w:t>
      </w:r>
      <w:proofErr w:type="spellStart"/>
      <w:r w:rsidRPr="00DC27ED">
        <w:rPr>
          <w:rFonts w:ascii="Book Antiqua" w:hAnsi="Book Antiqua"/>
        </w:rPr>
        <w:t>Majumder</w:t>
      </w:r>
      <w:proofErr w:type="spellEnd"/>
      <w:r w:rsidRPr="00DC27ED">
        <w:rPr>
          <w:rFonts w:ascii="Book Antiqua" w:hAnsi="Book Antiqua"/>
        </w:rPr>
        <w:t xml:space="preserve"> and Mr </w:t>
      </w:r>
      <w:proofErr w:type="spellStart"/>
      <w:r w:rsidRPr="00DC27ED">
        <w:rPr>
          <w:rFonts w:ascii="Book Antiqua" w:hAnsi="Book Antiqua"/>
        </w:rPr>
        <w:t>Qadir</w:t>
      </w:r>
      <w:proofErr w:type="spellEnd"/>
      <w:r w:rsidRPr="00DC27ED">
        <w:rPr>
          <w:rFonts w:ascii="Book Antiqua" w:hAnsi="Book Antiqua"/>
        </w:rPr>
        <w:t xml:space="preserve">, in the context of the explanations and evidence given by them, the </w:t>
      </w:r>
      <w:r w:rsidR="00B76168">
        <w:rPr>
          <w:rFonts w:ascii="Book Antiqua" w:hAnsi="Book Antiqua"/>
        </w:rPr>
        <w:t>Respondent</w:t>
      </w:r>
      <w:r w:rsidRPr="00DC27ED">
        <w:rPr>
          <w:rFonts w:ascii="Book Antiqua" w:hAnsi="Book Antiqua"/>
        </w:rPr>
        <w:t xml:space="preserve"> could not satisfy the legal burden to show that their TOEIC certificates were procured by dishonesty and so their appeals were allowed by the Upper </w:t>
      </w:r>
      <w:r w:rsidR="00B76168">
        <w:rPr>
          <w:rFonts w:ascii="Book Antiqua" w:hAnsi="Book Antiqua"/>
        </w:rPr>
        <w:t>Tribunal</w:t>
      </w:r>
      <w:r w:rsidRPr="00DC27ED">
        <w:rPr>
          <w:rFonts w:ascii="Book Antiqua" w:hAnsi="Book Antiqua"/>
        </w:rPr>
        <w:t xml:space="preserve">. The </w:t>
      </w:r>
      <w:r w:rsidR="00B76168">
        <w:rPr>
          <w:rFonts w:ascii="Book Antiqua" w:hAnsi="Book Antiqua"/>
        </w:rPr>
        <w:t>Respondent</w:t>
      </w:r>
      <w:r w:rsidRPr="00DC27ED">
        <w:rPr>
          <w:rFonts w:ascii="Book Antiqua" w:hAnsi="Book Antiqua"/>
        </w:rPr>
        <w:t xml:space="preserve"> initially appealed to the Court of Appeal but then settled those appeals by consent. </w:t>
      </w:r>
    </w:p>
    <w:p w:rsidR="003638B3" w:rsidRPr="00DC27ED" w:rsidRDefault="003638B3" w:rsidP="003638B3">
      <w:pPr>
        <w:ind w:left="567"/>
        <w:rPr>
          <w:rFonts w:ascii="Book Antiqua" w:hAnsi="Book Antiqua"/>
        </w:rPr>
      </w:pPr>
    </w:p>
    <w:p w:rsidR="007E6FB8" w:rsidRDefault="00B2690A" w:rsidP="00A56BF1">
      <w:pPr>
        <w:numPr>
          <w:ilvl w:val="0"/>
          <w:numId w:val="3"/>
        </w:numPr>
        <w:rPr>
          <w:rFonts w:ascii="Book Antiqua" w:hAnsi="Book Antiqua"/>
        </w:rPr>
      </w:pPr>
      <w:r>
        <w:rPr>
          <w:rFonts w:ascii="Book Antiqua" w:hAnsi="Book Antiqua" w:cs="Arial"/>
        </w:rPr>
        <w:t xml:space="preserve">I have therefore considered the grounds advanced by Ms </w:t>
      </w:r>
      <w:proofErr w:type="spellStart"/>
      <w:r w:rsidR="002A3836">
        <w:rPr>
          <w:rFonts w:ascii="Book Antiqua" w:hAnsi="Book Antiqua" w:cs="Arial"/>
        </w:rPr>
        <w:t>Aboni</w:t>
      </w:r>
      <w:proofErr w:type="spellEnd"/>
      <w:r w:rsidR="002A3836">
        <w:rPr>
          <w:rFonts w:ascii="Book Antiqua" w:hAnsi="Book Antiqua" w:cs="Arial"/>
        </w:rPr>
        <w:t xml:space="preserve"> as</w:t>
      </w:r>
      <w:r>
        <w:rPr>
          <w:rFonts w:ascii="Book Antiqua" w:hAnsi="Book Antiqua" w:cs="Arial"/>
        </w:rPr>
        <w:t xml:space="preserve"> to</w:t>
      </w:r>
      <w:r w:rsidR="003638B3" w:rsidRPr="00DC27ED">
        <w:rPr>
          <w:rFonts w:ascii="Book Antiqua" w:hAnsi="Book Antiqua" w:cs="Arial"/>
        </w:rPr>
        <w:t xml:space="preserve"> </w:t>
      </w:r>
      <w:bookmarkStart w:id="0" w:name="para34"/>
      <w:r w:rsidR="007E6FB8">
        <w:rPr>
          <w:rFonts w:ascii="Book Antiqua" w:hAnsi="Book Antiqua" w:cs="Arial"/>
        </w:rPr>
        <w:t>whether the judge gave adequate reasons for reaching his overall conclusions</w:t>
      </w:r>
      <w:r>
        <w:rPr>
          <w:rFonts w:ascii="Book Antiqua" w:hAnsi="Book Antiqua" w:cs="Arial"/>
        </w:rPr>
        <w:t xml:space="preserve"> which is the </w:t>
      </w:r>
      <w:r>
        <w:rPr>
          <w:rFonts w:ascii="Book Antiqua" w:hAnsi="Book Antiqua" w:cs="Arial"/>
        </w:rPr>
        <w:lastRenderedPageBreak/>
        <w:t>substance</w:t>
      </w:r>
      <w:r w:rsidR="00A24A81">
        <w:rPr>
          <w:rFonts w:ascii="Book Antiqua" w:hAnsi="Book Antiqua" w:cs="Arial"/>
        </w:rPr>
        <w:t xml:space="preserve"> of the submissions advanced in the written gro</w:t>
      </w:r>
      <w:r>
        <w:rPr>
          <w:rFonts w:ascii="Book Antiqua" w:hAnsi="Book Antiqua" w:cs="Arial"/>
        </w:rPr>
        <w:t xml:space="preserve">unds and relied upon by Ms </w:t>
      </w:r>
      <w:proofErr w:type="spellStart"/>
      <w:r>
        <w:rPr>
          <w:rFonts w:ascii="Book Antiqua" w:hAnsi="Book Antiqua" w:cs="Arial"/>
        </w:rPr>
        <w:t>Aboni</w:t>
      </w:r>
      <w:proofErr w:type="spellEnd"/>
      <w:r w:rsidR="007E6FB8">
        <w:rPr>
          <w:rFonts w:ascii="Book Antiqua" w:hAnsi="Book Antiqua" w:cs="Arial"/>
        </w:rPr>
        <w:t>.</w:t>
      </w:r>
    </w:p>
    <w:p w:rsidR="007E6FB8" w:rsidRDefault="007E6FB8" w:rsidP="007E6FB8">
      <w:pPr>
        <w:pStyle w:val="ListParagraph"/>
        <w:rPr>
          <w:rFonts w:ascii="Book Antiqua" w:hAnsi="Book Antiqua"/>
        </w:rPr>
      </w:pPr>
    </w:p>
    <w:p w:rsidR="005D0D80" w:rsidRPr="005D0D80" w:rsidRDefault="00B2690A" w:rsidP="00A56BF1">
      <w:pPr>
        <w:numPr>
          <w:ilvl w:val="0"/>
          <w:numId w:val="3"/>
        </w:numPr>
        <w:rPr>
          <w:rFonts w:ascii="Book Antiqua" w:hAnsi="Book Antiqua"/>
        </w:rPr>
      </w:pPr>
      <w:r>
        <w:rPr>
          <w:rFonts w:ascii="Book Antiqua" w:hAnsi="Book Antiqua"/>
        </w:rPr>
        <w:t xml:space="preserve">When looking at the decision of FTTJ </w:t>
      </w:r>
      <w:r w:rsidR="002A3836">
        <w:rPr>
          <w:rFonts w:ascii="Book Antiqua" w:hAnsi="Book Antiqua"/>
        </w:rPr>
        <w:t>Birk, I</w:t>
      </w:r>
      <w:r w:rsidR="007E6FB8">
        <w:rPr>
          <w:rFonts w:ascii="Book Antiqua" w:hAnsi="Book Antiqua"/>
        </w:rPr>
        <w:t xml:space="preserve"> am satisfied that </w:t>
      </w:r>
      <w:r w:rsidR="002A3836">
        <w:rPr>
          <w:rFonts w:ascii="Book Antiqua" w:hAnsi="Book Antiqua"/>
        </w:rPr>
        <w:t xml:space="preserve">the </w:t>
      </w:r>
      <w:r w:rsidR="002A3836" w:rsidRPr="00DC27ED">
        <w:rPr>
          <w:rFonts w:ascii="Book Antiqua" w:hAnsi="Book Antiqua"/>
        </w:rPr>
        <w:t>judge</w:t>
      </w:r>
      <w:r w:rsidR="003638B3" w:rsidRPr="00DC27ED">
        <w:rPr>
          <w:rFonts w:ascii="Book Antiqua" w:hAnsi="Book Antiqua"/>
        </w:rPr>
        <w:t xml:space="preserve"> approached the matter in the manner directed by the Court of Appeal in </w:t>
      </w:r>
      <w:r w:rsidR="000C5D78" w:rsidRPr="00DC27ED">
        <w:rPr>
          <w:rFonts w:ascii="Book Antiqua" w:hAnsi="Book Antiqua"/>
          <w:i/>
          <w:iCs/>
          <w:u w:val="single"/>
        </w:rPr>
        <w:t>SM and</w:t>
      </w:r>
      <w:r w:rsidR="003638B3" w:rsidRPr="00DC27ED">
        <w:rPr>
          <w:rFonts w:ascii="Book Antiqua" w:hAnsi="Book Antiqua"/>
          <w:i/>
          <w:iCs/>
          <w:u w:val="single"/>
        </w:rPr>
        <w:t xml:space="preserve"> </w:t>
      </w:r>
      <w:proofErr w:type="spellStart"/>
      <w:r w:rsidR="003638B3" w:rsidRPr="00DC27ED">
        <w:rPr>
          <w:rFonts w:ascii="Book Antiqua" w:hAnsi="Book Antiqua"/>
          <w:i/>
          <w:iCs/>
          <w:u w:val="single"/>
        </w:rPr>
        <w:t>Qadir</w:t>
      </w:r>
      <w:proofErr w:type="spellEnd"/>
      <w:r w:rsidR="003638B3" w:rsidRPr="00DC27ED">
        <w:rPr>
          <w:rFonts w:ascii="Book Antiqua" w:hAnsi="Book Antiqua"/>
          <w:i/>
          <w:iCs/>
        </w:rPr>
        <w:t xml:space="preserve"> </w:t>
      </w:r>
      <w:bookmarkEnd w:id="0"/>
      <w:r w:rsidR="003638B3" w:rsidRPr="00DC27ED">
        <w:rPr>
          <w:rFonts w:ascii="Book Antiqua" w:hAnsi="Book Antiqua"/>
        </w:rPr>
        <w:t xml:space="preserve">[2016] EWCA </w:t>
      </w:r>
      <w:proofErr w:type="spellStart"/>
      <w:r w:rsidR="003638B3" w:rsidRPr="00DC27ED">
        <w:rPr>
          <w:rFonts w:ascii="Book Antiqua" w:hAnsi="Book Antiqua"/>
        </w:rPr>
        <w:t>Civ</w:t>
      </w:r>
      <w:proofErr w:type="spellEnd"/>
      <w:r w:rsidR="003638B3" w:rsidRPr="00DC27ED">
        <w:rPr>
          <w:rFonts w:ascii="Book Antiqua" w:hAnsi="Book Antiqua"/>
        </w:rPr>
        <w:t xml:space="preserve"> </w:t>
      </w:r>
      <w:r>
        <w:rPr>
          <w:rFonts w:ascii="Book Antiqua" w:hAnsi="Book Antiqua"/>
        </w:rPr>
        <w:t xml:space="preserve">1167. </w:t>
      </w:r>
      <w:r w:rsidR="003638B3" w:rsidRPr="00DC27ED">
        <w:rPr>
          <w:rFonts w:ascii="Book Antiqua" w:hAnsi="Book Antiqua"/>
        </w:rPr>
        <w:t xml:space="preserve"> That involves considering, first, whether the Secretary of State has met the burden on her of identifying evidence that the TOEIC certificate was obtained by deception; second whether the claimant satisfies the evidential burden on him of raising an innocent explanation for the suggested deception; and third, if so, whether the Secretary of State can meet the legal burden of showing, on the balance of probabilities, that deception in fact took place.</w:t>
      </w:r>
    </w:p>
    <w:p w:rsidR="000D0FF1" w:rsidRPr="00DC27ED" w:rsidRDefault="000D0FF1" w:rsidP="00A56BF1">
      <w:pPr>
        <w:numPr>
          <w:ilvl w:val="0"/>
          <w:numId w:val="3"/>
        </w:numPr>
        <w:spacing w:before="240"/>
        <w:jc w:val="both"/>
        <w:rPr>
          <w:rFonts w:ascii="Book Antiqua" w:hAnsi="Book Antiqua" w:cs="Arial"/>
        </w:rPr>
      </w:pPr>
      <w:r w:rsidRPr="00DC27ED">
        <w:rPr>
          <w:rFonts w:ascii="Book Antiqua" w:hAnsi="Book Antiqua" w:cs="Arial"/>
        </w:rPr>
        <w:t>There can be no dispute on the evidence before the judge that</w:t>
      </w:r>
      <w:r w:rsidRPr="00DC27ED">
        <w:rPr>
          <w:rFonts w:ascii="Book Antiqua" w:hAnsi="Book Antiqua"/>
        </w:rPr>
        <w:t xml:space="preserve"> that the generic evidence taken together with the ETS spreadsheet providing specific details relating to the </w:t>
      </w:r>
      <w:r w:rsidR="00B76168">
        <w:rPr>
          <w:rFonts w:ascii="Book Antiqua" w:hAnsi="Book Antiqua"/>
        </w:rPr>
        <w:t>Appellant</w:t>
      </w:r>
      <w:r w:rsidRPr="00DC27ED">
        <w:rPr>
          <w:rFonts w:ascii="Book Antiqua" w:hAnsi="Book Antiqua"/>
        </w:rPr>
        <w:t xml:space="preserve"> is sufficient to allow the Secretary State to discharge the evidential burden of the use of deception in the taking of an English language test</w:t>
      </w:r>
      <w:r w:rsidR="006A6CCB" w:rsidRPr="00DC27ED">
        <w:rPr>
          <w:rFonts w:ascii="Book Antiqua" w:hAnsi="Book Antiqua"/>
        </w:rPr>
        <w:t xml:space="preserve">. </w:t>
      </w:r>
      <w:proofErr w:type="gramStart"/>
      <w:r w:rsidR="006A6CCB" w:rsidRPr="00DC27ED">
        <w:rPr>
          <w:rFonts w:ascii="Book Antiqua" w:hAnsi="Book Antiqua"/>
        </w:rPr>
        <w:t>(</w:t>
      </w:r>
      <w:r w:rsidRPr="00DC27ED">
        <w:rPr>
          <w:rFonts w:ascii="Book Antiqua" w:hAnsi="Book Antiqua"/>
        </w:rPr>
        <w:t xml:space="preserve"> see</w:t>
      </w:r>
      <w:proofErr w:type="gramEnd"/>
      <w:r w:rsidRPr="00DC27ED">
        <w:rPr>
          <w:rFonts w:ascii="Book Antiqua" w:hAnsi="Book Antiqua"/>
        </w:rPr>
        <w:t xml:space="preserve"> </w:t>
      </w:r>
      <w:proofErr w:type="spellStart"/>
      <w:r w:rsidRPr="00DC27ED">
        <w:rPr>
          <w:rFonts w:ascii="Book Antiqua" w:hAnsi="Book Antiqua"/>
          <w:u w:val="single"/>
        </w:rPr>
        <w:t>Shez</w:t>
      </w:r>
      <w:r w:rsidR="006D40C3" w:rsidRPr="00DC27ED">
        <w:rPr>
          <w:rFonts w:ascii="Book Antiqua" w:hAnsi="Book Antiqua"/>
          <w:u w:val="single"/>
        </w:rPr>
        <w:t>h</w:t>
      </w:r>
      <w:r w:rsidRPr="00DC27ED">
        <w:rPr>
          <w:rFonts w:ascii="Book Antiqua" w:hAnsi="Book Antiqua"/>
          <w:u w:val="single"/>
        </w:rPr>
        <w:t>ad</w:t>
      </w:r>
      <w:proofErr w:type="spellEnd"/>
      <w:r w:rsidR="006D40C3" w:rsidRPr="00DC27ED">
        <w:rPr>
          <w:rFonts w:ascii="Book Antiqua" w:hAnsi="Book Antiqua"/>
          <w:u w:val="single"/>
        </w:rPr>
        <w:t xml:space="preserve"> and </w:t>
      </w:r>
      <w:r w:rsidR="006A6CCB" w:rsidRPr="00DC27ED">
        <w:rPr>
          <w:rFonts w:ascii="Book Antiqua" w:hAnsi="Book Antiqua"/>
          <w:u w:val="single"/>
        </w:rPr>
        <w:t>Chowdhury</w:t>
      </w:r>
      <w:r w:rsidR="006D40C3" w:rsidRPr="00DC27ED">
        <w:rPr>
          <w:rFonts w:ascii="Book Antiqua" w:hAnsi="Book Antiqua"/>
          <w:u w:val="single"/>
        </w:rPr>
        <w:t xml:space="preserve"> [2016] EWCA </w:t>
      </w:r>
      <w:proofErr w:type="spellStart"/>
      <w:r w:rsidR="006D40C3" w:rsidRPr="00DC27ED">
        <w:rPr>
          <w:rFonts w:ascii="Book Antiqua" w:hAnsi="Book Antiqua"/>
          <w:u w:val="single"/>
        </w:rPr>
        <w:t>Civ</w:t>
      </w:r>
      <w:proofErr w:type="spellEnd"/>
      <w:r w:rsidR="006D40C3" w:rsidRPr="00DC27ED">
        <w:rPr>
          <w:rFonts w:ascii="Book Antiqua" w:hAnsi="Book Antiqua"/>
          <w:u w:val="single"/>
        </w:rPr>
        <w:t xml:space="preserve"> 615</w:t>
      </w:r>
      <w:r w:rsidRPr="00DC27ED">
        <w:rPr>
          <w:rFonts w:ascii="Book Antiqua" w:hAnsi="Book Antiqua"/>
        </w:rPr>
        <w:t xml:space="preserve"> at [26],28] [43</w:t>
      </w:r>
      <w:r w:rsidR="006A6CCB" w:rsidRPr="00DC27ED">
        <w:rPr>
          <w:rFonts w:ascii="Book Antiqua" w:hAnsi="Book Antiqua"/>
        </w:rPr>
        <w:t>] and</w:t>
      </w:r>
      <w:r w:rsidRPr="00DC27ED">
        <w:rPr>
          <w:rFonts w:ascii="Book Antiqua" w:hAnsi="Book Antiqua"/>
        </w:rPr>
        <w:t xml:space="preserve"> </w:t>
      </w:r>
      <w:r w:rsidR="00A8703D" w:rsidRPr="00DC27ED">
        <w:rPr>
          <w:rFonts w:ascii="Book Antiqua" w:hAnsi="Book Antiqua"/>
          <w:u w:val="single"/>
        </w:rPr>
        <w:t xml:space="preserve">SM and </w:t>
      </w:r>
      <w:proofErr w:type="spellStart"/>
      <w:r w:rsidR="00A8703D" w:rsidRPr="00DC27ED">
        <w:rPr>
          <w:rFonts w:ascii="Book Antiqua" w:hAnsi="Book Antiqua"/>
          <w:u w:val="single"/>
        </w:rPr>
        <w:t>Q</w:t>
      </w:r>
      <w:r w:rsidRPr="00DC27ED">
        <w:rPr>
          <w:rFonts w:ascii="Book Antiqua" w:hAnsi="Book Antiqua"/>
          <w:u w:val="single"/>
        </w:rPr>
        <w:t>adir</w:t>
      </w:r>
      <w:proofErr w:type="spellEnd"/>
      <w:r w:rsidRPr="00DC27ED">
        <w:rPr>
          <w:rFonts w:ascii="Book Antiqua" w:hAnsi="Book Antiqua"/>
          <w:u w:val="single"/>
        </w:rPr>
        <w:t xml:space="preserve"> </w:t>
      </w:r>
      <w:r w:rsidR="006D40C3" w:rsidRPr="00DC27ED">
        <w:rPr>
          <w:rFonts w:ascii="Book Antiqua" w:hAnsi="Book Antiqua"/>
        </w:rPr>
        <w:t xml:space="preserve">[2016] EWCA </w:t>
      </w:r>
      <w:proofErr w:type="spellStart"/>
      <w:r w:rsidR="006D40C3" w:rsidRPr="00DC27ED">
        <w:rPr>
          <w:rFonts w:ascii="Book Antiqua" w:hAnsi="Book Antiqua"/>
        </w:rPr>
        <w:t>Civ</w:t>
      </w:r>
      <w:proofErr w:type="spellEnd"/>
      <w:r w:rsidR="006D40C3" w:rsidRPr="00DC27ED">
        <w:rPr>
          <w:rFonts w:ascii="Book Antiqua" w:hAnsi="Book Antiqua"/>
        </w:rPr>
        <w:t xml:space="preserve"> 1167 </w:t>
      </w:r>
      <w:r w:rsidRPr="00DC27ED">
        <w:rPr>
          <w:rFonts w:ascii="Book Antiqua" w:hAnsi="Book Antiqua"/>
        </w:rPr>
        <w:t>at [4]).</w:t>
      </w:r>
      <w:r w:rsidR="005D0D80">
        <w:rPr>
          <w:rFonts w:ascii="Book Antiqua" w:hAnsi="Book Antiqua"/>
        </w:rPr>
        <w:t xml:space="preserve"> The judge reached that concl</w:t>
      </w:r>
      <w:r w:rsidR="00B2690A">
        <w:rPr>
          <w:rFonts w:ascii="Book Antiqua" w:hAnsi="Book Antiqua"/>
        </w:rPr>
        <w:t>usion at paragraph 15</w:t>
      </w:r>
      <w:r w:rsidR="005D0D80">
        <w:rPr>
          <w:rFonts w:ascii="Book Antiqua" w:hAnsi="Book Antiqua"/>
        </w:rPr>
        <w:t xml:space="preserve"> of the determination having considered </w:t>
      </w:r>
      <w:r w:rsidR="00B2690A">
        <w:rPr>
          <w:rFonts w:ascii="Book Antiqua" w:hAnsi="Book Antiqua"/>
        </w:rPr>
        <w:t xml:space="preserve">the </w:t>
      </w:r>
      <w:proofErr w:type="gramStart"/>
      <w:r w:rsidR="00B2690A">
        <w:rPr>
          <w:rFonts w:ascii="Book Antiqua" w:hAnsi="Book Antiqua"/>
        </w:rPr>
        <w:t>particular evidence</w:t>
      </w:r>
      <w:proofErr w:type="gramEnd"/>
      <w:r w:rsidR="00B2690A">
        <w:rPr>
          <w:rFonts w:ascii="Book Antiqua" w:hAnsi="Book Antiqua"/>
        </w:rPr>
        <w:t xml:space="preserve"> and did so by reference to </w:t>
      </w:r>
      <w:r w:rsidR="002A3836">
        <w:rPr>
          <w:rFonts w:ascii="Book Antiqua" w:hAnsi="Book Antiqua"/>
        </w:rPr>
        <w:t>the case</w:t>
      </w:r>
      <w:r w:rsidR="00B2690A">
        <w:rPr>
          <w:rFonts w:ascii="Book Antiqua" w:hAnsi="Book Antiqua"/>
        </w:rPr>
        <w:t xml:space="preserve"> law set out at paragraph 11 of his decision.</w:t>
      </w:r>
    </w:p>
    <w:p w:rsidR="00B2690A" w:rsidRDefault="00DD15E3" w:rsidP="00A56BF1">
      <w:pPr>
        <w:numPr>
          <w:ilvl w:val="0"/>
          <w:numId w:val="3"/>
        </w:numPr>
        <w:spacing w:before="240"/>
        <w:jc w:val="both"/>
        <w:rPr>
          <w:rFonts w:ascii="Book Antiqua" w:hAnsi="Book Antiqua" w:cs="Arial"/>
        </w:rPr>
      </w:pPr>
      <w:r>
        <w:rPr>
          <w:rFonts w:ascii="Book Antiqua" w:hAnsi="Book Antiqua" w:cs="Arial"/>
        </w:rPr>
        <w:t>The next stage is where there is</w:t>
      </w:r>
      <w:r w:rsidR="000D0FF1" w:rsidRPr="00DC27ED">
        <w:rPr>
          <w:rFonts w:ascii="Book Antiqua" w:hAnsi="Book Antiqua" w:cs="Arial"/>
        </w:rPr>
        <w:t xml:space="preserve"> a burden, again an evidential one on the </w:t>
      </w:r>
      <w:r w:rsidR="00B76168">
        <w:rPr>
          <w:rFonts w:ascii="Book Antiqua" w:hAnsi="Book Antiqua" w:cs="Arial"/>
        </w:rPr>
        <w:t>Appellant</w:t>
      </w:r>
      <w:r w:rsidR="000D0FF1" w:rsidRPr="00DC27ED">
        <w:rPr>
          <w:rFonts w:ascii="Book Antiqua" w:hAnsi="Book Antiqua" w:cs="Arial"/>
        </w:rPr>
        <w:t xml:space="preserve"> of raising an innocent explanation. </w:t>
      </w:r>
      <w:r w:rsidR="00B2690A">
        <w:rPr>
          <w:rFonts w:ascii="Book Antiqua" w:hAnsi="Book Antiqua" w:cs="Arial"/>
        </w:rPr>
        <w:t xml:space="preserve">Ms </w:t>
      </w:r>
      <w:proofErr w:type="spellStart"/>
      <w:r w:rsidR="00B2690A">
        <w:rPr>
          <w:rFonts w:ascii="Book Antiqua" w:hAnsi="Book Antiqua" w:cs="Arial"/>
        </w:rPr>
        <w:t>Aboni</w:t>
      </w:r>
      <w:proofErr w:type="spellEnd"/>
      <w:r w:rsidR="00B2690A">
        <w:rPr>
          <w:rFonts w:ascii="Book Antiqua" w:hAnsi="Book Antiqua" w:cs="Arial"/>
        </w:rPr>
        <w:t xml:space="preserve"> submits that the judge gave no adequate reasons finding that the </w:t>
      </w:r>
      <w:r w:rsidR="00B76168">
        <w:rPr>
          <w:rFonts w:ascii="Book Antiqua" w:hAnsi="Book Antiqua" w:cs="Arial"/>
        </w:rPr>
        <w:t>Appellant</w:t>
      </w:r>
      <w:r w:rsidR="00B2690A">
        <w:rPr>
          <w:rFonts w:ascii="Book Antiqua" w:hAnsi="Book Antiqua" w:cs="Arial"/>
        </w:rPr>
        <w:t xml:space="preserve"> had raised an innocent explanation.</w:t>
      </w:r>
    </w:p>
    <w:p w:rsidR="006F766E" w:rsidRPr="00B2690A" w:rsidRDefault="00B2690A" w:rsidP="00A56BF1">
      <w:pPr>
        <w:numPr>
          <w:ilvl w:val="0"/>
          <w:numId w:val="3"/>
        </w:numPr>
        <w:spacing w:before="240"/>
        <w:jc w:val="both"/>
        <w:rPr>
          <w:rFonts w:ascii="Book Antiqua" w:hAnsi="Book Antiqua" w:cs="Arial"/>
        </w:rPr>
      </w:pPr>
      <w:r>
        <w:rPr>
          <w:rFonts w:ascii="Book Antiqua" w:hAnsi="Book Antiqua" w:cs="Arial"/>
        </w:rPr>
        <w:t xml:space="preserve">Having considered the determination and the evidence that was before the judge, I do not accept that the judge failed to give adequate reasons in his determination in this respect at paragraph 15. When considering the innocent explanation given by an </w:t>
      </w:r>
      <w:r w:rsidR="00B76168">
        <w:rPr>
          <w:rFonts w:ascii="Book Antiqua" w:hAnsi="Book Antiqua" w:cs="Arial"/>
        </w:rPr>
        <w:t>Appellant</w:t>
      </w:r>
      <w:r>
        <w:rPr>
          <w:rFonts w:ascii="Book Antiqua" w:hAnsi="Book Antiqua" w:cs="Arial"/>
        </w:rPr>
        <w:t>, it required</w:t>
      </w:r>
      <w:r w:rsidR="000D0FF1" w:rsidRPr="00B2690A">
        <w:rPr>
          <w:rFonts w:ascii="Book Antiqua" w:hAnsi="Book Antiqua" w:cs="Arial"/>
        </w:rPr>
        <w:t xml:space="preserve"> the minimum level of pla</w:t>
      </w:r>
      <w:r w:rsidR="00DD15E3" w:rsidRPr="00B2690A">
        <w:rPr>
          <w:rFonts w:ascii="Book Antiqua" w:hAnsi="Book Antiqua" w:cs="Arial"/>
        </w:rPr>
        <w:t>usibility.</w:t>
      </w:r>
      <w:r w:rsidR="000D0FF1" w:rsidRPr="00B2690A">
        <w:rPr>
          <w:rFonts w:ascii="Book Antiqua" w:hAnsi="Book Antiqua" w:cs="Arial"/>
        </w:rPr>
        <w:t xml:space="preserve"> Thereafter the judge w</w:t>
      </w:r>
      <w:r w:rsidR="00DD15E3" w:rsidRPr="00B2690A">
        <w:rPr>
          <w:rFonts w:ascii="Book Antiqua" w:hAnsi="Book Antiqua" w:cs="Arial"/>
        </w:rPr>
        <w:t xml:space="preserve">as required to consider whether the </w:t>
      </w:r>
      <w:r w:rsidR="00B76168">
        <w:rPr>
          <w:rFonts w:ascii="Book Antiqua" w:hAnsi="Book Antiqua" w:cs="Arial"/>
        </w:rPr>
        <w:t>Respondent</w:t>
      </w:r>
      <w:r w:rsidR="00DD15E3" w:rsidRPr="00B2690A">
        <w:rPr>
          <w:rFonts w:ascii="Book Antiqua" w:hAnsi="Book Antiqua" w:cs="Arial"/>
        </w:rPr>
        <w:t xml:space="preserve"> </w:t>
      </w:r>
      <w:r w:rsidR="006F766E" w:rsidRPr="00B2690A">
        <w:rPr>
          <w:rFonts w:ascii="Book Antiqua" w:hAnsi="Book Antiqua" w:cs="Arial"/>
        </w:rPr>
        <w:t>discharged the legal burden of proof</w:t>
      </w:r>
      <w:r w:rsidR="000D0FF1" w:rsidRPr="00B2690A">
        <w:rPr>
          <w:rFonts w:ascii="Book Antiqua" w:hAnsi="Book Antiqua"/>
        </w:rPr>
        <w:t xml:space="preserve"> in relation to dishonesty</w:t>
      </w:r>
      <w:r w:rsidR="006F766E" w:rsidRPr="00B2690A">
        <w:rPr>
          <w:rFonts w:ascii="Book Antiqua" w:hAnsi="Book Antiqua"/>
        </w:rPr>
        <w:t xml:space="preserve"> </w:t>
      </w:r>
      <w:r w:rsidR="006A6CCB" w:rsidRPr="00B2690A">
        <w:rPr>
          <w:rFonts w:ascii="Book Antiqua" w:hAnsi="Book Antiqua"/>
        </w:rPr>
        <w:t>which remains</w:t>
      </w:r>
      <w:r w:rsidR="000D0FF1" w:rsidRPr="00B2690A">
        <w:rPr>
          <w:rFonts w:ascii="Book Antiqua" w:hAnsi="Book Antiqua"/>
        </w:rPr>
        <w:t xml:space="preserve"> with the Secretary of State.</w:t>
      </w:r>
      <w:r w:rsidRPr="00B2690A">
        <w:rPr>
          <w:rFonts w:ascii="Book Antiqua" w:hAnsi="Book Antiqua"/>
        </w:rPr>
        <w:t xml:space="preserve"> </w:t>
      </w:r>
      <w:r>
        <w:rPr>
          <w:rFonts w:ascii="Book Antiqua" w:hAnsi="Book Antiqua"/>
        </w:rPr>
        <w:t xml:space="preserve">The judge returned to the </w:t>
      </w:r>
      <w:r w:rsidR="00B76168">
        <w:rPr>
          <w:rFonts w:ascii="Book Antiqua" w:hAnsi="Book Antiqua"/>
        </w:rPr>
        <w:t>Respondent</w:t>
      </w:r>
      <w:r>
        <w:rPr>
          <w:rFonts w:ascii="Book Antiqua" w:hAnsi="Book Antiqua"/>
        </w:rPr>
        <w:t xml:space="preserve">’s evidence at [16] but reached the conclusion that the </w:t>
      </w:r>
      <w:r w:rsidR="00B76168">
        <w:rPr>
          <w:rFonts w:ascii="Book Antiqua" w:hAnsi="Book Antiqua"/>
        </w:rPr>
        <w:t>Respondent</w:t>
      </w:r>
      <w:r>
        <w:rPr>
          <w:rFonts w:ascii="Book Antiqua" w:hAnsi="Book Antiqua"/>
        </w:rPr>
        <w:t xml:space="preserve"> had not discharged the overall burden.</w:t>
      </w:r>
    </w:p>
    <w:p w:rsidR="00B2690A" w:rsidRPr="00B2690A" w:rsidRDefault="00B2690A" w:rsidP="00A56BF1">
      <w:pPr>
        <w:numPr>
          <w:ilvl w:val="0"/>
          <w:numId w:val="3"/>
        </w:numPr>
        <w:spacing w:before="240"/>
        <w:jc w:val="both"/>
        <w:rPr>
          <w:rFonts w:ascii="Book Antiqua" w:hAnsi="Book Antiqua" w:cs="Arial"/>
        </w:rPr>
      </w:pPr>
      <w:r>
        <w:rPr>
          <w:rFonts w:ascii="Book Antiqua" w:hAnsi="Book Antiqua"/>
        </w:rPr>
        <w:t xml:space="preserve">As this was a statutory appeal, where the </w:t>
      </w:r>
      <w:r w:rsidR="00B76168">
        <w:rPr>
          <w:rFonts w:ascii="Book Antiqua" w:hAnsi="Book Antiqua"/>
        </w:rPr>
        <w:t>Appellant</w:t>
      </w:r>
      <w:r>
        <w:rPr>
          <w:rFonts w:ascii="Book Antiqua" w:hAnsi="Book Antiqua"/>
        </w:rPr>
        <w:t xml:space="preserve"> was present, t</w:t>
      </w:r>
      <w:r w:rsidR="005D0D80">
        <w:rPr>
          <w:rFonts w:ascii="Book Antiqua" w:hAnsi="Book Antiqua"/>
        </w:rPr>
        <w:t xml:space="preserve">he judge had the opportunity to hear the oral evidence of the </w:t>
      </w:r>
      <w:r w:rsidR="00B76168">
        <w:rPr>
          <w:rFonts w:ascii="Book Antiqua" w:hAnsi="Book Antiqua"/>
        </w:rPr>
        <w:t>Appellant</w:t>
      </w:r>
      <w:r w:rsidR="005D0D80">
        <w:rPr>
          <w:rFonts w:ascii="Book Antiqua" w:hAnsi="Book Antiqua"/>
        </w:rPr>
        <w:t xml:space="preserve"> and for that to be the subject o</w:t>
      </w:r>
      <w:r>
        <w:rPr>
          <w:rFonts w:ascii="Book Antiqua" w:hAnsi="Book Antiqua"/>
        </w:rPr>
        <w:t xml:space="preserve">f cross examination before him. The judge made express reference to this at paragraph 15. </w:t>
      </w:r>
    </w:p>
    <w:p w:rsidR="00B2690A" w:rsidRPr="00B2690A" w:rsidRDefault="00B2690A" w:rsidP="00A56BF1">
      <w:pPr>
        <w:numPr>
          <w:ilvl w:val="0"/>
          <w:numId w:val="3"/>
        </w:numPr>
        <w:spacing w:before="240"/>
        <w:jc w:val="both"/>
        <w:rPr>
          <w:rFonts w:ascii="Book Antiqua" w:hAnsi="Book Antiqua" w:cs="Arial"/>
        </w:rPr>
      </w:pPr>
      <w:r>
        <w:rPr>
          <w:rFonts w:ascii="Book Antiqua" w:hAnsi="Book Antiqua"/>
        </w:rPr>
        <w:t xml:space="preserve"> It does not appear </w:t>
      </w:r>
      <w:r w:rsidR="0031028D">
        <w:rPr>
          <w:rFonts w:ascii="Book Antiqua" w:hAnsi="Book Antiqua"/>
        </w:rPr>
        <w:t>that there</w:t>
      </w:r>
      <w:r>
        <w:rPr>
          <w:rFonts w:ascii="Book Antiqua" w:hAnsi="Book Antiqua"/>
        </w:rPr>
        <w:t xml:space="preserve"> had been any factual evidence relied upon by the </w:t>
      </w:r>
      <w:r w:rsidR="00B76168">
        <w:rPr>
          <w:rFonts w:ascii="Book Antiqua" w:hAnsi="Book Antiqua"/>
        </w:rPr>
        <w:t>Respondent</w:t>
      </w:r>
      <w:r>
        <w:rPr>
          <w:rFonts w:ascii="Book Antiqua" w:hAnsi="Book Antiqua"/>
        </w:rPr>
        <w:t xml:space="preserve"> which related to</w:t>
      </w:r>
      <w:r w:rsidR="005D0D80">
        <w:rPr>
          <w:rFonts w:ascii="Book Antiqua" w:hAnsi="Book Antiqua"/>
        </w:rPr>
        <w:t xml:space="preserve"> the test undertaken by the </w:t>
      </w:r>
      <w:r w:rsidR="00B76168">
        <w:rPr>
          <w:rFonts w:ascii="Book Antiqua" w:hAnsi="Book Antiqua"/>
        </w:rPr>
        <w:t>Appellant</w:t>
      </w:r>
      <w:r w:rsidR="0031028D">
        <w:rPr>
          <w:rFonts w:ascii="Book Antiqua" w:hAnsi="Book Antiqua"/>
        </w:rPr>
        <w:t xml:space="preserve"> </w:t>
      </w:r>
      <w:proofErr w:type="gramStart"/>
      <w:r>
        <w:rPr>
          <w:rFonts w:ascii="Book Antiqua" w:hAnsi="Book Antiqua"/>
        </w:rPr>
        <w:t xml:space="preserve">so as </w:t>
      </w:r>
      <w:r w:rsidR="0031028D">
        <w:rPr>
          <w:rFonts w:ascii="Book Antiqua" w:hAnsi="Book Antiqua"/>
        </w:rPr>
        <w:t>to</w:t>
      </w:r>
      <w:proofErr w:type="gramEnd"/>
      <w:r w:rsidR="0031028D">
        <w:rPr>
          <w:rFonts w:ascii="Book Antiqua" w:hAnsi="Book Antiqua"/>
        </w:rPr>
        <w:t xml:space="preserve"> question his subject</w:t>
      </w:r>
      <w:r>
        <w:rPr>
          <w:rFonts w:ascii="Book Antiqua" w:hAnsi="Book Antiqua"/>
        </w:rPr>
        <w:t>ive recollection about the test</w:t>
      </w:r>
      <w:r w:rsidR="0031028D">
        <w:rPr>
          <w:rFonts w:ascii="Book Antiqua" w:hAnsi="Book Antiqua"/>
        </w:rPr>
        <w:t xml:space="preserve"> nor was there any individual to verify that the </w:t>
      </w:r>
      <w:r w:rsidR="00B76168">
        <w:rPr>
          <w:rFonts w:ascii="Book Antiqua" w:hAnsi="Book Antiqua"/>
        </w:rPr>
        <w:t>Appellant</w:t>
      </w:r>
      <w:r w:rsidR="0031028D">
        <w:rPr>
          <w:rFonts w:ascii="Book Antiqua" w:hAnsi="Book Antiqua"/>
        </w:rPr>
        <w:t xml:space="preserve"> failed to appear. </w:t>
      </w:r>
      <w:r>
        <w:rPr>
          <w:rFonts w:ascii="Book Antiqua" w:hAnsi="Book Antiqua"/>
        </w:rPr>
        <w:t>What the judge did at paragraph 15 was to consider and</w:t>
      </w:r>
      <w:r>
        <w:rPr>
          <w:rFonts w:ascii="Book Antiqua" w:hAnsi="Book Antiqua" w:cs="Arial"/>
        </w:rPr>
        <w:t xml:space="preserve"> </w:t>
      </w:r>
      <w:r>
        <w:rPr>
          <w:rFonts w:ascii="Book Antiqua" w:hAnsi="Book Antiqua"/>
        </w:rPr>
        <w:t>weigh</w:t>
      </w:r>
      <w:r w:rsidR="0031028D" w:rsidRPr="00B2690A">
        <w:rPr>
          <w:rFonts w:ascii="Book Antiqua" w:hAnsi="Book Antiqua"/>
        </w:rPr>
        <w:t xml:space="preserve"> the evidence of the </w:t>
      </w:r>
      <w:r w:rsidR="00B76168">
        <w:rPr>
          <w:rFonts w:ascii="Book Antiqua" w:hAnsi="Book Antiqua"/>
        </w:rPr>
        <w:t>Appellant</w:t>
      </w:r>
      <w:r>
        <w:rPr>
          <w:rFonts w:ascii="Book Antiqua" w:hAnsi="Book Antiqua"/>
        </w:rPr>
        <w:t>. He</w:t>
      </w:r>
      <w:r w:rsidR="0031028D" w:rsidRPr="00B2690A">
        <w:rPr>
          <w:rFonts w:ascii="Book Antiqua" w:hAnsi="Book Antiqua"/>
        </w:rPr>
        <w:t xml:space="preserve"> found him to be a credible </w:t>
      </w:r>
      <w:r>
        <w:rPr>
          <w:rFonts w:ascii="Book Antiqua" w:hAnsi="Book Antiqua"/>
        </w:rPr>
        <w:t xml:space="preserve">and plausible </w:t>
      </w:r>
      <w:r w:rsidR="0031028D" w:rsidRPr="00B2690A">
        <w:rPr>
          <w:rFonts w:ascii="Book Antiqua" w:hAnsi="Book Antiqua"/>
        </w:rPr>
        <w:t>witness.</w:t>
      </w:r>
      <w:r>
        <w:rPr>
          <w:rFonts w:ascii="Book Antiqua" w:hAnsi="Book Antiqua"/>
        </w:rPr>
        <w:t xml:space="preserve"> At paragraph 7 the judge set out the </w:t>
      </w:r>
      <w:r w:rsidR="00B76168">
        <w:rPr>
          <w:rFonts w:ascii="Book Antiqua" w:hAnsi="Book Antiqua"/>
        </w:rPr>
        <w:t>Appellant</w:t>
      </w:r>
      <w:r>
        <w:rPr>
          <w:rFonts w:ascii="Book Antiqua" w:hAnsi="Book Antiqua"/>
        </w:rPr>
        <w:t xml:space="preserve">’s evidence whereby he gave details as to how he sat the test on the day in question (16 November 2011). He did so by describing the nature of the examination, the time that each part of the examination took </w:t>
      </w:r>
      <w:proofErr w:type="gramStart"/>
      <w:r>
        <w:rPr>
          <w:rFonts w:ascii="Book Antiqua" w:hAnsi="Book Antiqua"/>
        </w:rPr>
        <w:t>and also</w:t>
      </w:r>
      <w:proofErr w:type="gramEnd"/>
      <w:r>
        <w:rPr>
          <w:rFonts w:ascii="Book Antiqua" w:hAnsi="Book Antiqua"/>
        </w:rPr>
        <w:t xml:space="preserve"> gave some details as to what was in the test albeit in brief terms. At </w:t>
      </w:r>
      <w:r>
        <w:rPr>
          <w:rFonts w:ascii="Book Antiqua" w:hAnsi="Book Antiqua"/>
        </w:rPr>
        <w:lastRenderedPageBreak/>
        <w:t xml:space="preserve">paragraph 8 the judge records his evidence relating to his previous English examinations and that he had taken the Trinity College test prior to the test at Charles Edward College. The </w:t>
      </w:r>
      <w:r w:rsidR="00B76168">
        <w:rPr>
          <w:rFonts w:ascii="Book Antiqua" w:hAnsi="Book Antiqua"/>
        </w:rPr>
        <w:t>Appellant</w:t>
      </w:r>
      <w:r>
        <w:rPr>
          <w:rFonts w:ascii="Book Antiqua" w:hAnsi="Book Antiqua"/>
        </w:rPr>
        <w:t xml:space="preserve"> provided a copy of the certificate in the bundle of documentation before the judge which showed that that test had been taken and passed in June 2011. He had also been awarded a higher National diploma in business from Whitechapel College in November 2011 (as supported by the document in the bundle and the notification document which accompanied it).</w:t>
      </w:r>
    </w:p>
    <w:p w:rsidR="00B2690A" w:rsidRPr="00B2690A" w:rsidRDefault="00B2690A" w:rsidP="00B2690A">
      <w:pPr>
        <w:spacing w:before="240"/>
        <w:ind w:left="360"/>
        <w:jc w:val="both"/>
        <w:rPr>
          <w:rFonts w:ascii="Book Antiqua" w:hAnsi="Book Antiqua" w:cs="Arial"/>
        </w:rPr>
      </w:pPr>
    </w:p>
    <w:p w:rsidR="00B74E8D" w:rsidRPr="00B74E8D" w:rsidRDefault="00B2690A" w:rsidP="00A56BF1">
      <w:pPr>
        <w:numPr>
          <w:ilvl w:val="0"/>
          <w:numId w:val="3"/>
        </w:numPr>
        <w:spacing w:before="240"/>
        <w:jc w:val="both"/>
        <w:rPr>
          <w:rFonts w:ascii="Book Antiqua" w:hAnsi="Book Antiqua" w:cs="Arial"/>
        </w:rPr>
      </w:pPr>
      <w:r w:rsidRPr="00B74E8D">
        <w:rPr>
          <w:rFonts w:ascii="Book Antiqua" w:hAnsi="Book Antiqua"/>
        </w:rPr>
        <w:t xml:space="preserve">Whilst the </w:t>
      </w:r>
      <w:r w:rsidR="00B76168">
        <w:rPr>
          <w:rFonts w:ascii="Book Antiqua" w:hAnsi="Book Antiqua"/>
        </w:rPr>
        <w:t>Respondent</w:t>
      </w:r>
      <w:r w:rsidRPr="00B74E8D">
        <w:rPr>
          <w:rFonts w:ascii="Book Antiqua" w:hAnsi="Book Antiqua"/>
        </w:rPr>
        <w:t xml:space="preserve"> submits that the judge failed to give adequate reasons in this respect</w:t>
      </w:r>
      <w:r w:rsidRPr="00B74E8D">
        <w:rPr>
          <w:rFonts w:ascii="Book Antiqua" w:hAnsi="Book Antiqua" w:cs="Arial"/>
        </w:rPr>
        <w:t xml:space="preserve"> it was open to the judge</w:t>
      </w:r>
      <w:r w:rsidR="0031028D" w:rsidRPr="00B74E8D">
        <w:rPr>
          <w:rFonts w:ascii="Book Antiqua" w:hAnsi="Book Antiqua"/>
        </w:rPr>
        <w:t xml:space="preserve"> </w:t>
      </w:r>
      <w:r w:rsidR="00AB7D4E">
        <w:rPr>
          <w:rFonts w:ascii="Book Antiqua" w:hAnsi="Book Antiqua"/>
        </w:rPr>
        <w:t>to accept</w:t>
      </w:r>
      <w:r w:rsidR="0031028D" w:rsidRPr="00B74E8D">
        <w:rPr>
          <w:rFonts w:ascii="Book Antiqua" w:hAnsi="Book Antiqua"/>
        </w:rPr>
        <w:t xml:space="preserve"> his evidence as to his history of studying </w:t>
      </w:r>
      <w:r w:rsidRPr="00B74E8D">
        <w:rPr>
          <w:rFonts w:ascii="Book Antiqua" w:hAnsi="Book Antiqua"/>
        </w:rPr>
        <w:t>in the UK</w:t>
      </w:r>
      <w:r w:rsidR="0031028D" w:rsidRPr="00B74E8D">
        <w:rPr>
          <w:rFonts w:ascii="Book Antiqua" w:hAnsi="Book Antiqua"/>
        </w:rPr>
        <w:t>.</w:t>
      </w:r>
      <w:r w:rsidR="0008474F" w:rsidRPr="00B74E8D">
        <w:rPr>
          <w:rFonts w:ascii="Book Antiqua" w:hAnsi="Book Antiqua"/>
        </w:rPr>
        <w:t xml:space="preserve"> This is expressly challenged in the grounds by </w:t>
      </w:r>
      <w:r w:rsidR="00AB7D4E">
        <w:rPr>
          <w:rFonts w:ascii="Book Antiqua" w:hAnsi="Book Antiqua"/>
        </w:rPr>
        <w:t xml:space="preserve">the FTTJ </w:t>
      </w:r>
      <w:r w:rsidR="0008474F" w:rsidRPr="00B74E8D">
        <w:rPr>
          <w:rFonts w:ascii="Book Antiqua" w:hAnsi="Book Antiqua"/>
        </w:rPr>
        <w:t xml:space="preserve">failing to take account of paragraph 57 of MA (Nigeria) </w:t>
      </w:r>
      <w:r w:rsidR="00CD25F4" w:rsidRPr="00B74E8D">
        <w:rPr>
          <w:rFonts w:ascii="Book Antiqua" w:hAnsi="Book Antiqua"/>
        </w:rPr>
        <w:t>(as</w:t>
      </w:r>
      <w:r w:rsidR="0008474F" w:rsidRPr="00B74E8D">
        <w:rPr>
          <w:rFonts w:ascii="Book Antiqua" w:hAnsi="Book Antiqua"/>
        </w:rPr>
        <w:t xml:space="preserve"> set out earlier). </w:t>
      </w:r>
      <w:proofErr w:type="gramStart"/>
      <w:r w:rsidR="0008474F" w:rsidRPr="00B74E8D">
        <w:rPr>
          <w:rFonts w:ascii="Book Antiqua" w:hAnsi="Book Antiqua"/>
        </w:rPr>
        <w:t>However</w:t>
      </w:r>
      <w:proofErr w:type="gramEnd"/>
      <w:r w:rsidR="0008474F" w:rsidRPr="00B74E8D">
        <w:rPr>
          <w:rFonts w:ascii="Book Antiqua" w:hAnsi="Book Antiqua"/>
        </w:rPr>
        <w:t xml:space="preserve"> that paragraph has to be read in the </w:t>
      </w:r>
      <w:r w:rsidR="00CD25F4" w:rsidRPr="00B74E8D">
        <w:rPr>
          <w:rFonts w:ascii="Book Antiqua" w:hAnsi="Book Antiqua"/>
        </w:rPr>
        <w:t>light of</w:t>
      </w:r>
      <w:r w:rsidR="0008474F" w:rsidRPr="00B74E8D">
        <w:rPr>
          <w:rFonts w:ascii="Book Antiqua" w:hAnsi="Book Antiqua"/>
        </w:rPr>
        <w:t xml:space="preserve"> the evidence in that case</w:t>
      </w:r>
      <w:r w:rsidRPr="00B74E8D">
        <w:rPr>
          <w:rFonts w:ascii="Book Antiqua" w:hAnsi="Book Antiqua"/>
        </w:rPr>
        <w:t>. Whilst</w:t>
      </w:r>
      <w:r w:rsidR="0008474F" w:rsidRPr="00B74E8D">
        <w:rPr>
          <w:rFonts w:ascii="Book Antiqua" w:hAnsi="Book Antiqua"/>
        </w:rPr>
        <w:t xml:space="preserve"> the </w:t>
      </w:r>
      <w:r w:rsidR="00B76168">
        <w:rPr>
          <w:rFonts w:ascii="Book Antiqua" w:hAnsi="Book Antiqua"/>
        </w:rPr>
        <w:t>Appellant</w:t>
      </w:r>
      <w:r w:rsidRPr="00B74E8D">
        <w:rPr>
          <w:rFonts w:ascii="Book Antiqua" w:hAnsi="Book Antiqua"/>
        </w:rPr>
        <w:t xml:space="preserve"> had been cross examined it does not appear that it</w:t>
      </w:r>
      <w:r w:rsidR="0008474F" w:rsidRPr="00B74E8D">
        <w:rPr>
          <w:rFonts w:ascii="Book Antiqua" w:hAnsi="Book Antiqua"/>
        </w:rPr>
        <w:t xml:space="preserve"> had it been explored in e</w:t>
      </w:r>
      <w:r w:rsidR="006F378A" w:rsidRPr="00B74E8D">
        <w:rPr>
          <w:rFonts w:ascii="Book Antiqua" w:hAnsi="Book Antiqua"/>
        </w:rPr>
        <w:t>vidence as</w:t>
      </w:r>
      <w:r w:rsidR="0008474F" w:rsidRPr="00B74E8D">
        <w:rPr>
          <w:rFonts w:ascii="Book Antiqua" w:hAnsi="Book Antiqua"/>
        </w:rPr>
        <w:t xml:space="preserve"> to why he would have </w:t>
      </w:r>
      <w:r w:rsidRPr="00B74E8D">
        <w:rPr>
          <w:rFonts w:ascii="Book Antiqua" w:hAnsi="Book Antiqua"/>
        </w:rPr>
        <w:t>a motive to engage in deception</w:t>
      </w:r>
      <w:r w:rsidR="00AB7D4E">
        <w:rPr>
          <w:rFonts w:ascii="Book Antiqua" w:hAnsi="Book Antiqua"/>
        </w:rPr>
        <w:t>. T</w:t>
      </w:r>
      <w:r w:rsidRPr="00B74E8D">
        <w:rPr>
          <w:rFonts w:ascii="Book Antiqua" w:hAnsi="Book Antiqua"/>
        </w:rPr>
        <w:t xml:space="preserve">he </w:t>
      </w:r>
      <w:r w:rsidR="00B76168">
        <w:rPr>
          <w:rFonts w:ascii="Book Antiqua" w:hAnsi="Book Antiqua"/>
        </w:rPr>
        <w:t>Appellant</w:t>
      </w:r>
      <w:r w:rsidRPr="00B74E8D">
        <w:rPr>
          <w:rFonts w:ascii="Book Antiqua" w:hAnsi="Book Antiqua"/>
        </w:rPr>
        <w:t xml:space="preserve"> denied having used any deception and </w:t>
      </w:r>
      <w:r w:rsidR="00AB7D4E">
        <w:rPr>
          <w:rFonts w:ascii="Book Antiqua" w:hAnsi="Book Antiqua"/>
        </w:rPr>
        <w:t xml:space="preserve">it is appears to be recorded in the determination </w:t>
      </w:r>
      <w:r w:rsidRPr="00B74E8D">
        <w:rPr>
          <w:rFonts w:ascii="Book Antiqua" w:hAnsi="Book Antiqua"/>
        </w:rPr>
        <w:t xml:space="preserve">that he would not have used deception as he would have lost his job and his house </w:t>
      </w:r>
      <w:r w:rsidR="002A3836" w:rsidRPr="00B74E8D">
        <w:rPr>
          <w:rFonts w:ascii="Book Antiqua" w:hAnsi="Book Antiqua"/>
        </w:rPr>
        <w:t>(see</w:t>
      </w:r>
      <w:r w:rsidRPr="00B74E8D">
        <w:rPr>
          <w:rFonts w:ascii="Book Antiqua" w:hAnsi="Book Antiqua"/>
        </w:rPr>
        <w:t xml:space="preserve"> paragraph 7).</w:t>
      </w:r>
      <w:r w:rsidR="00B74E8D" w:rsidRPr="00B74E8D">
        <w:rPr>
          <w:rFonts w:ascii="Book Antiqua" w:hAnsi="Book Antiqua"/>
        </w:rPr>
        <w:t xml:space="preserve"> </w:t>
      </w:r>
      <w:proofErr w:type="gramStart"/>
      <w:r w:rsidR="00B74E8D" w:rsidRPr="00B74E8D">
        <w:rPr>
          <w:rFonts w:ascii="Book Antiqua" w:hAnsi="Book Antiqua"/>
        </w:rPr>
        <w:t>Furthermore</w:t>
      </w:r>
      <w:proofErr w:type="gramEnd"/>
      <w:r w:rsidR="00B74E8D" w:rsidRPr="00B74E8D">
        <w:rPr>
          <w:rFonts w:ascii="Book Antiqua" w:hAnsi="Book Antiqua"/>
        </w:rPr>
        <w:t xml:space="preserve"> whilst the decision of MA made reference to reasons as to why some would use dishonest means, in my judgement it does not mean that a finding of someone’s English language ability that is documented and is contempora</w:t>
      </w:r>
      <w:r w:rsidR="00B74E8D">
        <w:rPr>
          <w:rFonts w:ascii="Book Antiqua" w:hAnsi="Book Antiqua"/>
        </w:rPr>
        <w:t xml:space="preserve">neous to the date of the test, should not be taken into account and given weight, as it makes it less likely that such an </w:t>
      </w:r>
      <w:r w:rsidR="00B76168">
        <w:rPr>
          <w:rFonts w:ascii="Book Antiqua" w:hAnsi="Book Antiqua"/>
        </w:rPr>
        <w:t>Appellant</w:t>
      </w:r>
      <w:r w:rsidR="00B74E8D">
        <w:rPr>
          <w:rFonts w:ascii="Book Antiqua" w:hAnsi="Book Antiqua"/>
        </w:rPr>
        <w:t xml:space="preserve"> would have cheated in such an exam. In this case, the judge </w:t>
      </w:r>
      <w:proofErr w:type="gramStart"/>
      <w:r w:rsidR="00B74E8D">
        <w:rPr>
          <w:rFonts w:ascii="Book Antiqua" w:hAnsi="Book Antiqua"/>
        </w:rPr>
        <w:t>took into account</w:t>
      </w:r>
      <w:proofErr w:type="gramEnd"/>
      <w:r w:rsidR="00B74E8D">
        <w:rPr>
          <w:rFonts w:ascii="Book Antiqua" w:hAnsi="Book Antiqua"/>
        </w:rPr>
        <w:t xml:space="preserve"> that he had passed an English language test in June 2011 which was prior to the testing question in November 2011 and contemporaneous in November 2011 he had passed his HND examinations which the judge was entitled to take into account supported his evidence that he had not used a proxy test taker.</w:t>
      </w:r>
    </w:p>
    <w:p w:rsidR="00B74E8D" w:rsidRDefault="00B74E8D" w:rsidP="00B74E8D">
      <w:pPr>
        <w:pStyle w:val="ListParagraph"/>
        <w:rPr>
          <w:rFonts w:ascii="Book Antiqua" w:hAnsi="Book Antiqua" w:cs="Arial"/>
        </w:rPr>
      </w:pPr>
    </w:p>
    <w:p w:rsidR="006F766E" w:rsidRPr="00B74E8D" w:rsidRDefault="006F766E" w:rsidP="00A56BF1">
      <w:pPr>
        <w:numPr>
          <w:ilvl w:val="0"/>
          <w:numId w:val="3"/>
        </w:numPr>
        <w:spacing w:before="240"/>
        <w:jc w:val="both"/>
        <w:rPr>
          <w:rFonts w:ascii="Book Antiqua" w:hAnsi="Book Antiqua" w:cs="Arial"/>
        </w:rPr>
      </w:pPr>
      <w:r w:rsidRPr="00B74E8D">
        <w:rPr>
          <w:rFonts w:ascii="Book Antiqua" w:hAnsi="Book Antiqua" w:cs="Arial"/>
        </w:rPr>
        <w:t>In reach</w:t>
      </w:r>
      <w:r w:rsidR="0031028D" w:rsidRPr="00B74E8D">
        <w:rPr>
          <w:rFonts w:ascii="Book Antiqua" w:hAnsi="Book Antiqua" w:cs="Arial"/>
        </w:rPr>
        <w:t xml:space="preserve">ing a decision on </w:t>
      </w:r>
      <w:r w:rsidR="005D0D80" w:rsidRPr="00B74E8D">
        <w:rPr>
          <w:rFonts w:ascii="Book Antiqua" w:hAnsi="Book Antiqua" w:cs="Arial"/>
        </w:rPr>
        <w:t>this issue and</w:t>
      </w:r>
      <w:r w:rsidRPr="00B74E8D">
        <w:rPr>
          <w:rFonts w:ascii="Book Antiqua" w:hAnsi="Book Antiqua" w:cs="Arial"/>
        </w:rPr>
        <w:t xml:space="preserve"> addressing the legal burden,</w:t>
      </w:r>
      <w:r w:rsidR="006D40C3" w:rsidRPr="00B74E8D">
        <w:rPr>
          <w:rFonts w:ascii="Book Antiqua" w:hAnsi="Book Antiqua" w:cs="Arial"/>
        </w:rPr>
        <w:t xml:space="preserve"> </w:t>
      </w:r>
      <w:r w:rsidRPr="00B74E8D">
        <w:rPr>
          <w:rFonts w:ascii="Book Antiqua" w:hAnsi="Book Antiqua"/>
        </w:rPr>
        <w:t xml:space="preserve">the factors that the Upper </w:t>
      </w:r>
      <w:r w:rsidR="00B76168">
        <w:rPr>
          <w:rFonts w:ascii="Book Antiqua" w:hAnsi="Book Antiqua"/>
        </w:rPr>
        <w:t>Tribunal</w:t>
      </w:r>
      <w:r w:rsidRPr="00B74E8D">
        <w:rPr>
          <w:rFonts w:ascii="Book Antiqua" w:hAnsi="Book Antiqua"/>
        </w:rPr>
        <w:t xml:space="preserve"> noted at paragr</w:t>
      </w:r>
      <w:r w:rsidR="006D40C3" w:rsidRPr="00B74E8D">
        <w:rPr>
          <w:rFonts w:ascii="Book Antiqua" w:hAnsi="Book Antiqua"/>
        </w:rPr>
        <w:t xml:space="preserve">aph 69 of their decision in </w:t>
      </w:r>
      <w:r w:rsidR="006D40C3" w:rsidRPr="00B74E8D">
        <w:rPr>
          <w:rFonts w:ascii="Book Antiqua" w:hAnsi="Book Antiqua"/>
          <w:u w:val="single"/>
        </w:rPr>
        <w:t xml:space="preserve">SM </w:t>
      </w:r>
      <w:r w:rsidR="006A6CCB" w:rsidRPr="00B74E8D">
        <w:rPr>
          <w:rFonts w:ascii="Book Antiqua" w:hAnsi="Book Antiqua"/>
          <w:u w:val="single"/>
        </w:rPr>
        <w:t xml:space="preserve">and </w:t>
      </w:r>
      <w:proofErr w:type="spellStart"/>
      <w:r w:rsidR="006A6CCB" w:rsidRPr="00B74E8D">
        <w:rPr>
          <w:rFonts w:ascii="Book Antiqua" w:hAnsi="Book Antiqua"/>
          <w:u w:val="single"/>
        </w:rPr>
        <w:t>Qadir</w:t>
      </w:r>
      <w:proofErr w:type="spellEnd"/>
      <w:r w:rsidRPr="00B74E8D">
        <w:rPr>
          <w:rFonts w:ascii="Book Antiqua" w:hAnsi="Book Antiqua"/>
        </w:rPr>
        <w:t xml:space="preserve"> as being relevant to considering an allegation of dishonesty in this context: "include (</w:t>
      </w:r>
      <w:r w:rsidR="006A6CCB" w:rsidRPr="00B74E8D">
        <w:rPr>
          <w:rFonts w:ascii="Book Antiqua" w:hAnsi="Book Antiqua"/>
        </w:rPr>
        <w:t>in exhaustively</w:t>
      </w:r>
      <w:r w:rsidRPr="00B74E8D">
        <w:rPr>
          <w:rFonts w:ascii="Book Antiqua" w:hAnsi="Book Antiqua"/>
        </w:rPr>
        <w:t xml:space="preserve">, </w:t>
      </w:r>
      <w:r w:rsidR="00255114" w:rsidRPr="00B74E8D">
        <w:rPr>
          <w:rFonts w:ascii="Book Antiqua" w:hAnsi="Book Antiqua"/>
        </w:rPr>
        <w:t>we</w:t>
      </w:r>
      <w:r w:rsidRPr="00B74E8D">
        <w:rPr>
          <w:rFonts w:ascii="Book Antiqua" w:hAnsi="Book Antiqua"/>
        </w:rPr>
        <w:t xml:space="preserve"> would add) what the person accused has to gain from being dishonest; what he has to lose from being dishonest; what is known about his character; and the culture or environment in which he operated. Mr Dunlop also highlighted the importance of three further considerations, namely how the </w:t>
      </w:r>
      <w:r w:rsidR="00B76168">
        <w:rPr>
          <w:rFonts w:ascii="Book Antiqua" w:hAnsi="Book Antiqua"/>
        </w:rPr>
        <w:t>Appellant</w:t>
      </w:r>
      <w:r w:rsidRPr="00B74E8D">
        <w:rPr>
          <w:rFonts w:ascii="Book Antiqua" w:hAnsi="Book Antiqua"/>
        </w:rPr>
        <w:t xml:space="preserve">s performed under cross examination, whether the </w:t>
      </w:r>
      <w:r w:rsidR="00B76168">
        <w:rPr>
          <w:rFonts w:ascii="Book Antiqua" w:hAnsi="Book Antiqua"/>
        </w:rPr>
        <w:t>Tribunal</w:t>
      </w:r>
      <w:r w:rsidRPr="00B74E8D">
        <w:rPr>
          <w:rFonts w:ascii="Book Antiqua" w:hAnsi="Book Antiqua"/>
        </w:rPr>
        <w:t>'s assessment of their English language proficiency is commensurate with their TOEIC scores and whether their academic achievements are such that it was unnecessary or illogical for them to have cheated."</w:t>
      </w:r>
    </w:p>
    <w:p w:rsidR="000D0FF1" w:rsidRPr="00DC27ED" w:rsidRDefault="006F766E" w:rsidP="00A56BF1">
      <w:pPr>
        <w:numPr>
          <w:ilvl w:val="0"/>
          <w:numId w:val="3"/>
        </w:numPr>
        <w:spacing w:before="240"/>
        <w:jc w:val="both"/>
        <w:rPr>
          <w:rFonts w:ascii="Book Antiqua" w:hAnsi="Book Antiqua" w:cs="Arial"/>
        </w:rPr>
      </w:pPr>
      <w:r w:rsidRPr="00DC27ED">
        <w:rPr>
          <w:rFonts w:ascii="Book Antiqua" w:hAnsi="Book Antiqua" w:cs="Arial"/>
        </w:rPr>
        <w:t xml:space="preserve">The Court of Appeal in </w:t>
      </w:r>
      <w:r w:rsidR="006D40C3" w:rsidRPr="00DC27ED">
        <w:rPr>
          <w:rFonts w:ascii="Book Antiqua" w:hAnsi="Book Antiqua" w:cs="Arial"/>
          <w:u w:val="single"/>
        </w:rPr>
        <w:t xml:space="preserve">SM </w:t>
      </w:r>
      <w:r w:rsidRPr="00DC27ED">
        <w:rPr>
          <w:rFonts w:ascii="Book Antiqua" w:hAnsi="Book Antiqua" w:cs="Arial"/>
          <w:u w:val="single"/>
        </w:rPr>
        <w:t xml:space="preserve">and </w:t>
      </w:r>
      <w:proofErr w:type="spellStart"/>
      <w:r w:rsidRPr="00DC27ED">
        <w:rPr>
          <w:rFonts w:ascii="Book Antiqua" w:hAnsi="Book Antiqua" w:cs="Arial"/>
          <w:u w:val="single"/>
        </w:rPr>
        <w:t>Qadir</w:t>
      </w:r>
      <w:proofErr w:type="spellEnd"/>
      <w:r w:rsidRPr="00DC27ED">
        <w:rPr>
          <w:rFonts w:ascii="Book Antiqua" w:hAnsi="Book Antiqua" w:cs="Arial"/>
        </w:rPr>
        <w:t xml:space="preserve"> </w:t>
      </w:r>
      <w:r w:rsidR="006D40C3" w:rsidRPr="00DC27ED">
        <w:rPr>
          <w:rFonts w:ascii="Book Antiqua" w:hAnsi="Book Antiqua" w:cs="Arial"/>
        </w:rPr>
        <w:t xml:space="preserve">[2016] EWCA </w:t>
      </w:r>
      <w:proofErr w:type="spellStart"/>
      <w:r w:rsidR="006D40C3" w:rsidRPr="00DC27ED">
        <w:rPr>
          <w:rFonts w:ascii="Book Antiqua" w:hAnsi="Book Antiqua" w:cs="Arial"/>
        </w:rPr>
        <w:t>Civ</w:t>
      </w:r>
      <w:proofErr w:type="spellEnd"/>
      <w:r w:rsidR="006D40C3" w:rsidRPr="00DC27ED">
        <w:rPr>
          <w:rFonts w:ascii="Book Antiqua" w:hAnsi="Book Antiqua" w:cs="Arial"/>
        </w:rPr>
        <w:t xml:space="preserve"> 1167 </w:t>
      </w:r>
      <w:r w:rsidRPr="00DC27ED">
        <w:rPr>
          <w:rFonts w:ascii="Book Antiqua" w:hAnsi="Book Antiqua" w:cs="Arial"/>
        </w:rPr>
        <w:t xml:space="preserve">endorsed that approach. </w:t>
      </w:r>
      <w:r w:rsidR="00B2690A">
        <w:rPr>
          <w:rFonts w:ascii="Book Antiqua" w:hAnsi="Book Antiqua" w:cs="Arial"/>
        </w:rPr>
        <w:t xml:space="preserve"> I am satisfied that they</w:t>
      </w:r>
      <w:r w:rsidR="006F378A">
        <w:rPr>
          <w:rFonts w:ascii="Book Antiqua" w:hAnsi="Book Antiqua" w:cs="Arial"/>
        </w:rPr>
        <w:t xml:space="preserve"> were the matters </w:t>
      </w:r>
      <w:proofErr w:type="gramStart"/>
      <w:r w:rsidR="00B2690A">
        <w:rPr>
          <w:rFonts w:ascii="Book Antiqua" w:hAnsi="Book Antiqua" w:cs="Arial"/>
        </w:rPr>
        <w:t>taken into account</w:t>
      </w:r>
      <w:proofErr w:type="gramEnd"/>
      <w:r w:rsidR="00B2690A">
        <w:rPr>
          <w:rFonts w:ascii="Book Antiqua" w:hAnsi="Book Antiqua" w:cs="Arial"/>
        </w:rPr>
        <w:t xml:space="preserve"> by the judge on the evidence as recorded in the determination.</w:t>
      </w:r>
    </w:p>
    <w:p w:rsidR="006F766E" w:rsidRPr="00DC27ED" w:rsidRDefault="006F766E" w:rsidP="00A56BF1">
      <w:pPr>
        <w:numPr>
          <w:ilvl w:val="0"/>
          <w:numId w:val="3"/>
        </w:numPr>
        <w:spacing w:before="240"/>
        <w:jc w:val="both"/>
        <w:rPr>
          <w:rFonts w:ascii="Book Antiqua" w:hAnsi="Book Antiqua" w:cs="Arial"/>
        </w:rPr>
      </w:pPr>
      <w:r w:rsidRPr="00DC27ED">
        <w:rPr>
          <w:rFonts w:ascii="Book Antiqua" w:hAnsi="Book Antiqua" w:cs="Arial"/>
        </w:rPr>
        <w:t>At paragraph 89</w:t>
      </w:r>
      <w:r w:rsidR="006A6CCB" w:rsidRPr="00DC27ED">
        <w:rPr>
          <w:rFonts w:ascii="Book Antiqua" w:hAnsi="Book Antiqua" w:cs="Arial"/>
        </w:rPr>
        <w:t xml:space="preserve"> the Upper </w:t>
      </w:r>
      <w:r w:rsidR="00B76168">
        <w:rPr>
          <w:rFonts w:ascii="Book Antiqua" w:hAnsi="Book Antiqua" w:cs="Arial"/>
        </w:rPr>
        <w:t>Tribunal</w:t>
      </w:r>
      <w:r w:rsidR="00255114" w:rsidRPr="00DC27ED">
        <w:rPr>
          <w:rFonts w:ascii="Book Antiqua" w:hAnsi="Book Antiqua" w:cs="Arial"/>
        </w:rPr>
        <w:t xml:space="preserve"> in </w:t>
      </w:r>
      <w:r w:rsidR="00255114" w:rsidRPr="00DC27ED">
        <w:rPr>
          <w:rFonts w:ascii="Book Antiqua" w:hAnsi="Book Antiqua" w:cs="Arial"/>
          <w:u w:val="single"/>
        </w:rPr>
        <w:t>SM</w:t>
      </w:r>
      <w:r w:rsidR="006A6CCB" w:rsidRPr="00DC27ED">
        <w:rPr>
          <w:rFonts w:ascii="Book Antiqua" w:hAnsi="Book Antiqua" w:cs="Arial"/>
          <w:u w:val="single"/>
        </w:rPr>
        <w:t xml:space="preserve"> and </w:t>
      </w:r>
      <w:proofErr w:type="spellStart"/>
      <w:r w:rsidR="006A6CCB" w:rsidRPr="00DC27ED">
        <w:rPr>
          <w:rFonts w:ascii="Book Antiqua" w:hAnsi="Book Antiqua" w:cs="Arial"/>
          <w:u w:val="single"/>
        </w:rPr>
        <w:t>Q</w:t>
      </w:r>
      <w:r w:rsidRPr="00DC27ED">
        <w:rPr>
          <w:rFonts w:ascii="Book Antiqua" w:hAnsi="Book Antiqua" w:cs="Arial"/>
          <w:u w:val="single"/>
        </w:rPr>
        <w:t>adir</w:t>
      </w:r>
      <w:proofErr w:type="spellEnd"/>
      <w:r w:rsidRPr="00DC27ED">
        <w:rPr>
          <w:rFonts w:ascii="Book Antiqua" w:hAnsi="Book Antiqua" w:cs="Arial"/>
        </w:rPr>
        <w:t xml:space="preserve"> stated as follows </w:t>
      </w:r>
    </w:p>
    <w:p w:rsidR="006F766E" w:rsidRPr="00DC27ED" w:rsidRDefault="006F766E" w:rsidP="006F378A">
      <w:pPr>
        <w:spacing w:before="240"/>
        <w:ind w:left="720"/>
        <w:jc w:val="both"/>
        <w:rPr>
          <w:rFonts w:ascii="Book Antiqua" w:hAnsi="Book Antiqua" w:cs="Arial"/>
        </w:rPr>
      </w:pPr>
      <w:r w:rsidRPr="00DC27ED">
        <w:rPr>
          <w:rFonts w:ascii="Book Antiqua" w:hAnsi="Book Antiqua" w:cs="Arial"/>
        </w:rPr>
        <w:lastRenderedPageBreak/>
        <w:t>“</w:t>
      </w:r>
      <w:r w:rsidR="00CD25F4" w:rsidRPr="00DC27ED">
        <w:rPr>
          <w:rFonts w:ascii="Book Antiqua" w:hAnsi="Book Antiqua" w:cs="Arial"/>
        </w:rPr>
        <w:t>The</w:t>
      </w:r>
      <w:r w:rsidRPr="00DC27ED">
        <w:rPr>
          <w:rFonts w:ascii="Book Antiqua" w:hAnsi="Book Antiqua" w:cs="Arial"/>
        </w:rPr>
        <w:t xml:space="preserve"> final question is whether the Secretary of State is discharge the legal burden of establishing on the balance of probabilities that this </w:t>
      </w:r>
      <w:r w:rsidR="00B76168">
        <w:rPr>
          <w:rFonts w:ascii="Book Antiqua" w:hAnsi="Book Antiqua" w:cs="Arial"/>
        </w:rPr>
        <w:t>Appellant</w:t>
      </w:r>
      <w:r w:rsidRPr="00DC27ED">
        <w:rPr>
          <w:rFonts w:ascii="Book Antiqua" w:hAnsi="Book Antiqua" w:cs="Arial"/>
        </w:rPr>
        <w:t xml:space="preserve"> procured his TOEIC certificate by deceit. The answer to this question requires a balancing of all of the findings and </w:t>
      </w:r>
      <w:r w:rsidR="00255114" w:rsidRPr="00DC27ED">
        <w:rPr>
          <w:rFonts w:ascii="Book Antiqua" w:hAnsi="Book Antiqua" w:cs="Arial"/>
        </w:rPr>
        <w:t xml:space="preserve">the </w:t>
      </w:r>
      <w:r w:rsidRPr="00DC27ED">
        <w:rPr>
          <w:rFonts w:ascii="Book Antiqua" w:hAnsi="Book Antiqua" w:cs="Arial"/>
        </w:rPr>
        <w:t>evaluative assessments rehearsed above.”</w:t>
      </w:r>
    </w:p>
    <w:p w:rsidR="00DD15E3" w:rsidRDefault="006F766E" w:rsidP="00A56BF1">
      <w:pPr>
        <w:numPr>
          <w:ilvl w:val="0"/>
          <w:numId w:val="3"/>
        </w:numPr>
        <w:spacing w:before="240"/>
        <w:jc w:val="both"/>
        <w:rPr>
          <w:rFonts w:ascii="Book Antiqua" w:hAnsi="Book Antiqua" w:cs="Arial"/>
        </w:rPr>
      </w:pPr>
      <w:r w:rsidRPr="00DC27ED">
        <w:rPr>
          <w:rFonts w:ascii="Book Antiqua" w:hAnsi="Book Antiqua" w:cs="Arial"/>
        </w:rPr>
        <w:t xml:space="preserve">In this context findings of fact were necessary on the evidence given by the </w:t>
      </w:r>
      <w:r w:rsidR="00B76168">
        <w:rPr>
          <w:rFonts w:ascii="Book Antiqua" w:hAnsi="Book Antiqua" w:cs="Arial"/>
        </w:rPr>
        <w:t>Appellant</w:t>
      </w:r>
      <w:r w:rsidRPr="00DC27ED">
        <w:rPr>
          <w:rFonts w:ascii="Book Antiqua" w:hAnsi="Book Antiqua" w:cs="Arial"/>
        </w:rPr>
        <w:t xml:space="preserve"> to demonstrate that he had not engaged in deception but had sat the test. The </w:t>
      </w:r>
      <w:r w:rsidR="00B76168">
        <w:rPr>
          <w:rFonts w:ascii="Book Antiqua" w:hAnsi="Book Antiqua" w:cs="Arial"/>
        </w:rPr>
        <w:t>Appellant</w:t>
      </w:r>
      <w:r w:rsidR="00B2690A">
        <w:rPr>
          <w:rFonts w:ascii="Book Antiqua" w:hAnsi="Book Antiqua" w:cs="Arial"/>
        </w:rPr>
        <w:t xml:space="preserve"> had given an</w:t>
      </w:r>
      <w:r w:rsidRPr="00DC27ED">
        <w:rPr>
          <w:rFonts w:ascii="Book Antiqua" w:hAnsi="Book Antiqua" w:cs="Arial"/>
        </w:rPr>
        <w:t xml:space="preserve"> account as to how he had sat the exam</w:t>
      </w:r>
      <w:r w:rsidR="00DD15E3">
        <w:rPr>
          <w:rFonts w:ascii="Book Antiqua" w:hAnsi="Book Antiqua" w:cs="Arial"/>
        </w:rPr>
        <w:t>ination as recorded in the oral evid</w:t>
      </w:r>
      <w:r w:rsidR="00B2690A">
        <w:rPr>
          <w:rFonts w:ascii="Book Antiqua" w:hAnsi="Book Antiqua" w:cs="Arial"/>
        </w:rPr>
        <w:t>ence set out at paragraph 6, 7 and 15</w:t>
      </w:r>
      <w:r w:rsidRPr="00DC27ED">
        <w:rPr>
          <w:rFonts w:ascii="Book Antiqua" w:hAnsi="Book Antiqua" w:cs="Arial"/>
        </w:rPr>
        <w:t xml:space="preserve">. In the case of </w:t>
      </w:r>
      <w:r w:rsidRPr="00DC27ED">
        <w:rPr>
          <w:rFonts w:ascii="Book Antiqua" w:hAnsi="Book Antiqua" w:cs="Arial"/>
          <w:u w:val="single"/>
        </w:rPr>
        <w:t xml:space="preserve">SM and </w:t>
      </w:r>
      <w:proofErr w:type="spellStart"/>
      <w:r w:rsidRPr="00DC27ED">
        <w:rPr>
          <w:rFonts w:ascii="Book Antiqua" w:hAnsi="Book Antiqua" w:cs="Arial"/>
          <w:u w:val="single"/>
        </w:rPr>
        <w:t>Qadir</w:t>
      </w:r>
      <w:proofErr w:type="spellEnd"/>
      <w:r w:rsidRPr="00DC27ED">
        <w:rPr>
          <w:rFonts w:ascii="Book Antiqua" w:hAnsi="Book Antiqua" w:cs="Arial"/>
        </w:rPr>
        <w:t xml:space="preserve">, one of the </w:t>
      </w:r>
      <w:r w:rsidR="00B76168">
        <w:rPr>
          <w:rFonts w:ascii="Book Antiqua" w:hAnsi="Book Antiqua" w:cs="Arial"/>
        </w:rPr>
        <w:t>Appellant</w:t>
      </w:r>
      <w:r w:rsidRPr="00DC27ED">
        <w:rPr>
          <w:rFonts w:ascii="Book Antiqua" w:hAnsi="Book Antiqua" w:cs="Arial"/>
        </w:rPr>
        <w:t>s had given details of how he sat the test (see paragraph 45)</w:t>
      </w:r>
      <w:r w:rsidR="00255114" w:rsidRPr="00DC27ED">
        <w:rPr>
          <w:rFonts w:ascii="Book Antiqua" w:hAnsi="Book Antiqua" w:cs="Arial"/>
        </w:rPr>
        <w:t xml:space="preserve"> althou</w:t>
      </w:r>
      <w:r w:rsidR="00B2690A">
        <w:rPr>
          <w:rFonts w:ascii="Book Antiqua" w:hAnsi="Book Antiqua" w:cs="Arial"/>
        </w:rPr>
        <w:t>gh I accept in impressive detail.</w:t>
      </w:r>
      <w:r w:rsidRPr="00DC27ED">
        <w:rPr>
          <w:rFonts w:ascii="Book Antiqua" w:hAnsi="Book Antiqua" w:cs="Arial"/>
        </w:rPr>
        <w:t xml:space="preserve"> </w:t>
      </w:r>
      <w:proofErr w:type="gramStart"/>
      <w:r w:rsidRPr="00DC27ED">
        <w:rPr>
          <w:rFonts w:ascii="Book Antiqua" w:hAnsi="Book Antiqua" w:cs="Arial"/>
        </w:rPr>
        <w:t>Therefore</w:t>
      </w:r>
      <w:proofErr w:type="gramEnd"/>
      <w:r w:rsidRPr="00DC27ED">
        <w:rPr>
          <w:rFonts w:ascii="Book Antiqua" w:hAnsi="Book Antiqua" w:cs="Arial"/>
        </w:rPr>
        <w:t xml:space="preserve"> the judge was required to consider that aspect of his account along with the other factors set out in paragraph 69 relevant to the issue of dishonesty; in this case what was known about the </w:t>
      </w:r>
      <w:r w:rsidR="00B76168">
        <w:rPr>
          <w:rFonts w:ascii="Book Antiqua" w:hAnsi="Book Antiqua" w:cs="Arial"/>
        </w:rPr>
        <w:t>Appellant</w:t>
      </w:r>
      <w:r w:rsidR="00DD15E3">
        <w:rPr>
          <w:rFonts w:ascii="Book Antiqua" w:hAnsi="Book Antiqua" w:cs="Arial"/>
        </w:rPr>
        <w:t>’s character,</w:t>
      </w:r>
      <w:r w:rsidRPr="00DC27ED">
        <w:rPr>
          <w:rFonts w:ascii="Book Antiqua" w:hAnsi="Book Antiqua" w:cs="Arial"/>
        </w:rPr>
        <w:t xml:space="preserve"> what he would have to lose by using deception along with his level of English (which the judge did consider) and any other relevant factor</w:t>
      </w:r>
      <w:r w:rsidR="009A7E04" w:rsidRPr="00DC27ED">
        <w:rPr>
          <w:rFonts w:ascii="Book Antiqua" w:hAnsi="Book Antiqua" w:cs="Arial"/>
        </w:rPr>
        <w:t>s</w:t>
      </w:r>
      <w:r w:rsidRPr="00DC27ED">
        <w:rPr>
          <w:rFonts w:ascii="Book Antiqua" w:hAnsi="Book Antiqua" w:cs="Arial"/>
        </w:rPr>
        <w:t>.</w:t>
      </w:r>
    </w:p>
    <w:p w:rsidR="00DD15E3" w:rsidRDefault="00DD15E3" w:rsidP="00A56BF1">
      <w:pPr>
        <w:numPr>
          <w:ilvl w:val="0"/>
          <w:numId w:val="3"/>
        </w:numPr>
        <w:spacing w:before="240"/>
        <w:jc w:val="both"/>
        <w:rPr>
          <w:rFonts w:ascii="Book Antiqua" w:hAnsi="Book Antiqua" w:cs="Arial"/>
        </w:rPr>
      </w:pPr>
      <w:r w:rsidRPr="00DD15E3">
        <w:rPr>
          <w:rFonts w:ascii="Book Antiqua" w:hAnsi="Book Antiqua" w:cs="Arial"/>
        </w:rPr>
        <w:t xml:space="preserve"> </w:t>
      </w:r>
      <w:proofErr w:type="gramStart"/>
      <w:r w:rsidRPr="00DD15E3">
        <w:rPr>
          <w:rFonts w:ascii="Book Antiqua" w:hAnsi="Book Antiqua" w:cs="Arial"/>
        </w:rPr>
        <w:t>Therefore</w:t>
      </w:r>
      <w:proofErr w:type="gramEnd"/>
      <w:r w:rsidRPr="00DD15E3">
        <w:rPr>
          <w:rFonts w:ascii="Book Antiqua" w:hAnsi="Book Antiqua" w:cs="Arial"/>
        </w:rPr>
        <w:t xml:space="preserve"> contrary to the gr</w:t>
      </w:r>
      <w:r w:rsidR="00A24A81">
        <w:rPr>
          <w:rFonts w:ascii="Book Antiqua" w:hAnsi="Book Antiqua" w:cs="Arial"/>
        </w:rPr>
        <w:t>ounds, it was open to the judge</w:t>
      </w:r>
      <w:r w:rsidR="006F378A">
        <w:rPr>
          <w:rFonts w:ascii="Book Antiqua" w:hAnsi="Book Antiqua" w:cs="Arial"/>
        </w:rPr>
        <w:t xml:space="preserve"> to make</w:t>
      </w:r>
      <w:r w:rsidR="006F766E" w:rsidRPr="00A24A81">
        <w:rPr>
          <w:rFonts w:ascii="Book Antiqua" w:hAnsi="Book Antiqua" w:cs="Arial"/>
        </w:rPr>
        <w:t xml:space="preserve"> reference to the English-language </w:t>
      </w:r>
      <w:r w:rsidRPr="00A24A81">
        <w:rPr>
          <w:rFonts w:ascii="Book Antiqua" w:hAnsi="Book Antiqua" w:cs="Arial"/>
        </w:rPr>
        <w:t>certificates</w:t>
      </w:r>
      <w:r w:rsidR="00CD25F4" w:rsidRPr="00A24A81">
        <w:rPr>
          <w:rFonts w:ascii="Book Antiqua" w:hAnsi="Book Antiqua" w:cs="Arial"/>
        </w:rPr>
        <w:t>, and</w:t>
      </w:r>
      <w:r w:rsidRPr="00A24A81">
        <w:rPr>
          <w:rFonts w:ascii="Book Antiqua" w:hAnsi="Book Antiqua" w:cs="Arial"/>
        </w:rPr>
        <w:t xml:space="preserve"> his educational background</w:t>
      </w:r>
      <w:r w:rsidR="006F378A">
        <w:rPr>
          <w:rFonts w:ascii="Book Antiqua" w:hAnsi="Book Antiqua" w:cs="Arial"/>
        </w:rPr>
        <w:t xml:space="preserve"> </w:t>
      </w:r>
      <w:r w:rsidR="00B2690A">
        <w:rPr>
          <w:rFonts w:ascii="Book Antiqua" w:hAnsi="Book Antiqua" w:cs="Arial"/>
        </w:rPr>
        <w:t xml:space="preserve">(both of which were supported by contemporaneous documentation) </w:t>
      </w:r>
      <w:r w:rsidR="006F378A">
        <w:rPr>
          <w:rFonts w:ascii="Book Antiqua" w:hAnsi="Book Antiqua" w:cs="Arial"/>
        </w:rPr>
        <w:t xml:space="preserve">and the evidence as to the circumstances in which he sat </w:t>
      </w:r>
      <w:r w:rsidR="00CD25F4">
        <w:rPr>
          <w:rFonts w:ascii="Book Antiqua" w:hAnsi="Book Antiqua" w:cs="Arial"/>
        </w:rPr>
        <w:t>the test</w:t>
      </w:r>
      <w:r w:rsidR="006F378A">
        <w:rPr>
          <w:rFonts w:ascii="Book Antiqua" w:hAnsi="Book Antiqua" w:cs="Arial"/>
        </w:rPr>
        <w:t xml:space="preserve">. </w:t>
      </w:r>
    </w:p>
    <w:p w:rsidR="007E4A38" w:rsidRPr="007E4A38" w:rsidRDefault="00B74E8D" w:rsidP="00A56BF1">
      <w:pPr>
        <w:numPr>
          <w:ilvl w:val="0"/>
          <w:numId w:val="3"/>
        </w:numPr>
        <w:spacing w:before="240"/>
        <w:jc w:val="both"/>
        <w:rPr>
          <w:rFonts w:ascii="Book Antiqua" w:hAnsi="Book Antiqua" w:cs="Arial"/>
        </w:rPr>
      </w:pPr>
      <w:r>
        <w:rPr>
          <w:rFonts w:ascii="Book Antiqua" w:hAnsi="Book Antiqua" w:cs="Arial"/>
        </w:rPr>
        <w:t xml:space="preserve">Neither party referred me to the decision of the Court of Appeal in </w:t>
      </w:r>
      <w:r w:rsidRPr="007E4A38">
        <w:rPr>
          <w:rFonts w:ascii="Book Antiqua" w:hAnsi="Book Antiqua" w:cs="Arial"/>
          <w:u w:val="single"/>
        </w:rPr>
        <w:t>Ahsan</w:t>
      </w:r>
      <w:r w:rsidR="00B6313D">
        <w:rPr>
          <w:rFonts w:ascii="Book Antiqua" w:hAnsi="Book Antiqua" w:cs="Arial"/>
        </w:rPr>
        <w:t xml:space="preserve"> </w:t>
      </w:r>
      <w:r w:rsidR="00B6313D">
        <w:t xml:space="preserve">[2017] EWCA </w:t>
      </w:r>
      <w:proofErr w:type="spellStart"/>
      <w:r w:rsidR="00B6313D">
        <w:t>Civ</w:t>
      </w:r>
      <w:proofErr w:type="spellEnd"/>
      <w:r w:rsidR="00B6313D">
        <w:t xml:space="preserve"> 2009</w:t>
      </w:r>
      <w:r>
        <w:rPr>
          <w:rFonts w:ascii="Book Antiqua" w:hAnsi="Book Antiqua" w:cs="Arial"/>
        </w:rPr>
        <w:t xml:space="preserve"> and the observations made by</w:t>
      </w:r>
      <w:r w:rsidR="007E4A38">
        <w:rPr>
          <w:rFonts w:ascii="Book Antiqua" w:hAnsi="Book Antiqua" w:cs="Arial"/>
        </w:rPr>
        <w:t xml:space="preserve"> Underhill LJ which relate</w:t>
      </w:r>
      <w:r>
        <w:rPr>
          <w:rFonts w:ascii="Book Antiqua" w:hAnsi="Book Antiqua" w:cs="Arial"/>
        </w:rPr>
        <w:t xml:space="preserve"> to the request for a copy of voice recordings. As set out in that decision, any </w:t>
      </w:r>
      <w:r w:rsidR="00B76168">
        <w:rPr>
          <w:rFonts w:ascii="Book Antiqua" w:hAnsi="Book Antiqua" w:cs="Arial"/>
        </w:rPr>
        <w:t>Appellant</w:t>
      </w:r>
      <w:r>
        <w:rPr>
          <w:rFonts w:ascii="Book Antiqua" w:hAnsi="Book Antiqua" w:cs="Arial"/>
        </w:rPr>
        <w:t xml:space="preserve"> faced with an adverse decision could apply for a copy of the voice recording to enable an expert to be instructed and that in a case where a voice file does not contain the </w:t>
      </w:r>
      <w:r w:rsidR="00B76168">
        <w:rPr>
          <w:rFonts w:ascii="Book Antiqua" w:hAnsi="Book Antiqua" w:cs="Arial"/>
        </w:rPr>
        <w:t>Appellant</w:t>
      </w:r>
      <w:r>
        <w:rPr>
          <w:rFonts w:ascii="Book Antiqua" w:hAnsi="Book Antiqua" w:cs="Arial"/>
        </w:rPr>
        <w:t xml:space="preserve">s voice or no attempt to be made to obtain the voice recording the case that he had cheated would be hard to resist. </w:t>
      </w:r>
      <w:r w:rsidR="007E4A38">
        <w:rPr>
          <w:rFonts w:ascii="Book Antiqua" w:hAnsi="Book Antiqua" w:cs="Arial"/>
        </w:rPr>
        <w:t>A</w:t>
      </w:r>
      <w:r w:rsidR="007E4A38" w:rsidRPr="007E4A38">
        <w:rPr>
          <w:rFonts w:ascii="Book Antiqua" w:hAnsi="Book Antiqua"/>
        </w:rPr>
        <w:t xml:space="preserve">t paragraph 25 </w:t>
      </w:r>
      <w:r w:rsidR="007E4A38">
        <w:rPr>
          <w:rFonts w:ascii="Book Antiqua" w:hAnsi="Book Antiqua"/>
        </w:rPr>
        <w:t xml:space="preserve">the decision </w:t>
      </w:r>
      <w:proofErr w:type="gramStart"/>
      <w:r w:rsidR="007E4A38" w:rsidRPr="007E4A38">
        <w:rPr>
          <w:rFonts w:ascii="Book Antiqua" w:hAnsi="Book Antiqua"/>
        </w:rPr>
        <w:t>makes reference</w:t>
      </w:r>
      <w:proofErr w:type="gramEnd"/>
      <w:r w:rsidR="007E4A38" w:rsidRPr="007E4A38">
        <w:rPr>
          <w:rFonts w:ascii="Book Antiqua" w:hAnsi="Book Antiqua"/>
        </w:rPr>
        <w:t xml:space="preserve"> to the availability of voice files. It seems that at least by the beginning of August 2016 (Ahsan </w:t>
      </w:r>
      <w:r w:rsidR="002A3836" w:rsidRPr="007E4A38">
        <w:rPr>
          <w:rFonts w:ascii="Book Antiqua" w:hAnsi="Book Antiqua"/>
        </w:rPr>
        <w:t>at [</w:t>
      </w:r>
      <w:r w:rsidR="007E4A38" w:rsidRPr="007E4A38">
        <w:rPr>
          <w:rFonts w:ascii="Book Antiqua" w:hAnsi="Book Antiqua"/>
        </w:rPr>
        <w:t xml:space="preserve">29]), it was known that voice files could be obtained, although it is not clear from Ahsan how easy that process was at that time or how that mechanism worked. Paragraph 22 of SM and </w:t>
      </w:r>
      <w:proofErr w:type="spellStart"/>
      <w:r w:rsidR="007E4A38" w:rsidRPr="007E4A38">
        <w:rPr>
          <w:rFonts w:ascii="Book Antiqua" w:hAnsi="Book Antiqua"/>
        </w:rPr>
        <w:t>Qadir</w:t>
      </w:r>
      <w:proofErr w:type="spellEnd"/>
      <w:r w:rsidR="007E4A38" w:rsidRPr="007E4A38">
        <w:rPr>
          <w:rFonts w:ascii="Book Antiqua" w:hAnsi="Book Antiqua"/>
        </w:rPr>
        <w:t xml:space="preserve"> (ETS - Evidence - Burden of proof) [2016] UKUT 229 (IAC), heard between 5 Februa</w:t>
      </w:r>
      <w:r w:rsidR="007E4A38">
        <w:rPr>
          <w:rFonts w:ascii="Book Antiqua" w:hAnsi="Book Antiqua"/>
        </w:rPr>
        <w:t xml:space="preserve">ry and 7 March 2016, records </w:t>
      </w:r>
      <w:r w:rsidR="007E4A38">
        <w:rPr>
          <w:rFonts w:ascii="Book Antiqua" w:hAnsi="Book Antiqua"/>
        </w:rPr>
        <w:br/>
      </w:r>
      <w:r w:rsidR="007E4A38">
        <w:rPr>
          <w:rFonts w:ascii="Book Antiqua" w:hAnsi="Book Antiqua"/>
        </w:rPr>
        <w:br/>
      </w:r>
      <w:proofErr w:type="gramStart"/>
      <w:r w:rsidR="007E4A38">
        <w:rPr>
          <w:rFonts w:ascii="Book Antiqua" w:hAnsi="Book Antiqua"/>
        </w:rPr>
        <w:t>“</w:t>
      </w:r>
      <w:r w:rsidR="007E4A38" w:rsidRPr="007E4A38">
        <w:rPr>
          <w:rFonts w:ascii="Book Antiqua" w:hAnsi="Book Antiqua"/>
        </w:rPr>
        <w:t>..</w:t>
      </w:r>
      <w:proofErr w:type="gramEnd"/>
      <w:r w:rsidR="007E4A38" w:rsidRPr="007E4A38">
        <w:rPr>
          <w:rFonts w:ascii="Book Antiqua" w:hAnsi="Book Antiqua"/>
        </w:rPr>
        <w:t xml:space="preserve">Mr Millington testified that to his knowledge the Home Office has at no time requested ETS to provide the voice recordings in respect of any individual. Nor, he added, has the Home Office ever asked for the software used by ETS. Mr Millington explained that during the </w:t>
      </w:r>
      <w:proofErr w:type="gramStart"/>
      <w:r w:rsidR="007E4A38" w:rsidRPr="007E4A38">
        <w:rPr>
          <w:rFonts w:ascii="Book Antiqua" w:hAnsi="Book Antiqua"/>
        </w:rPr>
        <w:t>one day</w:t>
      </w:r>
      <w:proofErr w:type="gramEnd"/>
      <w:r w:rsidR="007E4A38" w:rsidRPr="007E4A38">
        <w:rPr>
          <w:rFonts w:ascii="Book Antiqua" w:hAnsi="Book Antiqua"/>
        </w:rPr>
        <w:t xml:space="preserve"> meeting in the United States, ETS made clear its unwillingness to disclose the software on the ground that they considered it "confidential". We were informed mid-trial that ETS had communicated its unwillingness to provide any of the voice recordings, absent judicial compulsion to do so.</w:t>
      </w:r>
      <w:r w:rsidR="007E4A38">
        <w:rPr>
          <w:rFonts w:ascii="Book Antiqua" w:hAnsi="Book Antiqua"/>
        </w:rPr>
        <w:t xml:space="preserve"> “  </w:t>
      </w:r>
    </w:p>
    <w:p w:rsidR="00B74E8D" w:rsidRPr="00B74E8D" w:rsidRDefault="007E4A38" w:rsidP="00A56BF1">
      <w:pPr>
        <w:numPr>
          <w:ilvl w:val="0"/>
          <w:numId w:val="3"/>
        </w:numPr>
        <w:spacing w:before="240"/>
        <w:jc w:val="both"/>
        <w:rPr>
          <w:rFonts w:ascii="Book Antiqua" w:hAnsi="Book Antiqua" w:cs="Arial"/>
        </w:rPr>
      </w:pPr>
      <w:r>
        <w:rPr>
          <w:rFonts w:ascii="Book Antiqua" w:hAnsi="Book Antiqua"/>
        </w:rPr>
        <w:t xml:space="preserve">It is unclear to me whether he had made any request and if he did if it had </w:t>
      </w:r>
      <w:r w:rsidR="00B74E8D" w:rsidRPr="007E4A38">
        <w:rPr>
          <w:rFonts w:ascii="Book Antiqua" w:hAnsi="Book Antiqua" w:cs="Arial"/>
        </w:rPr>
        <w:t xml:space="preserve">been undertaken by the </w:t>
      </w:r>
      <w:r w:rsidR="00B76168">
        <w:rPr>
          <w:rFonts w:ascii="Book Antiqua" w:hAnsi="Book Antiqua" w:cs="Arial"/>
        </w:rPr>
        <w:t>Appellant</w:t>
      </w:r>
      <w:r w:rsidR="00B74E8D" w:rsidRPr="007E4A38">
        <w:rPr>
          <w:rFonts w:ascii="Book Antiqua" w:hAnsi="Book Antiqua" w:cs="Arial"/>
        </w:rPr>
        <w:t xml:space="preserve"> </w:t>
      </w:r>
      <w:r>
        <w:rPr>
          <w:rFonts w:ascii="Book Antiqua" w:hAnsi="Book Antiqua" w:cs="Arial"/>
        </w:rPr>
        <w:t>in the time scale relating</w:t>
      </w:r>
      <w:r w:rsidR="00B6313D" w:rsidRPr="007E4A38">
        <w:rPr>
          <w:rFonts w:ascii="Book Antiqua" w:hAnsi="Book Antiqua" w:cs="Arial"/>
        </w:rPr>
        <w:t xml:space="preserve"> to his appeal </w:t>
      </w:r>
      <w:r w:rsidR="00B74E8D" w:rsidRPr="007E4A38">
        <w:rPr>
          <w:rFonts w:ascii="Book Antiqua" w:hAnsi="Book Antiqua" w:cs="Arial"/>
        </w:rPr>
        <w:t>however there is a reference paragraph 9 to a letter from his sol</w:t>
      </w:r>
      <w:r>
        <w:rPr>
          <w:rFonts w:ascii="Book Antiqua" w:hAnsi="Book Antiqua" w:cs="Arial"/>
        </w:rPr>
        <w:t>icitors dated 6 February 2017</w:t>
      </w:r>
      <w:r w:rsidR="00B74E8D" w:rsidRPr="007E4A38">
        <w:rPr>
          <w:rFonts w:ascii="Book Antiqua" w:hAnsi="Book Antiqua" w:cs="Arial"/>
        </w:rPr>
        <w:t xml:space="preserve"> asking for documentary evidence. The letter referred to by the judge did not appear to be in the file and neither party had a copy. Mr Yusuf </w:t>
      </w:r>
      <w:proofErr w:type="gramStart"/>
      <w:r w:rsidR="00B74E8D" w:rsidRPr="007E4A38">
        <w:rPr>
          <w:rFonts w:ascii="Book Antiqua" w:hAnsi="Book Antiqua" w:cs="Arial"/>
        </w:rPr>
        <w:t>made reference</w:t>
      </w:r>
      <w:proofErr w:type="gramEnd"/>
      <w:r w:rsidR="00B74E8D" w:rsidRPr="007E4A38">
        <w:rPr>
          <w:rFonts w:ascii="Book Antiqua" w:hAnsi="Book Antiqua" w:cs="Arial"/>
        </w:rPr>
        <w:t xml:space="preserve"> to the letter requesting </w:t>
      </w:r>
      <w:r w:rsidR="00B74E8D" w:rsidRPr="007E4A38">
        <w:rPr>
          <w:rFonts w:ascii="Book Antiqua" w:hAnsi="Book Antiqua" w:cs="Arial"/>
        </w:rPr>
        <w:lastRenderedPageBreak/>
        <w:t>evidence relating to the test.</w:t>
      </w:r>
      <w:r w:rsidR="00B74E8D">
        <w:rPr>
          <w:rFonts w:ascii="Book Antiqua" w:hAnsi="Book Antiqua" w:cs="Arial"/>
        </w:rPr>
        <w:t xml:space="preserve"> </w:t>
      </w:r>
      <w:r>
        <w:rPr>
          <w:rFonts w:ascii="Book Antiqua" w:hAnsi="Book Antiqua" w:cs="Arial"/>
        </w:rPr>
        <w:t xml:space="preserve">I am not able to resolve that any </w:t>
      </w:r>
      <w:r w:rsidR="002A3836">
        <w:rPr>
          <w:rFonts w:ascii="Book Antiqua" w:hAnsi="Book Antiqua" w:cs="Arial"/>
        </w:rPr>
        <w:t>further but</w:t>
      </w:r>
      <w:r>
        <w:rPr>
          <w:rFonts w:ascii="Book Antiqua" w:hAnsi="Book Antiqua" w:cs="Arial"/>
        </w:rPr>
        <w:t xml:space="preserve"> any event the point was not one taken by the </w:t>
      </w:r>
      <w:r w:rsidR="002A3836">
        <w:rPr>
          <w:rFonts w:ascii="Book Antiqua" w:hAnsi="Book Antiqua" w:cs="Arial"/>
        </w:rPr>
        <w:t>respondent</w:t>
      </w:r>
      <w:r>
        <w:rPr>
          <w:rFonts w:ascii="Book Antiqua" w:hAnsi="Book Antiqua" w:cs="Arial"/>
        </w:rPr>
        <w:t>.</w:t>
      </w:r>
    </w:p>
    <w:p w:rsidR="00B2690A" w:rsidRPr="00AB7D4E" w:rsidRDefault="00467982" w:rsidP="00A56BF1">
      <w:pPr>
        <w:numPr>
          <w:ilvl w:val="0"/>
          <w:numId w:val="3"/>
        </w:numPr>
        <w:spacing w:before="240"/>
        <w:jc w:val="both"/>
        <w:rPr>
          <w:rFonts w:ascii="Book Antiqua" w:hAnsi="Book Antiqua" w:cs="Arial"/>
        </w:rPr>
      </w:pPr>
      <w:r w:rsidRPr="00AB7D4E">
        <w:rPr>
          <w:rFonts w:ascii="Book Antiqua" w:hAnsi="Book Antiqua" w:cs="Arial"/>
        </w:rPr>
        <w:t xml:space="preserve">As the case law identifies </w:t>
      </w:r>
      <w:r w:rsidR="002A3836" w:rsidRPr="00AB7D4E">
        <w:rPr>
          <w:rFonts w:ascii="Book Antiqua" w:hAnsi="Book Antiqua" w:cs="Arial"/>
        </w:rPr>
        <w:t>(see</w:t>
      </w:r>
      <w:r w:rsidRPr="00AB7D4E">
        <w:rPr>
          <w:rFonts w:ascii="Book Antiqua" w:hAnsi="Book Antiqua" w:cs="Arial"/>
        </w:rPr>
        <w:t xml:space="preserve"> Iqbal and </w:t>
      </w:r>
      <w:proofErr w:type="spellStart"/>
      <w:r w:rsidR="002A3836" w:rsidRPr="00AB7D4E">
        <w:rPr>
          <w:rFonts w:ascii="Book Antiqua" w:hAnsi="Book Antiqua" w:cs="Arial"/>
        </w:rPr>
        <w:t>Majumder</w:t>
      </w:r>
      <w:proofErr w:type="spellEnd"/>
      <w:r w:rsidR="002A3836" w:rsidRPr="00AB7D4E">
        <w:rPr>
          <w:rFonts w:ascii="Book Antiqua" w:hAnsi="Book Antiqua" w:cs="Arial"/>
        </w:rPr>
        <w:t>;</w:t>
      </w:r>
      <w:r w:rsidRPr="00AB7D4E">
        <w:rPr>
          <w:rFonts w:ascii="Book Antiqua" w:hAnsi="Book Antiqua"/>
        </w:rPr>
        <w:t xml:space="preserve"> Iqbal [2017] EWHC 79 (Admin) and </w:t>
      </w:r>
      <w:proofErr w:type="spellStart"/>
      <w:r w:rsidRPr="00AB7D4E">
        <w:rPr>
          <w:rFonts w:ascii="Book Antiqua" w:hAnsi="Book Antiqua"/>
        </w:rPr>
        <w:t>Majumder</w:t>
      </w:r>
      <w:proofErr w:type="spellEnd"/>
      <w:r w:rsidRPr="00AB7D4E">
        <w:rPr>
          <w:rFonts w:ascii="Book Antiqua" w:hAnsi="Book Antiqua"/>
        </w:rPr>
        <w:t xml:space="preserve"> [2016] EWCA </w:t>
      </w:r>
      <w:proofErr w:type="spellStart"/>
      <w:r w:rsidRPr="00AB7D4E">
        <w:rPr>
          <w:rFonts w:ascii="Book Antiqua" w:hAnsi="Book Antiqua"/>
        </w:rPr>
        <w:t>Civ</w:t>
      </w:r>
      <w:proofErr w:type="spellEnd"/>
      <w:r w:rsidRPr="00AB7D4E">
        <w:rPr>
          <w:rFonts w:ascii="Book Antiqua" w:hAnsi="Book Antiqua"/>
        </w:rPr>
        <w:t xml:space="preserve"> 1167, </w:t>
      </w:r>
      <w:proofErr w:type="gramStart"/>
      <w:r w:rsidRPr="00AB7D4E">
        <w:rPr>
          <w:rFonts w:ascii="Book Antiqua" w:hAnsi="Book Antiqua"/>
        </w:rPr>
        <w:t>in particular at</w:t>
      </w:r>
      <w:proofErr w:type="gramEnd"/>
      <w:r w:rsidRPr="00AB7D4E">
        <w:rPr>
          <w:rFonts w:ascii="Book Antiqua" w:hAnsi="Book Antiqua"/>
        </w:rPr>
        <w:t xml:space="preserve"> [23]</w:t>
      </w:r>
      <w:r w:rsidR="002A3836" w:rsidRPr="00AB7D4E">
        <w:rPr>
          <w:rFonts w:ascii="Book Antiqua" w:hAnsi="Book Antiqua"/>
        </w:rPr>
        <w:t xml:space="preserve">, </w:t>
      </w:r>
      <w:r w:rsidR="002A3836" w:rsidRPr="00AB7D4E">
        <w:rPr>
          <w:rFonts w:ascii="Book Antiqua" w:hAnsi="Book Antiqua" w:cs="Arial"/>
        </w:rPr>
        <w:t>each</w:t>
      </w:r>
      <w:r w:rsidR="00922D48" w:rsidRPr="00AB7D4E">
        <w:rPr>
          <w:rFonts w:ascii="Book Antiqua" w:hAnsi="Book Antiqua" w:cs="Arial"/>
        </w:rPr>
        <w:t xml:space="preserve"> case is fact se</w:t>
      </w:r>
      <w:r w:rsidR="00A24A81" w:rsidRPr="00AB7D4E">
        <w:rPr>
          <w:rFonts w:ascii="Book Antiqua" w:hAnsi="Book Antiqua" w:cs="Arial"/>
        </w:rPr>
        <w:t>nsitive and requires</w:t>
      </w:r>
      <w:r w:rsidR="00922D48" w:rsidRPr="00AB7D4E">
        <w:rPr>
          <w:rFonts w:ascii="Book Antiqua" w:hAnsi="Book Antiqua" w:cs="Arial"/>
        </w:rPr>
        <w:t xml:space="preserve"> an evaluative assessment to be made and this is to be determined on all the evidence adduced by the parties (see SM and </w:t>
      </w:r>
      <w:proofErr w:type="spellStart"/>
      <w:r w:rsidR="00922D48" w:rsidRPr="00AB7D4E">
        <w:rPr>
          <w:rFonts w:ascii="Book Antiqua" w:hAnsi="Book Antiqua" w:cs="Arial"/>
        </w:rPr>
        <w:t>Qadir</w:t>
      </w:r>
      <w:proofErr w:type="spellEnd"/>
      <w:r w:rsidR="00922D48" w:rsidRPr="00AB7D4E">
        <w:rPr>
          <w:rFonts w:ascii="Book Antiqua" w:hAnsi="Book Antiqua" w:cs="Arial"/>
        </w:rPr>
        <w:t xml:space="preserve"> at paragraph 102</w:t>
      </w:r>
      <w:r w:rsidR="00B74E8D" w:rsidRPr="00AB7D4E">
        <w:rPr>
          <w:rFonts w:ascii="Book Antiqua" w:hAnsi="Book Antiqua" w:cs="Arial"/>
        </w:rPr>
        <w:t xml:space="preserve"> and Ahsan at [33]</w:t>
      </w:r>
      <w:r w:rsidR="00922D48" w:rsidRPr="00AB7D4E">
        <w:rPr>
          <w:rFonts w:ascii="Book Antiqua" w:hAnsi="Book Antiqua" w:cs="Arial"/>
        </w:rPr>
        <w:t>).</w:t>
      </w:r>
      <w:r w:rsidR="00DD15E3" w:rsidRPr="00AB7D4E">
        <w:rPr>
          <w:rFonts w:ascii="Book Antiqua" w:hAnsi="Book Antiqua" w:cs="Arial"/>
        </w:rPr>
        <w:t xml:space="preserve"> The Secre</w:t>
      </w:r>
      <w:r w:rsidR="00B2690A" w:rsidRPr="00AB7D4E">
        <w:rPr>
          <w:rFonts w:ascii="Book Antiqua" w:hAnsi="Book Antiqua" w:cs="Arial"/>
        </w:rPr>
        <w:t xml:space="preserve">tary of State’s </w:t>
      </w:r>
      <w:r w:rsidR="00DD15E3" w:rsidRPr="00AB7D4E">
        <w:rPr>
          <w:rFonts w:ascii="Book Antiqua" w:hAnsi="Book Antiqua" w:cs="Arial"/>
        </w:rPr>
        <w:t>challenge</w:t>
      </w:r>
      <w:r w:rsidR="00B2690A" w:rsidRPr="00AB7D4E">
        <w:rPr>
          <w:rFonts w:ascii="Book Antiqua" w:hAnsi="Book Antiqua" w:cs="Arial"/>
        </w:rPr>
        <w:t xml:space="preserve"> in the grounds and through submission related were advanced on the basis</w:t>
      </w:r>
      <w:r w:rsidR="00DD15E3" w:rsidRPr="00AB7D4E">
        <w:rPr>
          <w:rFonts w:ascii="Book Antiqua" w:hAnsi="Book Antiqua" w:cs="Arial"/>
        </w:rPr>
        <w:t xml:space="preserve"> that the judge failed to give adequate reasons.</w:t>
      </w:r>
      <w:r w:rsidR="00B2690A" w:rsidRPr="00AB7D4E">
        <w:rPr>
          <w:rFonts w:ascii="Book Antiqua" w:hAnsi="Book Antiqua" w:cs="Arial"/>
        </w:rPr>
        <w:t xml:space="preserve"> Whilst it is right to observe that the judges</w:t>
      </w:r>
      <w:r w:rsidRPr="00AB7D4E">
        <w:rPr>
          <w:rFonts w:ascii="Book Antiqua" w:hAnsi="Book Antiqua" w:cs="Arial"/>
        </w:rPr>
        <w:t>’</w:t>
      </w:r>
      <w:r w:rsidR="00B2690A" w:rsidRPr="00AB7D4E">
        <w:rPr>
          <w:rFonts w:ascii="Book Antiqua" w:hAnsi="Book Antiqua" w:cs="Arial"/>
        </w:rPr>
        <w:t xml:space="preserve"> determination is brief, he gave adequate reasons in reaching the overall decision when considering whether the </w:t>
      </w:r>
      <w:r w:rsidR="00B76168" w:rsidRPr="00AB7D4E">
        <w:rPr>
          <w:rFonts w:ascii="Book Antiqua" w:hAnsi="Book Antiqua" w:cs="Arial"/>
        </w:rPr>
        <w:t>Appellant</w:t>
      </w:r>
      <w:r w:rsidR="00B2690A" w:rsidRPr="00AB7D4E">
        <w:rPr>
          <w:rFonts w:ascii="Book Antiqua" w:hAnsi="Book Antiqua" w:cs="Arial"/>
        </w:rPr>
        <w:t xml:space="preserve"> had produced a false certificate. The application had been refused under paragraph 322(2) on the basis that his presence in the UK was not conducive to the public good because of his conduct. The relevant conduct relied upon must be that relating to the English certificate. It is therefore also follows that the judge was right to reach the conclusion that the </w:t>
      </w:r>
      <w:r w:rsidR="00B76168" w:rsidRPr="00AB7D4E">
        <w:rPr>
          <w:rFonts w:ascii="Book Antiqua" w:hAnsi="Book Antiqua" w:cs="Arial"/>
        </w:rPr>
        <w:t>Respondent</w:t>
      </w:r>
      <w:r w:rsidR="00B2690A" w:rsidRPr="00AB7D4E">
        <w:rPr>
          <w:rFonts w:ascii="Book Antiqua" w:hAnsi="Book Antiqua" w:cs="Arial"/>
        </w:rPr>
        <w:t xml:space="preserve"> had also not demonstrated that the application fell for refusal under paragraph 287(a) (vii) of the I</w:t>
      </w:r>
      <w:r w:rsidR="00AB7D4E">
        <w:rPr>
          <w:rFonts w:ascii="Book Antiqua" w:hAnsi="Book Antiqua" w:cs="Arial"/>
        </w:rPr>
        <w:t>mmigration R</w:t>
      </w:r>
      <w:r w:rsidR="00B2690A" w:rsidRPr="00AB7D4E">
        <w:rPr>
          <w:rFonts w:ascii="Book Antiqua" w:hAnsi="Book Antiqua" w:cs="Arial"/>
        </w:rPr>
        <w:t>ules.</w:t>
      </w:r>
    </w:p>
    <w:p w:rsidR="00B2690A" w:rsidRDefault="00B2690A" w:rsidP="00A56BF1">
      <w:pPr>
        <w:numPr>
          <w:ilvl w:val="0"/>
          <w:numId w:val="3"/>
        </w:numPr>
        <w:spacing w:before="240"/>
        <w:jc w:val="both"/>
        <w:rPr>
          <w:rFonts w:ascii="Book Antiqua" w:hAnsi="Book Antiqua" w:cs="Arial"/>
        </w:rPr>
      </w:pPr>
      <w:proofErr w:type="gramStart"/>
      <w:r>
        <w:rPr>
          <w:rFonts w:ascii="Book Antiqua" w:hAnsi="Book Antiqua" w:cs="Arial"/>
        </w:rPr>
        <w:t>Consequently</w:t>
      </w:r>
      <w:proofErr w:type="gramEnd"/>
      <w:r>
        <w:rPr>
          <w:rFonts w:ascii="Book Antiqua" w:hAnsi="Book Antiqua" w:cs="Arial"/>
        </w:rPr>
        <w:t xml:space="preserve"> I am not satisfied that the grounds at paragraphs 2 – 8 are made out.</w:t>
      </w:r>
    </w:p>
    <w:p w:rsidR="00B2690A" w:rsidRDefault="00B2690A" w:rsidP="00A56BF1">
      <w:pPr>
        <w:numPr>
          <w:ilvl w:val="0"/>
          <w:numId w:val="3"/>
        </w:numPr>
        <w:spacing w:before="240"/>
        <w:jc w:val="both"/>
        <w:rPr>
          <w:rFonts w:ascii="Book Antiqua" w:hAnsi="Book Antiqua" w:cs="Arial"/>
        </w:rPr>
      </w:pPr>
      <w:r>
        <w:rPr>
          <w:rFonts w:ascii="Book Antiqua" w:hAnsi="Book Antiqua" w:cs="Arial"/>
        </w:rPr>
        <w:t xml:space="preserve">The remaining paragraphs relate to </w:t>
      </w:r>
      <w:r w:rsidR="00B76168">
        <w:rPr>
          <w:rFonts w:ascii="Book Antiqua" w:hAnsi="Book Antiqua" w:cs="Arial"/>
        </w:rPr>
        <w:t>Article</w:t>
      </w:r>
      <w:r>
        <w:rPr>
          <w:rFonts w:ascii="Book Antiqua" w:hAnsi="Book Antiqua" w:cs="Arial"/>
        </w:rPr>
        <w:t xml:space="preserve"> 8. I have set out earlier in this decision the grant of permission by Judge Simpson who </w:t>
      </w:r>
      <w:proofErr w:type="gramStart"/>
      <w:r>
        <w:rPr>
          <w:rFonts w:ascii="Book Antiqua" w:hAnsi="Book Antiqua" w:cs="Arial"/>
        </w:rPr>
        <w:t>makes reference</w:t>
      </w:r>
      <w:proofErr w:type="gramEnd"/>
      <w:r>
        <w:rPr>
          <w:rFonts w:ascii="Book Antiqua" w:hAnsi="Book Antiqua" w:cs="Arial"/>
        </w:rPr>
        <w:t xml:space="preserve"> to the </w:t>
      </w:r>
      <w:r w:rsidR="00B76168">
        <w:rPr>
          <w:rFonts w:ascii="Book Antiqua" w:hAnsi="Book Antiqua" w:cs="Arial"/>
        </w:rPr>
        <w:t>Respondent</w:t>
      </w:r>
      <w:r w:rsidR="00AB7D4E">
        <w:rPr>
          <w:rFonts w:ascii="Book Antiqua" w:hAnsi="Book Antiqua" w:cs="Arial"/>
        </w:rPr>
        <w:t>’</w:t>
      </w:r>
      <w:r>
        <w:rPr>
          <w:rFonts w:ascii="Book Antiqua" w:hAnsi="Book Antiqua" w:cs="Arial"/>
        </w:rPr>
        <w:t xml:space="preserve">s grounds at paragraphs 9 – 10 as “poorly articulated”. Judge Simpson considered that those paragraphs </w:t>
      </w:r>
      <w:proofErr w:type="gramStart"/>
      <w:r>
        <w:rPr>
          <w:rFonts w:ascii="Book Antiqua" w:hAnsi="Book Antiqua" w:cs="Arial"/>
        </w:rPr>
        <w:t>in essence submitted</w:t>
      </w:r>
      <w:proofErr w:type="gramEnd"/>
      <w:r>
        <w:rPr>
          <w:rFonts w:ascii="Book Antiqua" w:hAnsi="Book Antiqua" w:cs="Arial"/>
        </w:rPr>
        <w:t xml:space="preserve"> that the judge erred in law by failing to have regard to </w:t>
      </w:r>
      <w:r w:rsidR="00AB7D4E">
        <w:rPr>
          <w:rFonts w:ascii="Book Antiqua" w:hAnsi="Book Antiqua" w:cs="Arial"/>
        </w:rPr>
        <w:t>Appendix</w:t>
      </w:r>
      <w:r>
        <w:rPr>
          <w:rFonts w:ascii="Book Antiqua" w:hAnsi="Book Antiqua" w:cs="Arial"/>
        </w:rPr>
        <w:t xml:space="preserve"> M, R-RLTRP 1.1 and paragraph EX1 and 276ADE.</w:t>
      </w:r>
    </w:p>
    <w:p w:rsidR="00B2690A" w:rsidRDefault="00B2690A" w:rsidP="00A56BF1">
      <w:pPr>
        <w:numPr>
          <w:ilvl w:val="0"/>
          <w:numId w:val="3"/>
        </w:numPr>
        <w:spacing w:before="240"/>
        <w:jc w:val="both"/>
        <w:rPr>
          <w:rFonts w:ascii="Book Antiqua" w:hAnsi="Book Antiqua" w:cs="Arial"/>
        </w:rPr>
      </w:pPr>
      <w:r>
        <w:rPr>
          <w:rFonts w:ascii="Book Antiqua" w:hAnsi="Book Antiqua" w:cs="Arial"/>
        </w:rPr>
        <w:t xml:space="preserve">In her submissions Ms </w:t>
      </w:r>
      <w:proofErr w:type="spellStart"/>
      <w:r>
        <w:rPr>
          <w:rFonts w:ascii="Book Antiqua" w:hAnsi="Book Antiqua" w:cs="Arial"/>
        </w:rPr>
        <w:t>Aboni</w:t>
      </w:r>
      <w:proofErr w:type="spellEnd"/>
      <w:r>
        <w:rPr>
          <w:rFonts w:ascii="Book Antiqua" w:hAnsi="Book Antiqua" w:cs="Arial"/>
        </w:rPr>
        <w:t xml:space="preserve"> submitted that even if the </w:t>
      </w:r>
      <w:r w:rsidR="00B76168">
        <w:rPr>
          <w:rFonts w:ascii="Book Antiqua" w:hAnsi="Book Antiqua" w:cs="Arial"/>
        </w:rPr>
        <w:t>Tribunal</w:t>
      </w:r>
      <w:r>
        <w:rPr>
          <w:rFonts w:ascii="Book Antiqua" w:hAnsi="Book Antiqua" w:cs="Arial"/>
        </w:rPr>
        <w:t xml:space="preserve"> found that the </w:t>
      </w:r>
      <w:r w:rsidR="00B76168">
        <w:rPr>
          <w:rFonts w:ascii="Book Antiqua" w:hAnsi="Book Antiqua" w:cs="Arial"/>
        </w:rPr>
        <w:t>Respondent</w:t>
      </w:r>
      <w:r w:rsidR="00B74E8D">
        <w:rPr>
          <w:rFonts w:ascii="Book Antiqua" w:hAnsi="Book Antiqua" w:cs="Arial"/>
        </w:rPr>
        <w:t>’</w:t>
      </w:r>
      <w:r>
        <w:rPr>
          <w:rFonts w:ascii="Book Antiqua" w:hAnsi="Book Antiqua" w:cs="Arial"/>
        </w:rPr>
        <w:t xml:space="preserve">s grounds were not made out in relation to the test certificate, the judge was in error by not considering </w:t>
      </w:r>
      <w:r w:rsidR="00AB7D4E">
        <w:rPr>
          <w:rFonts w:ascii="Book Antiqua" w:hAnsi="Book Antiqua" w:cs="Arial"/>
        </w:rPr>
        <w:t>Appendix</w:t>
      </w:r>
      <w:r>
        <w:rPr>
          <w:rFonts w:ascii="Book Antiqua" w:hAnsi="Book Antiqua" w:cs="Arial"/>
        </w:rPr>
        <w:t xml:space="preserve"> FM and EX1, the issue of insurmountable obstacles and </w:t>
      </w:r>
      <w:r w:rsidR="00B76168">
        <w:rPr>
          <w:rFonts w:ascii="Book Antiqua" w:hAnsi="Book Antiqua" w:cs="Arial"/>
        </w:rPr>
        <w:t>Article</w:t>
      </w:r>
      <w:r>
        <w:rPr>
          <w:rFonts w:ascii="Book Antiqua" w:hAnsi="Book Antiqua" w:cs="Arial"/>
        </w:rPr>
        <w:t xml:space="preserve"> 8 outside of the rules.</w:t>
      </w:r>
    </w:p>
    <w:p w:rsidR="00B2690A" w:rsidRDefault="00B2690A" w:rsidP="00A56BF1">
      <w:pPr>
        <w:numPr>
          <w:ilvl w:val="0"/>
          <w:numId w:val="3"/>
        </w:numPr>
        <w:spacing w:before="240"/>
        <w:jc w:val="both"/>
        <w:rPr>
          <w:rFonts w:ascii="Book Antiqua" w:hAnsi="Book Antiqua" w:cs="Arial"/>
        </w:rPr>
      </w:pPr>
      <w:r>
        <w:rPr>
          <w:rFonts w:ascii="Book Antiqua" w:hAnsi="Book Antiqua" w:cs="Arial"/>
        </w:rPr>
        <w:t xml:space="preserve">As I have set out earlier neither party made any reference to the transitional provisions which may or may not have been applicable to this </w:t>
      </w:r>
      <w:proofErr w:type="gramStart"/>
      <w:r>
        <w:rPr>
          <w:rFonts w:ascii="Book Antiqua" w:hAnsi="Book Antiqua" w:cs="Arial"/>
        </w:rPr>
        <w:t>particular decision</w:t>
      </w:r>
      <w:proofErr w:type="gramEnd"/>
      <w:r>
        <w:rPr>
          <w:rFonts w:ascii="Book Antiqua" w:hAnsi="Book Antiqua" w:cs="Arial"/>
        </w:rPr>
        <w:t xml:space="preserve"> under challenge. I have therefore considered this issue when trying to resolve the dispute between the parties and whether judge Birk had made an error of law in allowing the appeal.</w:t>
      </w:r>
    </w:p>
    <w:p w:rsidR="00B2690A" w:rsidRDefault="00B2690A" w:rsidP="00A56BF1">
      <w:pPr>
        <w:numPr>
          <w:ilvl w:val="0"/>
          <w:numId w:val="3"/>
        </w:numPr>
        <w:spacing w:before="240"/>
        <w:jc w:val="both"/>
        <w:rPr>
          <w:rFonts w:ascii="Book Antiqua" w:hAnsi="Book Antiqua" w:cs="Arial"/>
        </w:rPr>
      </w:pPr>
      <w:r>
        <w:rPr>
          <w:rFonts w:ascii="Book Antiqua" w:hAnsi="Book Antiqua" w:cs="Arial"/>
        </w:rPr>
        <w:t xml:space="preserve">It is important to consider the chronology set out in the decision letter. The </w:t>
      </w:r>
      <w:r w:rsidR="00B76168">
        <w:rPr>
          <w:rFonts w:ascii="Book Antiqua" w:hAnsi="Book Antiqua" w:cs="Arial"/>
        </w:rPr>
        <w:t>Appellant</w:t>
      </w:r>
      <w:r>
        <w:rPr>
          <w:rFonts w:ascii="Book Antiqua" w:hAnsi="Book Antiqua" w:cs="Arial"/>
        </w:rPr>
        <w:t xml:space="preserve"> applied for leave on 5 July 2012 as the spouse of a person present and settled in the United Kingdom and was granted two years leave on this basis. It is common ground that he is married to a British citizen and they now have two children were both British citizens. He then applied for indefinite leave to remain as a spouse on 9 February 2015. It was this application that was refused in the decision letter which is the subject of this appeal.</w:t>
      </w:r>
    </w:p>
    <w:p w:rsidR="00B2690A" w:rsidRDefault="00B2690A" w:rsidP="00A56BF1">
      <w:pPr>
        <w:numPr>
          <w:ilvl w:val="0"/>
          <w:numId w:val="3"/>
        </w:numPr>
        <w:spacing w:before="240"/>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w:t>
      </w:r>
      <w:r w:rsidR="00B76168">
        <w:rPr>
          <w:rFonts w:ascii="Book Antiqua" w:hAnsi="Book Antiqua" w:cs="Arial"/>
        </w:rPr>
        <w:t>Appellant</w:t>
      </w:r>
      <w:r>
        <w:rPr>
          <w:rFonts w:ascii="Book Antiqua" w:hAnsi="Book Antiqua" w:cs="Arial"/>
        </w:rPr>
        <w:t xml:space="preserve"> had been granted leave previously under part 8 of the rules. As his application was made on 5 July 2012 (that is, before 9 July 2012) the transitional provisions applied under A280 </w:t>
      </w:r>
      <w:r w:rsidR="002A3836">
        <w:rPr>
          <w:rFonts w:ascii="Book Antiqua" w:hAnsi="Book Antiqua" w:cs="Arial"/>
        </w:rPr>
        <w:t>(c</w:t>
      </w:r>
      <w:r>
        <w:rPr>
          <w:rFonts w:ascii="Book Antiqua" w:hAnsi="Book Antiqua" w:cs="Arial"/>
        </w:rPr>
        <w:t>) (</w:t>
      </w:r>
      <w:proofErr w:type="spellStart"/>
      <w:r>
        <w:rPr>
          <w:rFonts w:ascii="Book Antiqua" w:hAnsi="Book Antiqua" w:cs="Arial"/>
        </w:rPr>
        <w:t>i</w:t>
      </w:r>
      <w:proofErr w:type="spellEnd"/>
      <w:r>
        <w:rPr>
          <w:rFonts w:ascii="Book Antiqua" w:hAnsi="Book Antiqua" w:cs="Arial"/>
        </w:rPr>
        <w:t xml:space="preserve">) by reference to paragraphs 287 -289. The </w:t>
      </w:r>
      <w:r>
        <w:rPr>
          <w:rFonts w:ascii="Book Antiqua" w:hAnsi="Book Antiqua" w:cs="Arial"/>
        </w:rPr>
        <w:lastRenderedPageBreak/>
        <w:t xml:space="preserve">transitional provisions at A277 disapply </w:t>
      </w:r>
      <w:r w:rsidR="00AB7D4E">
        <w:rPr>
          <w:rFonts w:ascii="Book Antiqua" w:hAnsi="Book Antiqua" w:cs="Arial"/>
        </w:rPr>
        <w:t>Appendix</w:t>
      </w:r>
      <w:r>
        <w:rPr>
          <w:rFonts w:ascii="Book Antiqua" w:hAnsi="Book Antiqua" w:cs="Arial"/>
        </w:rPr>
        <w:t xml:space="preserve"> FM to the </w:t>
      </w:r>
      <w:r w:rsidR="00B76168">
        <w:rPr>
          <w:rFonts w:ascii="Book Antiqua" w:hAnsi="Book Antiqua" w:cs="Arial"/>
        </w:rPr>
        <w:t>Appellant</w:t>
      </w:r>
      <w:r>
        <w:rPr>
          <w:rFonts w:ascii="Book Antiqua" w:hAnsi="Book Antiqua" w:cs="Arial"/>
        </w:rPr>
        <w:t xml:space="preserve"> and thus he is not the subject to </w:t>
      </w:r>
      <w:r w:rsidR="00AB7D4E">
        <w:rPr>
          <w:rFonts w:ascii="Book Antiqua" w:hAnsi="Book Antiqua" w:cs="Arial"/>
        </w:rPr>
        <w:t>Appendix</w:t>
      </w:r>
      <w:r>
        <w:rPr>
          <w:rFonts w:ascii="Book Antiqua" w:hAnsi="Book Antiqua" w:cs="Arial"/>
        </w:rPr>
        <w:t xml:space="preserve"> FM and the minimum income threshold. That is why the decision letter, when considering the application made in 2015 applied Rule 287 </w:t>
      </w:r>
      <w:r w:rsidR="00AB7D4E">
        <w:rPr>
          <w:rFonts w:ascii="Book Antiqua" w:hAnsi="Book Antiqua" w:cs="Arial"/>
        </w:rPr>
        <w:t>of the Immigration R</w:t>
      </w:r>
      <w:r>
        <w:rPr>
          <w:rFonts w:ascii="Book Antiqua" w:hAnsi="Book Antiqua" w:cs="Arial"/>
        </w:rPr>
        <w:t>ules.</w:t>
      </w:r>
    </w:p>
    <w:p w:rsidR="00B2690A" w:rsidRDefault="00B2690A" w:rsidP="00A56BF1">
      <w:pPr>
        <w:numPr>
          <w:ilvl w:val="0"/>
          <w:numId w:val="3"/>
        </w:numPr>
        <w:spacing w:before="240"/>
        <w:jc w:val="both"/>
        <w:rPr>
          <w:rFonts w:ascii="Book Antiqua" w:hAnsi="Book Antiqua" w:cs="Arial"/>
        </w:rPr>
      </w:pPr>
      <w:r>
        <w:rPr>
          <w:rFonts w:ascii="Book Antiqua" w:hAnsi="Book Antiqua" w:cs="Arial"/>
        </w:rPr>
        <w:t>The only ground for refusal under paragraph 287 is that set out in the decision letter and it relates to paragraph 287(a) (vii) which states that one of the requirements for indefinite leave to remain for a spouse or civil partner of a person present and settled in the United Kingdom is that the application does not fall for refusal under the general grounds for refusal.</w:t>
      </w:r>
      <w:r w:rsidR="00AB7D4E">
        <w:rPr>
          <w:rFonts w:ascii="Book Antiqua" w:hAnsi="Book Antiqua" w:cs="Arial"/>
        </w:rPr>
        <w:t xml:space="preserve"> T</w:t>
      </w:r>
      <w:r>
        <w:rPr>
          <w:rFonts w:ascii="Book Antiqua" w:hAnsi="Book Antiqua" w:cs="Arial"/>
        </w:rPr>
        <w:t>he d</w:t>
      </w:r>
      <w:r w:rsidR="00AB7D4E">
        <w:rPr>
          <w:rFonts w:ascii="Book Antiqua" w:hAnsi="Book Antiqua" w:cs="Arial"/>
        </w:rPr>
        <w:t>ecision letter went on to state that</w:t>
      </w:r>
      <w:r>
        <w:rPr>
          <w:rFonts w:ascii="Book Antiqua" w:hAnsi="Book Antiqua" w:cs="Arial"/>
        </w:rPr>
        <w:t xml:space="preserve"> the application was refused under paragraph 322 (</w:t>
      </w:r>
      <w:r w:rsidR="00AB7D4E">
        <w:rPr>
          <w:rFonts w:ascii="Book Antiqua" w:hAnsi="Book Antiqua" w:cs="Arial"/>
        </w:rPr>
        <w:t>2</w:t>
      </w:r>
      <w:r>
        <w:rPr>
          <w:rFonts w:ascii="Book Antiqua" w:hAnsi="Book Antiqua" w:cs="Arial"/>
        </w:rPr>
        <w:t>) of the general grounds for refusal, the application was therefore refused under paragraph 289 with reference to paragraph 287 (a) (vii) and paragraph 322 (2). Those paragraphs rely on the test certificate produced for the grant of the previous leave.</w:t>
      </w:r>
    </w:p>
    <w:p w:rsidR="00B2690A" w:rsidRDefault="00B2690A" w:rsidP="00A56BF1">
      <w:pPr>
        <w:numPr>
          <w:ilvl w:val="0"/>
          <w:numId w:val="3"/>
        </w:numPr>
        <w:spacing w:before="240"/>
        <w:jc w:val="both"/>
        <w:rPr>
          <w:rFonts w:ascii="Book Antiqua" w:hAnsi="Book Antiqua" w:cs="Arial"/>
        </w:rPr>
      </w:pPr>
      <w:r>
        <w:rPr>
          <w:rFonts w:ascii="Book Antiqua" w:hAnsi="Book Antiqua" w:cs="Arial"/>
        </w:rPr>
        <w:t xml:space="preserve">No other points are taken against the </w:t>
      </w:r>
      <w:r w:rsidR="00B76168">
        <w:rPr>
          <w:rFonts w:ascii="Book Antiqua" w:hAnsi="Book Antiqua" w:cs="Arial"/>
        </w:rPr>
        <w:t>Appellant</w:t>
      </w:r>
      <w:r>
        <w:rPr>
          <w:rFonts w:ascii="Book Antiqua" w:hAnsi="Book Antiqua" w:cs="Arial"/>
        </w:rPr>
        <w:t xml:space="preserve"> in relation to paragraph 287. I have considered the application form which was in the trial bundle and produced to the </w:t>
      </w:r>
      <w:r w:rsidR="00B76168">
        <w:rPr>
          <w:rFonts w:ascii="Book Antiqua" w:hAnsi="Book Antiqua" w:cs="Arial"/>
        </w:rPr>
        <w:t>Respondent</w:t>
      </w:r>
      <w:r>
        <w:rPr>
          <w:rFonts w:ascii="Book Antiqua" w:hAnsi="Book Antiqua" w:cs="Arial"/>
        </w:rPr>
        <w:t xml:space="preserve">. At A10 he has knowledge of the English language (KOLL) and produced evidence to demonstrate adequate maintenance and accommodation at A17. As </w:t>
      </w:r>
      <w:r w:rsidR="00AB7D4E">
        <w:rPr>
          <w:rFonts w:ascii="Book Antiqua" w:hAnsi="Book Antiqua" w:cs="Arial"/>
        </w:rPr>
        <w:t>Appendix</w:t>
      </w:r>
      <w:r>
        <w:rPr>
          <w:rFonts w:ascii="Book Antiqua" w:hAnsi="Book Antiqua" w:cs="Arial"/>
        </w:rPr>
        <w:t xml:space="preserve"> FM did not apply, he did not need to meet the minimum income threshold. There is no reference in the decision letter adverse to the </w:t>
      </w:r>
      <w:r w:rsidR="00B76168">
        <w:rPr>
          <w:rFonts w:ascii="Book Antiqua" w:hAnsi="Book Antiqua" w:cs="Arial"/>
        </w:rPr>
        <w:t>Appellant</w:t>
      </w:r>
      <w:r>
        <w:rPr>
          <w:rFonts w:ascii="Book Antiqua" w:hAnsi="Book Antiqua" w:cs="Arial"/>
        </w:rPr>
        <w:t xml:space="preserve"> on the basis that he could not meet the other requirements of paragraph 287 beyond that expressly identified as set out above.</w:t>
      </w:r>
    </w:p>
    <w:p w:rsidR="00B2690A" w:rsidRPr="00B2690A" w:rsidRDefault="00B2690A" w:rsidP="00A56BF1">
      <w:pPr>
        <w:numPr>
          <w:ilvl w:val="0"/>
          <w:numId w:val="3"/>
        </w:numPr>
        <w:spacing w:before="240"/>
        <w:jc w:val="both"/>
        <w:rPr>
          <w:rFonts w:ascii="Book Antiqua" w:hAnsi="Book Antiqua" w:cs="Arial"/>
        </w:rPr>
      </w:pPr>
      <w:bookmarkStart w:id="1" w:name="_GoBack"/>
      <w:bookmarkEnd w:id="1"/>
      <w:r>
        <w:rPr>
          <w:rFonts w:ascii="Book Antiqua" w:hAnsi="Book Antiqua" w:cs="Arial"/>
        </w:rPr>
        <w:t xml:space="preserve">Therefore, applying the facts as found by the judge in relation to paragraph 287(a) (vii) and Paragraph 322(2), which I have found were open to the judge to make on the evidence before him, the </w:t>
      </w:r>
      <w:r w:rsidR="00B76168">
        <w:rPr>
          <w:rFonts w:ascii="Book Antiqua" w:hAnsi="Book Antiqua" w:cs="Arial"/>
        </w:rPr>
        <w:t>Appellant</w:t>
      </w:r>
      <w:r>
        <w:rPr>
          <w:rFonts w:ascii="Book Antiqua" w:hAnsi="Book Antiqua" w:cs="Arial"/>
        </w:rPr>
        <w:t xml:space="preserve"> met the requirements</w:t>
      </w:r>
      <w:r w:rsidR="00AB7D4E">
        <w:rPr>
          <w:rFonts w:ascii="Book Antiqua" w:hAnsi="Book Antiqua" w:cs="Arial"/>
        </w:rPr>
        <w:t xml:space="preserve"> of the I</w:t>
      </w:r>
      <w:r>
        <w:rPr>
          <w:rFonts w:ascii="Book Antiqua" w:hAnsi="Book Antiqua" w:cs="Arial"/>
        </w:rPr>
        <w:t>mmigration</w:t>
      </w:r>
      <w:r w:rsidR="00AB7D4E">
        <w:rPr>
          <w:rFonts w:ascii="Book Antiqua" w:hAnsi="Book Antiqua" w:cs="Arial"/>
        </w:rPr>
        <w:t xml:space="preserve"> R</w:t>
      </w:r>
      <w:r>
        <w:rPr>
          <w:rFonts w:ascii="Book Antiqua" w:hAnsi="Book Antiqua" w:cs="Arial"/>
        </w:rPr>
        <w:t xml:space="preserve">ules. </w:t>
      </w:r>
      <w:proofErr w:type="gramStart"/>
      <w:r>
        <w:rPr>
          <w:rFonts w:ascii="Book Antiqua" w:hAnsi="Book Antiqua" w:cs="Arial"/>
        </w:rPr>
        <w:t>Therefore</w:t>
      </w:r>
      <w:proofErr w:type="gramEnd"/>
      <w:r>
        <w:rPr>
          <w:rFonts w:ascii="Book Antiqua" w:hAnsi="Book Antiqua" w:cs="Arial"/>
        </w:rPr>
        <w:t xml:space="preserve"> the judge was correct </w:t>
      </w:r>
      <w:r w:rsidR="00AB7D4E">
        <w:rPr>
          <w:rFonts w:ascii="Book Antiqua" w:hAnsi="Book Antiqua" w:cs="Arial"/>
        </w:rPr>
        <w:t xml:space="preserve">at </w:t>
      </w:r>
      <w:r>
        <w:rPr>
          <w:rFonts w:ascii="Book Antiqua" w:hAnsi="Book Antiqua" w:cs="Arial"/>
        </w:rPr>
        <w:t>paragraph 17</w:t>
      </w:r>
      <w:r w:rsidR="00AB7D4E">
        <w:rPr>
          <w:rFonts w:ascii="Book Antiqua" w:hAnsi="Book Antiqua" w:cs="Arial"/>
        </w:rPr>
        <w:t xml:space="preserve"> to find that he met the I</w:t>
      </w:r>
      <w:r>
        <w:rPr>
          <w:rFonts w:ascii="Book Antiqua" w:hAnsi="Book Antiqua" w:cs="Arial"/>
        </w:rPr>
        <w:t>mmigration</w:t>
      </w:r>
      <w:r w:rsidR="00AB7D4E">
        <w:rPr>
          <w:rFonts w:ascii="Book Antiqua" w:hAnsi="Book Antiqua" w:cs="Arial"/>
        </w:rPr>
        <w:t xml:space="preserve"> R</w:t>
      </w:r>
      <w:r>
        <w:rPr>
          <w:rFonts w:ascii="Book Antiqua" w:hAnsi="Book Antiqua" w:cs="Arial"/>
        </w:rPr>
        <w:t xml:space="preserve">ules. </w:t>
      </w:r>
      <w:proofErr w:type="gramStart"/>
      <w:r>
        <w:rPr>
          <w:rFonts w:ascii="Book Antiqua" w:hAnsi="Book Antiqua" w:cs="Arial"/>
        </w:rPr>
        <w:t>However</w:t>
      </w:r>
      <w:proofErr w:type="gramEnd"/>
      <w:r>
        <w:rPr>
          <w:rFonts w:ascii="Book Antiqua" w:hAnsi="Book Antiqua" w:cs="Arial"/>
        </w:rPr>
        <w:t xml:space="preserve"> whilst the right of appeal against the decision was on the ground that the decision was unlawful under section 6 of the Human Rights Act 1998, it was open to the judge to reach the conclusion</w:t>
      </w:r>
      <w:r w:rsidR="00AB7D4E">
        <w:rPr>
          <w:rFonts w:ascii="Book Antiqua" w:hAnsi="Book Antiqua" w:cs="Arial"/>
        </w:rPr>
        <w:t xml:space="preserve"> that by meeting the R</w:t>
      </w:r>
      <w:r>
        <w:rPr>
          <w:rFonts w:ascii="Book Antiqua" w:hAnsi="Book Antiqua" w:cs="Arial"/>
        </w:rPr>
        <w:t xml:space="preserve">ules under paragraph 287 it demonstrated that the decision to remove him would be disproportionate and against the public interest. Even if </w:t>
      </w:r>
      <w:r w:rsidR="00AB7D4E">
        <w:rPr>
          <w:rFonts w:ascii="Book Antiqua" w:hAnsi="Book Antiqua" w:cs="Arial"/>
        </w:rPr>
        <w:t>Appendix</w:t>
      </w:r>
      <w:r>
        <w:rPr>
          <w:rFonts w:ascii="Book Antiqua" w:hAnsi="Book Antiqua" w:cs="Arial"/>
        </w:rPr>
        <w:t xml:space="preserve"> FM did apply, </w:t>
      </w:r>
      <w:proofErr w:type="gramStart"/>
      <w:r>
        <w:rPr>
          <w:rFonts w:ascii="Book Antiqua" w:hAnsi="Book Antiqua" w:cs="Arial"/>
        </w:rPr>
        <w:t>by reason of</w:t>
      </w:r>
      <w:proofErr w:type="gramEnd"/>
      <w:r>
        <w:rPr>
          <w:rFonts w:ascii="Book Antiqua" w:hAnsi="Book Antiqua" w:cs="Arial"/>
        </w:rPr>
        <w:t xml:space="preserve"> the findings of fact made by the judge he met the suitability requirements and therefore there was no requirement to demonstrate whether</w:t>
      </w:r>
      <w:r w:rsidR="00AB7D4E">
        <w:rPr>
          <w:rFonts w:ascii="Book Antiqua" w:hAnsi="Book Antiqua" w:cs="Arial"/>
        </w:rPr>
        <w:t xml:space="preserve"> he met the </w:t>
      </w:r>
      <w:r>
        <w:rPr>
          <w:rFonts w:ascii="Book Antiqua" w:hAnsi="Book Antiqua" w:cs="Arial"/>
        </w:rPr>
        <w:t>provisions of EX1.</w:t>
      </w:r>
    </w:p>
    <w:p w:rsidR="009A7E04" w:rsidRPr="00DC27ED" w:rsidRDefault="009A7E04" w:rsidP="009A7E04">
      <w:pPr>
        <w:spacing w:before="240"/>
        <w:ind w:left="567"/>
        <w:jc w:val="both"/>
        <w:rPr>
          <w:rFonts w:ascii="Book Antiqua" w:hAnsi="Book Antiqua" w:cs="Arial"/>
          <w:b/>
          <w:u w:val="single"/>
        </w:rPr>
      </w:pPr>
      <w:r w:rsidRPr="00DC27ED">
        <w:rPr>
          <w:rFonts w:ascii="Book Antiqua" w:hAnsi="Book Antiqua" w:cs="Arial"/>
          <w:b/>
          <w:u w:val="single"/>
        </w:rPr>
        <w:t>Decision:</w:t>
      </w:r>
    </w:p>
    <w:p w:rsidR="009A7E04" w:rsidRPr="00DC27ED" w:rsidRDefault="009A7E04" w:rsidP="009A7E04">
      <w:pPr>
        <w:spacing w:before="240"/>
        <w:ind w:left="567"/>
        <w:jc w:val="both"/>
        <w:rPr>
          <w:rFonts w:ascii="Book Antiqua" w:hAnsi="Book Antiqua" w:cs="Arial"/>
        </w:rPr>
      </w:pPr>
      <w:r w:rsidRPr="00DC27ED">
        <w:rPr>
          <w:rFonts w:ascii="Book Antiqua" w:hAnsi="Book Antiqua" w:cs="Arial"/>
        </w:rPr>
        <w:t xml:space="preserve">The decision of the First-tier </w:t>
      </w:r>
      <w:r w:rsidR="00B76168">
        <w:rPr>
          <w:rFonts w:ascii="Book Antiqua" w:hAnsi="Book Antiqua" w:cs="Arial"/>
        </w:rPr>
        <w:t>Tribunal</w:t>
      </w:r>
      <w:r w:rsidR="00C00C97">
        <w:rPr>
          <w:rFonts w:ascii="Book Antiqua" w:hAnsi="Book Antiqua" w:cs="Arial"/>
        </w:rPr>
        <w:t xml:space="preserve"> did not</w:t>
      </w:r>
      <w:r w:rsidR="002918A4">
        <w:rPr>
          <w:rFonts w:ascii="Book Antiqua" w:hAnsi="Book Antiqua" w:cs="Arial"/>
        </w:rPr>
        <w:t xml:space="preserve"> involve</w:t>
      </w:r>
      <w:r w:rsidRPr="00DC27ED">
        <w:rPr>
          <w:rFonts w:ascii="Book Antiqua" w:hAnsi="Book Antiqua" w:cs="Arial"/>
        </w:rPr>
        <w:t xml:space="preserve"> the m</w:t>
      </w:r>
      <w:r w:rsidR="00AF6D1C" w:rsidRPr="00DC27ED">
        <w:rPr>
          <w:rFonts w:ascii="Book Antiqua" w:hAnsi="Book Antiqua" w:cs="Arial"/>
        </w:rPr>
        <w:t xml:space="preserve">aking of an error on a point of </w:t>
      </w:r>
      <w:r w:rsidR="002918A4">
        <w:rPr>
          <w:rFonts w:ascii="Book Antiqua" w:hAnsi="Book Antiqua" w:cs="Arial"/>
        </w:rPr>
        <w:t>law; the appeal by th</w:t>
      </w:r>
      <w:r w:rsidR="00C00C97">
        <w:rPr>
          <w:rFonts w:ascii="Book Antiqua" w:hAnsi="Book Antiqua" w:cs="Arial"/>
        </w:rPr>
        <w:t xml:space="preserve">e Secretary of State is </w:t>
      </w:r>
      <w:r w:rsidR="002918A4">
        <w:rPr>
          <w:rFonts w:ascii="Book Antiqua" w:hAnsi="Book Antiqua" w:cs="Arial"/>
        </w:rPr>
        <w:t>dismissed.</w:t>
      </w:r>
    </w:p>
    <w:p w:rsidR="009A7E04" w:rsidRPr="00C77259" w:rsidRDefault="009A7E04" w:rsidP="009A7E04">
      <w:pPr>
        <w:jc w:val="both"/>
        <w:rPr>
          <w:rFonts w:ascii="Book Antiqua" w:hAnsi="Book Antiqua" w:cs="Arial"/>
        </w:rPr>
      </w:pPr>
    </w:p>
    <w:p w:rsidR="007F01DA" w:rsidRDefault="006E3C90" w:rsidP="000369F5">
      <w:pPr>
        <w:tabs>
          <w:tab w:val="left" w:pos="2520"/>
        </w:tabs>
        <w:jc w:val="both"/>
        <w:rPr>
          <w:rFonts w:ascii="Book Antiqua" w:hAnsi="Book Antiqua" w:cs="Arial"/>
        </w:rPr>
      </w:pPr>
      <w:r w:rsidRPr="00F5664C">
        <w:rPr>
          <w:rFonts w:ascii="Book Antiqua" w:hAnsi="Book Antiqua" w:cs="Arial"/>
        </w:rPr>
        <w:t>Signed</w:t>
      </w:r>
      <w:r w:rsidR="007F01DA">
        <w:rPr>
          <w:rFonts w:ascii="Book Antiqua" w:hAnsi="Book Antiqua" w:cs="Arial"/>
        </w:rPr>
        <w:t xml:space="preserve"> </w:t>
      </w: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F12D57">
        <w:rPr>
          <w:rFonts w:ascii="Book Antiqua" w:hAnsi="Book Antiqua" w:cs="Arial"/>
        </w:rPr>
        <w:t xml:space="preserve">: </w:t>
      </w:r>
      <w:r w:rsidR="00DB2E9E">
        <w:rPr>
          <w:rFonts w:ascii="Book Antiqua" w:hAnsi="Book Antiqua" w:cs="Arial"/>
        </w:rPr>
        <w:t>16</w:t>
      </w:r>
      <w:r w:rsidR="000E5671">
        <w:rPr>
          <w:rFonts w:ascii="Book Antiqua" w:hAnsi="Book Antiqua" w:cs="Arial"/>
        </w:rPr>
        <w:t>/</w:t>
      </w:r>
      <w:r w:rsidR="00DB2E9E">
        <w:rPr>
          <w:rFonts w:ascii="Book Antiqua" w:hAnsi="Book Antiqua" w:cs="Arial"/>
        </w:rPr>
        <w:t>5/2018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C36CA7">
      <w:pPr>
        <w:tabs>
          <w:tab w:val="left" w:pos="2520"/>
        </w:tabs>
        <w:jc w:val="both"/>
        <w:rPr>
          <w:rFonts w:ascii="Book Antiqua" w:hAnsi="Book Antiqua" w:cs="Arial"/>
        </w:rPr>
      </w:pPr>
      <w:r>
        <w:rPr>
          <w:rFonts w:ascii="Book Antiqua" w:hAnsi="Book Antiqua" w:cs="Arial"/>
        </w:rPr>
        <w:t xml:space="preserve">Upper </w:t>
      </w:r>
      <w:r w:rsidR="00B76168">
        <w:rPr>
          <w:rFonts w:ascii="Book Antiqua" w:hAnsi="Book Antiqua" w:cs="Arial"/>
        </w:rPr>
        <w:t>Tribunal</w:t>
      </w:r>
      <w:r>
        <w:rPr>
          <w:rFonts w:ascii="Book Antiqua" w:hAnsi="Book Antiqua" w:cs="Arial"/>
        </w:rPr>
        <w:t xml:space="preserve"> Judge </w:t>
      </w:r>
      <w:r w:rsidR="000E4845">
        <w:rPr>
          <w:rFonts w:ascii="Book Antiqua" w:hAnsi="Book Antiqua" w:cs="Arial"/>
        </w:rPr>
        <w:t>Reeds</w:t>
      </w:r>
    </w:p>
    <w:sectPr w:rsidR="005B7789" w:rsidRPr="00F5664C" w:rsidSect="0026315D">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35D" w:rsidRDefault="003E635D">
      <w:r>
        <w:separator/>
      </w:r>
    </w:p>
  </w:endnote>
  <w:endnote w:type="continuationSeparator" w:id="0">
    <w:p w:rsidR="003E635D" w:rsidRDefault="003E6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66E" w:rsidRPr="00F33578" w:rsidRDefault="006F766E" w:rsidP="00593795">
    <w:pPr>
      <w:pStyle w:val="Footer"/>
      <w:jc w:val="center"/>
      <w:rPr>
        <w:rFonts w:ascii="Book Antiqua" w:hAnsi="Book Antiqua" w:cs="Arial"/>
      </w:rPr>
    </w:pPr>
    <w:r w:rsidRPr="00F33578">
      <w:rPr>
        <w:rStyle w:val="PageNumber"/>
        <w:rFonts w:ascii="Book Antiqua" w:hAnsi="Book Antiqua" w:cs="Arial"/>
      </w:rPr>
      <w:fldChar w:fldCharType="begin"/>
    </w:r>
    <w:r w:rsidRPr="00F33578">
      <w:rPr>
        <w:rStyle w:val="PageNumber"/>
        <w:rFonts w:ascii="Book Antiqua" w:hAnsi="Book Antiqua" w:cs="Arial"/>
      </w:rPr>
      <w:instrText xml:space="preserve"> PAGE </w:instrText>
    </w:r>
    <w:r w:rsidRPr="00F33578">
      <w:rPr>
        <w:rStyle w:val="PageNumber"/>
        <w:rFonts w:ascii="Book Antiqua" w:hAnsi="Book Antiqua" w:cs="Arial"/>
      </w:rPr>
      <w:fldChar w:fldCharType="separate"/>
    </w:r>
    <w:r w:rsidR="00C3717E">
      <w:rPr>
        <w:rStyle w:val="PageNumber"/>
        <w:rFonts w:ascii="Book Antiqua" w:hAnsi="Book Antiqua" w:cs="Arial"/>
        <w:noProof/>
      </w:rPr>
      <w:t>11</w:t>
    </w:r>
    <w:r w:rsidRPr="00F3357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66E" w:rsidRPr="00F5664C" w:rsidRDefault="006F766E" w:rsidP="00842418">
    <w:pPr>
      <w:jc w:val="center"/>
      <w:rPr>
        <w:rFonts w:ascii="Book Antiqua" w:hAnsi="Book Antiqua" w:cs="Arial"/>
        <w:b/>
      </w:rPr>
    </w:pPr>
    <w:r w:rsidRPr="00F5664C">
      <w:rPr>
        <w:rFonts w:ascii="Book Antiqua" w:hAnsi="Book Antiqua" w:cs="Arial"/>
        <w:b/>
        <w:spacing w:val="-6"/>
      </w:rPr>
      <w:t>©</w:t>
    </w:r>
    <w:r w:rsidR="00CD214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35D" w:rsidRDefault="003E635D">
      <w:r>
        <w:separator/>
      </w:r>
    </w:p>
  </w:footnote>
  <w:footnote w:type="continuationSeparator" w:id="0">
    <w:p w:rsidR="003E635D" w:rsidRDefault="003E6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66E" w:rsidRDefault="006F766E" w:rsidP="00394F98">
    <w:pPr>
      <w:tabs>
        <w:tab w:val="right" w:pos="9639"/>
      </w:tabs>
      <w:jc w:val="right"/>
      <w:rPr>
        <w:rFonts w:ascii="Book Antiqua" w:hAnsi="Book Antiqua" w:cs="Arial"/>
        <w:caps/>
        <w:sz w:val="16"/>
        <w:szCs w:val="16"/>
      </w:rPr>
    </w:pPr>
    <w:r w:rsidRPr="00394F98">
      <w:rPr>
        <w:rFonts w:ascii="Book Antiqua" w:hAnsi="Book Antiqua" w:cs="Arial"/>
        <w:sz w:val="16"/>
        <w:szCs w:val="16"/>
      </w:rPr>
      <w:t xml:space="preserve">Appeal Number: </w:t>
    </w:r>
    <w:r w:rsidR="00CD214E">
      <w:rPr>
        <w:rFonts w:ascii="Book Antiqua" w:hAnsi="Book Antiqua" w:cs="Arial"/>
        <w:caps/>
        <w:sz w:val="16"/>
        <w:szCs w:val="16"/>
      </w:rPr>
      <w:t>IA/34946</w:t>
    </w:r>
    <w:r>
      <w:rPr>
        <w:rFonts w:ascii="Book Antiqua" w:hAnsi="Book Antiqua" w:cs="Arial"/>
        <w:caps/>
        <w:sz w:val="16"/>
        <w:szCs w:val="16"/>
      </w:rPr>
      <w:t>/2015</w:t>
    </w:r>
  </w:p>
  <w:p w:rsidR="00F33578" w:rsidRPr="00394F98" w:rsidRDefault="00F33578" w:rsidP="00394F98">
    <w:pPr>
      <w:tabs>
        <w:tab w:val="right" w:pos="9639"/>
      </w:tabs>
      <w:jc w:val="right"/>
      <w:rPr>
        <w:rFonts w:ascii="Book Antiqua" w:hAnsi="Book Antiqua" w:cs="Arial"/>
        <w:sz w:val="16"/>
        <w:szCs w:val="16"/>
      </w:rPr>
    </w:pPr>
  </w:p>
  <w:p w:rsidR="006F766E" w:rsidRPr="00F5664C" w:rsidRDefault="006F766E" w:rsidP="000369F5">
    <w:pPr>
      <w:pStyle w:val="Header"/>
      <w:tabs>
        <w:tab w:val="clear" w:pos="4153"/>
        <w:tab w:val="clear" w:pos="8306"/>
        <w:tab w:val="right" w:pos="9639"/>
      </w:tabs>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D6386B"/>
    <w:multiLevelType w:val="hybridMultilevel"/>
    <w:tmpl w:val="4CA48730"/>
    <w:lvl w:ilvl="0" w:tplc="0809000F">
      <w:start w:val="2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A308FE36">
      <w:start w:val="1"/>
      <w:numFmt w:val="decimal"/>
      <w:lvlText w:val="(%7)"/>
      <w:lvlJc w:val="left"/>
      <w:pPr>
        <w:ind w:left="5040" w:hanging="360"/>
      </w:pPr>
      <w:rPr>
        <w:rFonts w:ascii="Book Antiqua" w:eastAsia="Times New Roman" w:hAnsi="Book Antiqua" w:cs="Arial"/>
      </w:r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5102E7E"/>
    <w:multiLevelType w:val="hybridMultilevel"/>
    <w:tmpl w:val="D892F974"/>
    <w:lvl w:ilvl="0" w:tplc="0809000F">
      <w:start w:val="22"/>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6"/>
  </w:num>
  <w:num w:numId="17">
    <w:abstractNumId w:val="13"/>
  </w:num>
  <w:num w:numId="18">
    <w:abstractNumId w:val="10"/>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98"/>
    <w:rsid w:val="00000017"/>
    <w:rsid w:val="00000621"/>
    <w:rsid w:val="000036C2"/>
    <w:rsid w:val="0000382B"/>
    <w:rsid w:val="00003A39"/>
    <w:rsid w:val="00013B2B"/>
    <w:rsid w:val="00024823"/>
    <w:rsid w:val="0003181F"/>
    <w:rsid w:val="0003287D"/>
    <w:rsid w:val="00033D3D"/>
    <w:rsid w:val="00035289"/>
    <w:rsid w:val="0003652C"/>
    <w:rsid w:val="000369F5"/>
    <w:rsid w:val="00047FCE"/>
    <w:rsid w:val="000510E3"/>
    <w:rsid w:val="000533A3"/>
    <w:rsid w:val="00061251"/>
    <w:rsid w:val="00067E82"/>
    <w:rsid w:val="00071A7E"/>
    <w:rsid w:val="000746C0"/>
    <w:rsid w:val="00074D1D"/>
    <w:rsid w:val="000758EB"/>
    <w:rsid w:val="0008474F"/>
    <w:rsid w:val="000858A6"/>
    <w:rsid w:val="000910D9"/>
    <w:rsid w:val="00092580"/>
    <w:rsid w:val="00094C8C"/>
    <w:rsid w:val="000B34C7"/>
    <w:rsid w:val="000B78FD"/>
    <w:rsid w:val="000C5D78"/>
    <w:rsid w:val="000C75D0"/>
    <w:rsid w:val="000D01C9"/>
    <w:rsid w:val="000D0FF1"/>
    <w:rsid w:val="000D5D94"/>
    <w:rsid w:val="000E0CD7"/>
    <w:rsid w:val="000E4845"/>
    <w:rsid w:val="000E4E56"/>
    <w:rsid w:val="000E5671"/>
    <w:rsid w:val="000E5F99"/>
    <w:rsid w:val="000F2683"/>
    <w:rsid w:val="0010561B"/>
    <w:rsid w:val="00114F8B"/>
    <w:rsid w:val="001165A7"/>
    <w:rsid w:val="001169C3"/>
    <w:rsid w:val="0013410A"/>
    <w:rsid w:val="00136A91"/>
    <w:rsid w:val="00137057"/>
    <w:rsid w:val="00137059"/>
    <w:rsid w:val="00151BB7"/>
    <w:rsid w:val="001564E0"/>
    <w:rsid w:val="00157441"/>
    <w:rsid w:val="00165CA9"/>
    <w:rsid w:val="00167BFA"/>
    <w:rsid w:val="00167D3A"/>
    <w:rsid w:val="001745E0"/>
    <w:rsid w:val="00175EBB"/>
    <w:rsid w:val="00187386"/>
    <w:rsid w:val="001975F3"/>
    <w:rsid w:val="001A1E2C"/>
    <w:rsid w:val="001A3752"/>
    <w:rsid w:val="001A6BF4"/>
    <w:rsid w:val="001E19B9"/>
    <w:rsid w:val="001E5E2E"/>
    <w:rsid w:val="001F2716"/>
    <w:rsid w:val="001F493B"/>
    <w:rsid w:val="001F56BD"/>
    <w:rsid w:val="00200330"/>
    <w:rsid w:val="0020133A"/>
    <w:rsid w:val="00207617"/>
    <w:rsid w:val="0021278B"/>
    <w:rsid w:val="00220457"/>
    <w:rsid w:val="00227C9E"/>
    <w:rsid w:val="002364A6"/>
    <w:rsid w:val="002545D3"/>
    <w:rsid w:val="00255071"/>
    <w:rsid w:val="00255114"/>
    <w:rsid w:val="0026315D"/>
    <w:rsid w:val="002638C2"/>
    <w:rsid w:val="002658D6"/>
    <w:rsid w:val="00283659"/>
    <w:rsid w:val="0028459C"/>
    <w:rsid w:val="002918A4"/>
    <w:rsid w:val="00291ECF"/>
    <w:rsid w:val="002A2507"/>
    <w:rsid w:val="002A3836"/>
    <w:rsid w:val="002A3A92"/>
    <w:rsid w:val="002C03CE"/>
    <w:rsid w:val="002C46E4"/>
    <w:rsid w:val="002C4E73"/>
    <w:rsid w:val="002C61FA"/>
    <w:rsid w:val="002C6A7F"/>
    <w:rsid w:val="002C7506"/>
    <w:rsid w:val="002D0B4B"/>
    <w:rsid w:val="002D68BF"/>
    <w:rsid w:val="002F026E"/>
    <w:rsid w:val="002F5A39"/>
    <w:rsid w:val="0030504C"/>
    <w:rsid w:val="0031028D"/>
    <w:rsid w:val="003155E9"/>
    <w:rsid w:val="00315840"/>
    <w:rsid w:val="003211D9"/>
    <w:rsid w:val="00321CC3"/>
    <w:rsid w:val="00335421"/>
    <w:rsid w:val="00336CBF"/>
    <w:rsid w:val="00344F84"/>
    <w:rsid w:val="00350AFD"/>
    <w:rsid w:val="003546C8"/>
    <w:rsid w:val="003575D3"/>
    <w:rsid w:val="003638B3"/>
    <w:rsid w:val="00372BF1"/>
    <w:rsid w:val="003739D0"/>
    <w:rsid w:val="003935F6"/>
    <w:rsid w:val="00394F98"/>
    <w:rsid w:val="003965CF"/>
    <w:rsid w:val="003A7CF2"/>
    <w:rsid w:val="003B2CA8"/>
    <w:rsid w:val="003B49B5"/>
    <w:rsid w:val="003C25A9"/>
    <w:rsid w:val="003C5CE5"/>
    <w:rsid w:val="003D15F3"/>
    <w:rsid w:val="003D3E83"/>
    <w:rsid w:val="003D6BDF"/>
    <w:rsid w:val="003E267B"/>
    <w:rsid w:val="003E635D"/>
    <w:rsid w:val="003E7CD1"/>
    <w:rsid w:val="003F0F98"/>
    <w:rsid w:val="003F182A"/>
    <w:rsid w:val="00401E46"/>
    <w:rsid w:val="00402475"/>
    <w:rsid w:val="00402B9E"/>
    <w:rsid w:val="004064D0"/>
    <w:rsid w:val="00423932"/>
    <w:rsid w:val="004249CB"/>
    <w:rsid w:val="00426D3E"/>
    <w:rsid w:val="004323D6"/>
    <w:rsid w:val="00437B5C"/>
    <w:rsid w:val="0044127D"/>
    <w:rsid w:val="00442C74"/>
    <w:rsid w:val="004448DB"/>
    <w:rsid w:val="00446C9A"/>
    <w:rsid w:val="00455026"/>
    <w:rsid w:val="004645EC"/>
    <w:rsid w:val="00464ACF"/>
    <w:rsid w:val="00467982"/>
    <w:rsid w:val="00470AF1"/>
    <w:rsid w:val="00474549"/>
    <w:rsid w:val="00477193"/>
    <w:rsid w:val="0048196A"/>
    <w:rsid w:val="00482709"/>
    <w:rsid w:val="00483725"/>
    <w:rsid w:val="0048613B"/>
    <w:rsid w:val="00486F20"/>
    <w:rsid w:val="004A0675"/>
    <w:rsid w:val="004A1848"/>
    <w:rsid w:val="004B25A1"/>
    <w:rsid w:val="004B6CCB"/>
    <w:rsid w:val="004C3453"/>
    <w:rsid w:val="004C5653"/>
    <w:rsid w:val="004C7D67"/>
    <w:rsid w:val="004E27B6"/>
    <w:rsid w:val="004E4343"/>
    <w:rsid w:val="004E4C22"/>
    <w:rsid w:val="004F053E"/>
    <w:rsid w:val="00502279"/>
    <w:rsid w:val="005067F8"/>
    <w:rsid w:val="00507FEC"/>
    <w:rsid w:val="00510F0E"/>
    <w:rsid w:val="0051177B"/>
    <w:rsid w:val="00520386"/>
    <w:rsid w:val="00524C25"/>
    <w:rsid w:val="00532A2F"/>
    <w:rsid w:val="0054309C"/>
    <w:rsid w:val="00546902"/>
    <w:rsid w:val="005479E1"/>
    <w:rsid w:val="0055446F"/>
    <w:rsid w:val="00556C45"/>
    <w:rsid w:val="005570FD"/>
    <w:rsid w:val="005575EA"/>
    <w:rsid w:val="00560BB0"/>
    <w:rsid w:val="00573720"/>
    <w:rsid w:val="0057790C"/>
    <w:rsid w:val="0059259B"/>
    <w:rsid w:val="00593795"/>
    <w:rsid w:val="005978D3"/>
    <w:rsid w:val="005A59BE"/>
    <w:rsid w:val="005A75FF"/>
    <w:rsid w:val="005B54B0"/>
    <w:rsid w:val="005B7789"/>
    <w:rsid w:val="005C4825"/>
    <w:rsid w:val="005D0D80"/>
    <w:rsid w:val="005D2C66"/>
    <w:rsid w:val="005D56F1"/>
    <w:rsid w:val="005D7A9C"/>
    <w:rsid w:val="005E189B"/>
    <w:rsid w:val="005E6CD8"/>
    <w:rsid w:val="00610D5E"/>
    <w:rsid w:val="00617D7C"/>
    <w:rsid w:val="00646601"/>
    <w:rsid w:val="00646EA5"/>
    <w:rsid w:val="0065791C"/>
    <w:rsid w:val="0066211F"/>
    <w:rsid w:val="006621A4"/>
    <w:rsid w:val="006668B4"/>
    <w:rsid w:val="006726FD"/>
    <w:rsid w:val="006736AA"/>
    <w:rsid w:val="00675FE1"/>
    <w:rsid w:val="00684648"/>
    <w:rsid w:val="00690B8A"/>
    <w:rsid w:val="00690C77"/>
    <w:rsid w:val="0069520C"/>
    <w:rsid w:val="006A2F8F"/>
    <w:rsid w:val="006A6CCB"/>
    <w:rsid w:val="006B6B99"/>
    <w:rsid w:val="006C15D9"/>
    <w:rsid w:val="006C1FE4"/>
    <w:rsid w:val="006D1DFA"/>
    <w:rsid w:val="006D40C3"/>
    <w:rsid w:val="006D506B"/>
    <w:rsid w:val="006E3C90"/>
    <w:rsid w:val="006F378A"/>
    <w:rsid w:val="006F766E"/>
    <w:rsid w:val="00701B04"/>
    <w:rsid w:val="00704B61"/>
    <w:rsid w:val="00707DB1"/>
    <w:rsid w:val="0071616B"/>
    <w:rsid w:val="00716610"/>
    <w:rsid w:val="00716826"/>
    <w:rsid w:val="00730E59"/>
    <w:rsid w:val="007353BB"/>
    <w:rsid w:val="00736459"/>
    <w:rsid w:val="00742A8D"/>
    <w:rsid w:val="00743177"/>
    <w:rsid w:val="00746C75"/>
    <w:rsid w:val="007552A9"/>
    <w:rsid w:val="00757C52"/>
    <w:rsid w:val="00760440"/>
    <w:rsid w:val="00761858"/>
    <w:rsid w:val="00765C25"/>
    <w:rsid w:val="00767D59"/>
    <w:rsid w:val="00773B0A"/>
    <w:rsid w:val="00776E97"/>
    <w:rsid w:val="00780FD7"/>
    <w:rsid w:val="007912AD"/>
    <w:rsid w:val="00793970"/>
    <w:rsid w:val="007A1F28"/>
    <w:rsid w:val="007B0824"/>
    <w:rsid w:val="007B2BC4"/>
    <w:rsid w:val="007E4A38"/>
    <w:rsid w:val="007E6FB8"/>
    <w:rsid w:val="007F00C4"/>
    <w:rsid w:val="007F01DA"/>
    <w:rsid w:val="007F3690"/>
    <w:rsid w:val="0080208A"/>
    <w:rsid w:val="00802991"/>
    <w:rsid w:val="00802B19"/>
    <w:rsid w:val="00810515"/>
    <w:rsid w:val="008139E5"/>
    <w:rsid w:val="00821174"/>
    <w:rsid w:val="008303B8"/>
    <w:rsid w:val="00833DCE"/>
    <w:rsid w:val="00842418"/>
    <w:rsid w:val="008514AE"/>
    <w:rsid w:val="00852B95"/>
    <w:rsid w:val="00856DA5"/>
    <w:rsid w:val="008634DB"/>
    <w:rsid w:val="00865560"/>
    <w:rsid w:val="008666B4"/>
    <w:rsid w:val="00871D34"/>
    <w:rsid w:val="00875003"/>
    <w:rsid w:val="0089057C"/>
    <w:rsid w:val="008978AD"/>
    <w:rsid w:val="008A1F22"/>
    <w:rsid w:val="008B0557"/>
    <w:rsid w:val="008B1DD7"/>
    <w:rsid w:val="008B270C"/>
    <w:rsid w:val="008C26C1"/>
    <w:rsid w:val="008C3D3D"/>
    <w:rsid w:val="008C63D4"/>
    <w:rsid w:val="008D4131"/>
    <w:rsid w:val="008D7C3E"/>
    <w:rsid w:val="008D7EB4"/>
    <w:rsid w:val="008E1EB3"/>
    <w:rsid w:val="008F1226"/>
    <w:rsid w:val="008F1932"/>
    <w:rsid w:val="008F2714"/>
    <w:rsid w:val="008F294D"/>
    <w:rsid w:val="00911183"/>
    <w:rsid w:val="00921062"/>
    <w:rsid w:val="00922D48"/>
    <w:rsid w:val="0092618D"/>
    <w:rsid w:val="00926813"/>
    <w:rsid w:val="0093083E"/>
    <w:rsid w:val="00942C86"/>
    <w:rsid w:val="009502AE"/>
    <w:rsid w:val="009510DF"/>
    <w:rsid w:val="009577CA"/>
    <w:rsid w:val="00962675"/>
    <w:rsid w:val="00966ECF"/>
    <w:rsid w:val="00970C79"/>
    <w:rsid w:val="009727A3"/>
    <w:rsid w:val="00974003"/>
    <w:rsid w:val="00976510"/>
    <w:rsid w:val="00987774"/>
    <w:rsid w:val="00996211"/>
    <w:rsid w:val="009A11E8"/>
    <w:rsid w:val="009A189F"/>
    <w:rsid w:val="009A50DE"/>
    <w:rsid w:val="009A7E04"/>
    <w:rsid w:val="009C41D4"/>
    <w:rsid w:val="009D284A"/>
    <w:rsid w:val="009D3408"/>
    <w:rsid w:val="009D455B"/>
    <w:rsid w:val="009E4E62"/>
    <w:rsid w:val="009F5220"/>
    <w:rsid w:val="009F7C4D"/>
    <w:rsid w:val="009F7DC6"/>
    <w:rsid w:val="00A038EA"/>
    <w:rsid w:val="00A1131A"/>
    <w:rsid w:val="00A11D5E"/>
    <w:rsid w:val="00A131CF"/>
    <w:rsid w:val="00A15234"/>
    <w:rsid w:val="00A201AB"/>
    <w:rsid w:val="00A2407E"/>
    <w:rsid w:val="00A24A81"/>
    <w:rsid w:val="00A31C8B"/>
    <w:rsid w:val="00A43D20"/>
    <w:rsid w:val="00A46320"/>
    <w:rsid w:val="00A52BEC"/>
    <w:rsid w:val="00A56BF1"/>
    <w:rsid w:val="00A64B27"/>
    <w:rsid w:val="00A75965"/>
    <w:rsid w:val="00A80F29"/>
    <w:rsid w:val="00A845DC"/>
    <w:rsid w:val="00A8576D"/>
    <w:rsid w:val="00A86E36"/>
    <w:rsid w:val="00A8703D"/>
    <w:rsid w:val="00A91732"/>
    <w:rsid w:val="00A95EB7"/>
    <w:rsid w:val="00A97AEE"/>
    <w:rsid w:val="00AA6561"/>
    <w:rsid w:val="00AB7D4E"/>
    <w:rsid w:val="00AC1116"/>
    <w:rsid w:val="00AC235A"/>
    <w:rsid w:val="00AC5CF6"/>
    <w:rsid w:val="00AD0B14"/>
    <w:rsid w:val="00AD33D5"/>
    <w:rsid w:val="00AD34B3"/>
    <w:rsid w:val="00AE43AA"/>
    <w:rsid w:val="00AE4670"/>
    <w:rsid w:val="00AE5FD0"/>
    <w:rsid w:val="00AF6D1C"/>
    <w:rsid w:val="00B144FA"/>
    <w:rsid w:val="00B15F9E"/>
    <w:rsid w:val="00B16F58"/>
    <w:rsid w:val="00B237F8"/>
    <w:rsid w:val="00B2690A"/>
    <w:rsid w:val="00B26EBA"/>
    <w:rsid w:val="00B30648"/>
    <w:rsid w:val="00B322DC"/>
    <w:rsid w:val="00B344DF"/>
    <w:rsid w:val="00B3524D"/>
    <w:rsid w:val="00B40F69"/>
    <w:rsid w:val="00B4258C"/>
    <w:rsid w:val="00B46616"/>
    <w:rsid w:val="00B610E3"/>
    <w:rsid w:val="00B61205"/>
    <w:rsid w:val="00B617C4"/>
    <w:rsid w:val="00B624C8"/>
    <w:rsid w:val="00B626FA"/>
    <w:rsid w:val="00B6313D"/>
    <w:rsid w:val="00B65F0A"/>
    <w:rsid w:val="00B7040A"/>
    <w:rsid w:val="00B74E8D"/>
    <w:rsid w:val="00B76168"/>
    <w:rsid w:val="00B768CA"/>
    <w:rsid w:val="00B83ABB"/>
    <w:rsid w:val="00B96FA0"/>
    <w:rsid w:val="00BA20D3"/>
    <w:rsid w:val="00BB4102"/>
    <w:rsid w:val="00BB5769"/>
    <w:rsid w:val="00BC0549"/>
    <w:rsid w:val="00BC3FDA"/>
    <w:rsid w:val="00BC411E"/>
    <w:rsid w:val="00BC5719"/>
    <w:rsid w:val="00BD24E9"/>
    <w:rsid w:val="00BD4196"/>
    <w:rsid w:val="00BE5270"/>
    <w:rsid w:val="00BE77AA"/>
    <w:rsid w:val="00BF22CA"/>
    <w:rsid w:val="00BF2565"/>
    <w:rsid w:val="00C00C97"/>
    <w:rsid w:val="00C01EF8"/>
    <w:rsid w:val="00C027BB"/>
    <w:rsid w:val="00C06B1B"/>
    <w:rsid w:val="00C06E2D"/>
    <w:rsid w:val="00C16545"/>
    <w:rsid w:val="00C26032"/>
    <w:rsid w:val="00C265B0"/>
    <w:rsid w:val="00C2732B"/>
    <w:rsid w:val="00C321B5"/>
    <w:rsid w:val="00C345E1"/>
    <w:rsid w:val="00C36CA7"/>
    <w:rsid w:val="00C36EFF"/>
    <w:rsid w:val="00C3717E"/>
    <w:rsid w:val="00C41870"/>
    <w:rsid w:val="00C423C9"/>
    <w:rsid w:val="00C43C22"/>
    <w:rsid w:val="00C44C47"/>
    <w:rsid w:val="00C47E52"/>
    <w:rsid w:val="00C649EB"/>
    <w:rsid w:val="00C77259"/>
    <w:rsid w:val="00C977BA"/>
    <w:rsid w:val="00CA0985"/>
    <w:rsid w:val="00CA30B0"/>
    <w:rsid w:val="00CB3B8B"/>
    <w:rsid w:val="00CB6E35"/>
    <w:rsid w:val="00CC58F2"/>
    <w:rsid w:val="00CD0862"/>
    <w:rsid w:val="00CD214E"/>
    <w:rsid w:val="00CD25F4"/>
    <w:rsid w:val="00CD7942"/>
    <w:rsid w:val="00CE1A46"/>
    <w:rsid w:val="00CE26B2"/>
    <w:rsid w:val="00CF0F7F"/>
    <w:rsid w:val="00CF253F"/>
    <w:rsid w:val="00CF3094"/>
    <w:rsid w:val="00CF56B4"/>
    <w:rsid w:val="00D0047F"/>
    <w:rsid w:val="00D12973"/>
    <w:rsid w:val="00D156D0"/>
    <w:rsid w:val="00D20F09"/>
    <w:rsid w:val="00D22636"/>
    <w:rsid w:val="00D40FD9"/>
    <w:rsid w:val="00D505E3"/>
    <w:rsid w:val="00D51739"/>
    <w:rsid w:val="00D53769"/>
    <w:rsid w:val="00D546D9"/>
    <w:rsid w:val="00D62EA6"/>
    <w:rsid w:val="00D65912"/>
    <w:rsid w:val="00D76A95"/>
    <w:rsid w:val="00D804DF"/>
    <w:rsid w:val="00D80B3E"/>
    <w:rsid w:val="00D85705"/>
    <w:rsid w:val="00D85C13"/>
    <w:rsid w:val="00D91BE3"/>
    <w:rsid w:val="00D923E0"/>
    <w:rsid w:val="00D94AFC"/>
    <w:rsid w:val="00DA084F"/>
    <w:rsid w:val="00DA4871"/>
    <w:rsid w:val="00DB2CD4"/>
    <w:rsid w:val="00DB2E9E"/>
    <w:rsid w:val="00DB70AE"/>
    <w:rsid w:val="00DB7231"/>
    <w:rsid w:val="00DC27ED"/>
    <w:rsid w:val="00DC3079"/>
    <w:rsid w:val="00DD1254"/>
    <w:rsid w:val="00DD15E3"/>
    <w:rsid w:val="00DD2B4A"/>
    <w:rsid w:val="00DD5071"/>
    <w:rsid w:val="00DD5C39"/>
    <w:rsid w:val="00DD63CA"/>
    <w:rsid w:val="00DE26AF"/>
    <w:rsid w:val="00DE353E"/>
    <w:rsid w:val="00DE43C7"/>
    <w:rsid w:val="00DE5A2E"/>
    <w:rsid w:val="00DE6C47"/>
    <w:rsid w:val="00DE7DB7"/>
    <w:rsid w:val="00DF0CAB"/>
    <w:rsid w:val="00E00A0A"/>
    <w:rsid w:val="00E01393"/>
    <w:rsid w:val="00E0409F"/>
    <w:rsid w:val="00E07F57"/>
    <w:rsid w:val="00E1040E"/>
    <w:rsid w:val="00E20DE3"/>
    <w:rsid w:val="00E211DD"/>
    <w:rsid w:val="00E23412"/>
    <w:rsid w:val="00E23B71"/>
    <w:rsid w:val="00E27864"/>
    <w:rsid w:val="00E50BCE"/>
    <w:rsid w:val="00E558F5"/>
    <w:rsid w:val="00E610B5"/>
    <w:rsid w:val="00E61281"/>
    <w:rsid w:val="00E61292"/>
    <w:rsid w:val="00E63B51"/>
    <w:rsid w:val="00E76309"/>
    <w:rsid w:val="00E77C4D"/>
    <w:rsid w:val="00E81D01"/>
    <w:rsid w:val="00E8215C"/>
    <w:rsid w:val="00EA4C45"/>
    <w:rsid w:val="00EA6FCF"/>
    <w:rsid w:val="00EB1C27"/>
    <w:rsid w:val="00EC49D1"/>
    <w:rsid w:val="00EC6906"/>
    <w:rsid w:val="00ED68EC"/>
    <w:rsid w:val="00EE2866"/>
    <w:rsid w:val="00EE45D8"/>
    <w:rsid w:val="00EF2EDA"/>
    <w:rsid w:val="00EF3870"/>
    <w:rsid w:val="00F004CD"/>
    <w:rsid w:val="00F02062"/>
    <w:rsid w:val="00F05008"/>
    <w:rsid w:val="00F0640F"/>
    <w:rsid w:val="00F12D57"/>
    <w:rsid w:val="00F13FEE"/>
    <w:rsid w:val="00F20AC5"/>
    <w:rsid w:val="00F22A22"/>
    <w:rsid w:val="00F22ED9"/>
    <w:rsid w:val="00F22EDA"/>
    <w:rsid w:val="00F264B5"/>
    <w:rsid w:val="00F3224D"/>
    <w:rsid w:val="00F329BE"/>
    <w:rsid w:val="00F33578"/>
    <w:rsid w:val="00F33E0E"/>
    <w:rsid w:val="00F35376"/>
    <w:rsid w:val="00F35F9C"/>
    <w:rsid w:val="00F3661B"/>
    <w:rsid w:val="00F55C08"/>
    <w:rsid w:val="00F5664C"/>
    <w:rsid w:val="00F574B1"/>
    <w:rsid w:val="00F62711"/>
    <w:rsid w:val="00F63355"/>
    <w:rsid w:val="00F71764"/>
    <w:rsid w:val="00F749EC"/>
    <w:rsid w:val="00F84D0B"/>
    <w:rsid w:val="00F864A7"/>
    <w:rsid w:val="00FB0963"/>
    <w:rsid w:val="00FB53A5"/>
    <w:rsid w:val="00FB7E80"/>
    <w:rsid w:val="00FC55CF"/>
    <w:rsid w:val="00FD386F"/>
    <w:rsid w:val="00FE1994"/>
    <w:rsid w:val="00FF072A"/>
    <w:rsid w:val="00FF2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AEC9A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865560"/>
    <w:rPr>
      <w:sz w:val="16"/>
      <w:szCs w:val="16"/>
    </w:rPr>
  </w:style>
  <w:style w:type="paragraph" w:styleId="CommentText">
    <w:name w:val="annotation text"/>
    <w:basedOn w:val="Normal"/>
    <w:link w:val="CommentTextChar"/>
    <w:rsid w:val="00865560"/>
    <w:rPr>
      <w:sz w:val="20"/>
      <w:szCs w:val="20"/>
    </w:rPr>
  </w:style>
  <w:style w:type="character" w:customStyle="1" w:styleId="CommentTextChar">
    <w:name w:val="Comment Text Char"/>
    <w:basedOn w:val="DefaultParagraphFont"/>
    <w:link w:val="CommentText"/>
    <w:rsid w:val="00865560"/>
  </w:style>
  <w:style w:type="paragraph" w:styleId="CommentSubject">
    <w:name w:val="annotation subject"/>
    <w:basedOn w:val="CommentText"/>
    <w:next w:val="CommentText"/>
    <w:link w:val="CommentSubjectChar"/>
    <w:rsid w:val="00865560"/>
    <w:rPr>
      <w:b/>
      <w:bCs/>
    </w:rPr>
  </w:style>
  <w:style w:type="character" w:customStyle="1" w:styleId="CommentSubjectChar">
    <w:name w:val="Comment Subject Char"/>
    <w:link w:val="CommentSubject"/>
    <w:rsid w:val="00865560"/>
    <w:rPr>
      <w:b/>
      <w:bCs/>
    </w:rPr>
  </w:style>
  <w:style w:type="paragraph" w:styleId="ListParagraph">
    <w:name w:val="List Paragraph"/>
    <w:basedOn w:val="Normal"/>
    <w:uiPriority w:val="34"/>
    <w:qFormat/>
    <w:rsid w:val="00DD63C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F757A-D720-4EFB-9285-0FBEBECC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5205</Words>
  <Characters>25060</Characters>
  <Application>Microsoft Office Word</Application>
  <DocSecurity>0</DocSecurity>
  <Lines>208</Lines>
  <Paragraphs>60</Paragraphs>
  <ScaleCrop>false</ScaleCrop>
  <Company/>
  <LinksUpToDate>false</LinksUpToDate>
  <CharactersWithSpaces>30205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2018-06-13T11:43:00Z</dcterms:created>
  <dcterms:modified xsi:type="dcterms:W3CDTF">2018-06-13T11:43:00Z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