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Default="00FF5E8A" w:rsidP="00041662">
      <w:pPr>
        <w:jc w:val="center"/>
        <w:rPr>
          <w:rFonts w:ascii="Book Antiqua" w:hAnsi="Book Antiqua" w:cs="Arial"/>
          <w:sz w:val="16"/>
          <w:szCs w:val="16"/>
        </w:rPr>
      </w:pPr>
      <w:r>
        <w:rPr>
          <w:noProof/>
        </w:rPr>
        <w:drawing>
          <wp:inline distT="0" distB="0" distL="0" distR="0" wp14:anchorId="488F1BBB">
            <wp:extent cx="103632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914400"/>
                    </a:xfrm>
                    <a:prstGeom prst="rect">
                      <a:avLst/>
                    </a:prstGeom>
                    <a:noFill/>
                    <a:ln>
                      <a:noFill/>
                    </a:ln>
                  </pic:spPr>
                </pic:pic>
              </a:graphicData>
            </a:graphic>
          </wp:inline>
        </w:drawing>
      </w:r>
    </w:p>
    <w:p w:rsidR="00A508C5" w:rsidRPr="00A56832" w:rsidRDefault="00A508C5" w:rsidP="00041662">
      <w:pPr>
        <w:jc w:val="center"/>
        <w:rPr>
          <w:rFonts w:ascii="Book Antiqua" w:hAnsi="Book Antiqua" w:cs="Arial"/>
          <w:sz w:val="16"/>
          <w:szCs w:val="16"/>
        </w:rPr>
      </w:pPr>
    </w:p>
    <w:p w:rsidR="00041662" w:rsidRPr="00A56832" w:rsidRDefault="00AC59F8" w:rsidP="00B626FA">
      <w:pPr>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rsidR="00AC59F8"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AC59F8">
        <w:rPr>
          <w:rFonts w:ascii="Book Antiqua" w:hAnsi="Book Antiqua" w:cs="Arial"/>
        </w:rPr>
        <w:t>s</w:t>
      </w:r>
      <w:r w:rsidR="00D53769" w:rsidRPr="00A56832">
        <w:rPr>
          <w:rFonts w:ascii="Book Antiqua" w:hAnsi="Book Antiqua" w:cs="Arial"/>
        </w:rPr>
        <w:t>:</w:t>
      </w:r>
      <w:r w:rsidR="00B3524D" w:rsidRPr="00A56832">
        <w:rPr>
          <w:rFonts w:ascii="Book Antiqua" w:hAnsi="Book Antiqua" w:cs="Arial"/>
        </w:rPr>
        <w:t xml:space="preserve"> </w:t>
      </w:r>
      <w:r w:rsidR="00AC59F8">
        <w:rPr>
          <w:rFonts w:ascii="Book Antiqua" w:hAnsi="Book Antiqua" w:cs="Arial"/>
        </w:rPr>
        <w:t>IA/36307/2014</w:t>
      </w:r>
    </w:p>
    <w:p w:rsidR="007B0824" w:rsidRDefault="00AC59F8" w:rsidP="00AC59F8">
      <w:pPr>
        <w:tabs>
          <w:tab w:val="right" w:pos="9639"/>
        </w:tabs>
        <w:jc w:val="right"/>
        <w:rPr>
          <w:rFonts w:ascii="Book Antiqua" w:hAnsi="Book Antiqua" w:cs="Arial"/>
          <w:caps/>
        </w:rPr>
      </w:pPr>
      <w:r>
        <w:rPr>
          <w:rFonts w:ascii="Book Antiqua" w:hAnsi="Book Antiqua" w:cs="Arial"/>
          <w:caps/>
        </w:rPr>
        <w:t>IA/38031/2014</w:t>
      </w:r>
    </w:p>
    <w:p w:rsidR="00AC59F8" w:rsidRDefault="00AC59F8" w:rsidP="00AC59F8">
      <w:pPr>
        <w:tabs>
          <w:tab w:val="right" w:pos="9639"/>
        </w:tabs>
        <w:jc w:val="right"/>
        <w:rPr>
          <w:rFonts w:ascii="Book Antiqua" w:hAnsi="Book Antiqua" w:cs="Arial"/>
          <w:caps/>
        </w:rPr>
      </w:pPr>
      <w:r>
        <w:rPr>
          <w:rFonts w:ascii="Book Antiqua" w:hAnsi="Book Antiqua" w:cs="Arial"/>
          <w:caps/>
        </w:rPr>
        <w:t>IA/38049/2014</w:t>
      </w:r>
    </w:p>
    <w:p w:rsidR="00C345E1" w:rsidRDefault="00C345E1" w:rsidP="00C345E1">
      <w:pPr>
        <w:jc w:val="center"/>
        <w:rPr>
          <w:rFonts w:ascii="Book Antiqua" w:hAnsi="Book Antiqua" w:cs="Arial"/>
        </w:rPr>
      </w:pPr>
    </w:p>
    <w:p w:rsidR="00A508C5" w:rsidRPr="00A56832" w:rsidRDefault="00A508C5"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A508C5" w:rsidRPr="00A56832" w:rsidRDefault="00A508C5"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A56832" w:rsidTr="00A508C5">
        <w:tc>
          <w:tcPr>
            <w:tcW w:w="2500" w:type="pct"/>
            <w:shd w:val="clear" w:color="auto" w:fill="auto"/>
          </w:tcPr>
          <w:p w:rsidR="00D22636" w:rsidRPr="00402B18" w:rsidRDefault="00D22636" w:rsidP="00402B18">
            <w:pPr>
              <w:jc w:val="both"/>
              <w:rPr>
                <w:rFonts w:ascii="Book Antiqua" w:hAnsi="Book Antiqua" w:cs="Arial"/>
                <w:b/>
              </w:rPr>
            </w:pPr>
            <w:r w:rsidRPr="00402B18">
              <w:rPr>
                <w:rFonts w:ascii="Book Antiqua" w:hAnsi="Book Antiqua" w:cs="Arial"/>
                <w:b/>
              </w:rPr>
              <w:t xml:space="preserve">Heard at </w:t>
            </w:r>
            <w:r w:rsidR="00AC59F8" w:rsidRPr="00402B18">
              <w:rPr>
                <w:rFonts w:ascii="Book Antiqua" w:hAnsi="Book Antiqua" w:cs="Arial"/>
                <w:b/>
              </w:rPr>
              <w:t>Field House, London</w:t>
            </w:r>
          </w:p>
        </w:tc>
        <w:tc>
          <w:tcPr>
            <w:tcW w:w="2500" w:type="pct"/>
            <w:shd w:val="clear" w:color="auto" w:fill="auto"/>
          </w:tcPr>
          <w:p w:rsidR="00D22636" w:rsidRPr="00402B18" w:rsidRDefault="00B63045" w:rsidP="00A508C5">
            <w:pPr>
              <w:jc w:val="right"/>
              <w:rPr>
                <w:rFonts w:ascii="Book Antiqua" w:hAnsi="Book Antiqua" w:cs="Arial"/>
                <w:b/>
              </w:rPr>
            </w:pPr>
            <w:r w:rsidRPr="00402B18">
              <w:rPr>
                <w:rFonts w:ascii="Book Antiqua" w:hAnsi="Book Antiqua" w:cs="Arial"/>
                <w:b/>
              </w:rPr>
              <w:t xml:space="preserve">Decision &amp; Reasons </w:t>
            </w:r>
            <w:r w:rsidR="00283659" w:rsidRPr="00402B18">
              <w:rPr>
                <w:rFonts w:ascii="Book Antiqua" w:hAnsi="Book Antiqua" w:cs="Arial"/>
                <w:b/>
              </w:rPr>
              <w:t>Promulgated</w:t>
            </w:r>
          </w:p>
        </w:tc>
      </w:tr>
      <w:tr w:rsidR="00D22636" w:rsidRPr="00A56832" w:rsidTr="00A508C5">
        <w:tc>
          <w:tcPr>
            <w:tcW w:w="2500" w:type="pct"/>
            <w:shd w:val="clear" w:color="auto" w:fill="auto"/>
          </w:tcPr>
          <w:p w:rsidR="00D22636" w:rsidRPr="00402B18" w:rsidRDefault="00D22636" w:rsidP="00402B18">
            <w:pPr>
              <w:jc w:val="both"/>
              <w:rPr>
                <w:rFonts w:ascii="Book Antiqua" w:hAnsi="Book Antiqua" w:cs="Arial"/>
                <w:b/>
              </w:rPr>
            </w:pPr>
            <w:r w:rsidRPr="00402B18">
              <w:rPr>
                <w:rFonts w:ascii="Book Antiqua" w:hAnsi="Book Antiqua" w:cs="Arial"/>
                <w:b/>
              </w:rPr>
              <w:t xml:space="preserve">On </w:t>
            </w:r>
            <w:r w:rsidR="00AC59F8" w:rsidRPr="00402B18">
              <w:rPr>
                <w:rFonts w:ascii="Book Antiqua" w:hAnsi="Book Antiqua" w:cs="Arial"/>
                <w:b/>
              </w:rPr>
              <w:t>7 September 2018</w:t>
            </w:r>
          </w:p>
        </w:tc>
        <w:tc>
          <w:tcPr>
            <w:tcW w:w="2500" w:type="pct"/>
            <w:shd w:val="clear" w:color="auto" w:fill="auto"/>
          </w:tcPr>
          <w:p w:rsidR="00D22636" w:rsidRPr="00402B18" w:rsidRDefault="00E24E92" w:rsidP="00A508C5">
            <w:pPr>
              <w:jc w:val="right"/>
              <w:rPr>
                <w:rFonts w:ascii="Book Antiqua" w:hAnsi="Book Antiqua" w:cs="Arial"/>
                <w:b/>
              </w:rPr>
            </w:pPr>
            <w:r w:rsidRPr="00402B18">
              <w:rPr>
                <w:rFonts w:ascii="Book Antiqua" w:hAnsi="Book Antiqua" w:cs="Arial"/>
                <w:b/>
              </w:rPr>
              <w:t xml:space="preserve">On </w:t>
            </w:r>
            <w:r>
              <w:rPr>
                <w:rFonts w:ascii="Book Antiqua" w:hAnsi="Book Antiqua" w:cs="Arial"/>
                <w:b/>
              </w:rPr>
              <w:t>1</w:t>
            </w:r>
            <w:r w:rsidRPr="00402B18">
              <w:rPr>
                <w:rFonts w:ascii="Book Antiqua" w:hAnsi="Book Antiqua" w:cs="Arial"/>
                <w:b/>
              </w:rPr>
              <w:t>7 September 2018</w:t>
            </w:r>
          </w:p>
        </w:tc>
      </w:tr>
      <w:tr w:rsidR="00D22636" w:rsidRPr="00A56832" w:rsidTr="00A508C5">
        <w:tc>
          <w:tcPr>
            <w:tcW w:w="2500" w:type="pct"/>
            <w:shd w:val="clear" w:color="auto" w:fill="auto"/>
          </w:tcPr>
          <w:p w:rsidR="00D22636" w:rsidRPr="00402B18" w:rsidRDefault="00D22636" w:rsidP="00402B18">
            <w:pPr>
              <w:jc w:val="both"/>
              <w:rPr>
                <w:rFonts w:ascii="Book Antiqua" w:hAnsi="Book Antiqua" w:cs="Arial"/>
                <w:b/>
              </w:rPr>
            </w:pPr>
          </w:p>
        </w:tc>
        <w:tc>
          <w:tcPr>
            <w:tcW w:w="2500" w:type="pct"/>
            <w:shd w:val="clear" w:color="auto" w:fill="auto"/>
          </w:tcPr>
          <w:p w:rsidR="00D22636" w:rsidRPr="00402B18" w:rsidRDefault="00D22636" w:rsidP="00A508C5">
            <w:pPr>
              <w:jc w:val="right"/>
              <w:rPr>
                <w:rFonts w:ascii="Book Antiqua" w:hAnsi="Book Antiqua" w:cs="Arial"/>
                <w:b/>
              </w:rPr>
            </w:pPr>
          </w:p>
        </w:tc>
      </w:tr>
    </w:tbl>
    <w:p w:rsidR="00A508C5" w:rsidRDefault="00A508C5" w:rsidP="00A15234">
      <w:pPr>
        <w:jc w:val="center"/>
        <w:rPr>
          <w:rFonts w:ascii="Book Antiqua" w:hAnsi="Book Antiqua" w:cs="Arial"/>
          <w:b/>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AC59F8" w:rsidP="00A15234">
      <w:pPr>
        <w:jc w:val="center"/>
        <w:rPr>
          <w:rFonts w:ascii="Book Antiqua" w:hAnsi="Book Antiqua" w:cs="Arial"/>
          <w:b/>
        </w:rPr>
      </w:pPr>
      <w:r>
        <w:rPr>
          <w:rFonts w:ascii="Book Antiqua" w:hAnsi="Book Antiqua" w:cs="Arial"/>
          <w:b/>
        </w:rPr>
        <w:t>DEPUTY</w:t>
      </w:r>
      <w:r w:rsidR="002917F7">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proofErr w:type="spellStart"/>
      <w:r w:rsidR="002917F7">
        <w:rPr>
          <w:rFonts w:ascii="Book Antiqua" w:hAnsi="Book Antiqua" w:cs="Arial"/>
          <w:b/>
        </w:rPr>
        <w:t>McCARTHY</w:t>
      </w:r>
      <w:proofErr w:type="spellEnd"/>
    </w:p>
    <w:p w:rsidR="0064629B" w:rsidRPr="00A56832" w:rsidRDefault="0064629B" w:rsidP="00A15234">
      <w:pPr>
        <w:jc w:val="center"/>
        <w:rPr>
          <w:rFonts w:ascii="Book Antiqua" w:hAnsi="Book Antiqua" w:cs="Arial"/>
          <w:b/>
        </w:rPr>
      </w:pPr>
    </w:p>
    <w:p w:rsidR="00A508C5" w:rsidRDefault="00A508C5"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Pr="00A56832" w:rsidRDefault="00A845DC" w:rsidP="00A15234">
      <w:pPr>
        <w:jc w:val="center"/>
        <w:rPr>
          <w:rFonts w:ascii="Book Antiqua" w:hAnsi="Book Antiqua" w:cs="Arial"/>
          <w:b/>
        </w:rPr>
      </w:pPr>
    </w:p>
    <w:p w:rsidR="00742A8D" w:rsidRDefault="00B723C8" w:rsidP="00742A8D">
      <w:pPr>
        <w:jc w:val="center"/>
        <w:rPr>
          <w:rFonts w:ascii="Book Antiqua" w:hAnsi="Book Antiqua" w:cs="Arial"/>
          <w:b/>
          <w:caps/>
        </w:rPr>
      </w:pPr>
      <w:r>
        <w:rPr>
          <w:rFonts w:ascii="Book Antiqua" w:hAnsi="Book Antiqua" w:cs="Arial"/>
          <w:b/>
          <w:caps/>
        </w:rPr>
        <w:t xml:space="preserve">vikas </w:t>
      </w:r>
      <w:r w:rsidR="00A508C5">
        <w:rPr>
          <w:rFonts w:ascii="Book Antiqua" w:hAnsi="Book Antiqua" w:cs="Arial"/>
          <w:b/>
          <w:caps/>
        </w:rPr>
        <w:t>[</w:t>
      </w:r>
      <w:r>
        <w:rPr>
          <w:rFonts w:ascii="Book Antiqua" w:hAnsi="Book Antiqua" w:cs="Arial"/>
          <w:b/>
          <w:caps/>
        </w:rPr>
        <w:t>p</w:t>
      </w:r>
      <w:r w:rsidR="00A508C5">
        <w:rPr>
          <w:rFonts w:ascii="Book Antiqua" w:hAnsi="Book Antiqua" w:cs="Arial"/>
          <w:b/>
          <w:caps/>
        </w:rPr>
        <w:t xml:space="preserve">] </w:t>
      </w:r>
      <w:r>
        <w:rPr>
          <w:rFonts w:ascii="Book Antiqua" w:hAnsi="Book Antiqua" w:cs="Arial"/>
          <w:b/>
          <w:caps/>
        </w:rPr>
        <w:t>(1)</w:t>
      </w:r>
    </w:p>
    <w:p w:rsidR="00B723C8" w:rsidRDefault="00B723C8" w:rsidP="00742A8D">
      <w:pPr>
        <w:jc w:val="center"/>
        <w:rPr>
          <w:rFonts w:ascii="Book Antiqua" w:hAnsi="Book Antiqua" w:cs="Arial"/>
          <w:b/>
          <w:caps/>
        </w:rPr>
      </w:pPr>
      <w:r>
        <w:rPr>
          <w:rFonts w:ascii="Book Antiqua" w:hAnsi="Book Antiqua" w:cs="Arial"/>
          <w:b/>
          <w:caps/>
        </w:rPr>
        <w:t xml:space="preserve">hinal </w:t>
      </w:r>
      <w:r w:rsidR="00A508C5">
        <w:rPr>
          <w:rFonts w:ascii="Book Antiqua" w:hAnsi="Book Antiqua" w:cs="Arial"/>
          <w:b/>
          <w:caps/>
        </w:rPr>
        <w:t>[</w:t>
      </w:r>
      <w:r>
        <w:rPr>
          <w:rFonts w:ascii="Book Antiqua" w:hAnsi="Book Antiqua" w:cs="Arial"/>
          <w:b/>
          <w:caps/>
        </w:rPr>
        <w:t>p</w:t>
      </w:r>
      <w:r w:rsidR="00A508C5">
        <w:rPr>
          <w:rFonts w:ascii="Book Antiqua" w:hAnsi="Book Antiqua" w:cs="Arial"/>
          <w:b/>
          <w:caps/>
        </w:rPr>
        <w:t xml:space="preserve">] </w:t>
      </w:r>
      <w:r>
        <w:rPr>
          <w:rFonts w:ascii="Book Antiqua" w:hAnsi="Book Antiqua" w:cs="Arial"/>
          <w:b/>
          <w:caps/>
        </w:rPr>
        <w:t>(2)</w:t>
      </w:r>
    </w:p>
    <w:p w:rsidR="00B723C8" w:rsidRDefault="00A508C5" w:rsidP="00742A8D">
      <w:pPr>
        <w:jc w:val="center"/>
        <w:rPr>
          <w:rFonts w:ascii="Book Antiqua" w:hAnsi="Book Antiqua" w:cs="Arial"/>
          <w:b/>
          <w:caps/>
        </w:rPr>
      </w:pPr>
      <w:r>
        <w:rPr>
          <w:rFonts w:ascii="Book Antiqua" w:hAnsi="Book Antiqua" w:cs="Arial"/>
          <w:b/>
          <w:caps/>
        </w:rPr>
        <w:t>[</w:t>
      </w:r>
      <w:r w:rsidR="00B723C8">
        <w:rPr>
          <w:rFonts w:ascii="Book Antiqua" w:hAnsi="Book Antiqua" w:cs="Arial"/>
          <w:b/>
          <w:caps/>
        </w:rPr>
        <w:t>y</w:t>
      </w:r>
      <w:r>
        <w:rPr>
          <w:rFonts w:ascii="Book Antiqua" w:hAnsi="Book Antiqua" w:cs="Arial"/>
          <w:b/>
          <w:caps/>
        </w:rPr>
        <w:t xml:space="preserve"> </w:t>
      </w:r>
      <w:r w:rsidR="00B723C8">
        <w:rPr>
          <w:rFonts w:ascii="Book Antiqua" w:hAnsi="Book Antiqua" w:cs="Arial"/>
          <w:b/>
          <w:caps/>
        </w:rPr>
        <w:t>p</w:t>
      </w:r>
      <w:r>
        <w:rPr>
          <w:rFonts w:ascii="Book Antiqua" w:hAnsi="Book Antiqua" w:cs="Arial"/>
          <w:b/>
          <w:caps/>
        </w:rPr>
        <w:t xml:space="preserve">] </w:t>
      </w:r>
      <w:r w:rsidR="00B723C8">
        <w:rPr>
          <w:rFonts w:ascii="Book Antiqua" w:hAnsi="Book Antiqua" w:cs="Arial"/>
          <w:b/>
          <w:caps/>
        </w:rPr>
        <w:t>(3)</w:t>
      </w:r>
    </w:p>
    <w:p w:rsidR="00E80E94" w:rsidRPr="00A508C5" w:rsidRDefault="00E80E94" w:rsidP="00742A8D">
      <w:pPr>
        <w:jc w:val="center"/>
        <w:rPr>
          <w:rFonts w:ascii="Book Antiqua" w:hAnsi="Book Antiqua" w:cs="Arial"/>
          <w:b/>
          <w:caps/>
          <w:sz w:val="22"/>
        </w:rPr>
      </w:pPr>
      <w:r w:rsidRPr="00A508C5">
        <w:rPr>
          <w:rFonts w:ascii="Book Antiqua" w:hAnsi="Book Antiqua" w:cs="Arial"/>
          <w:b/>
          <w:caps/>
          <w:sz w:val="22"/>
        </w:rPr>
        <w:t xml:space="preserve">(anonymity direction </w:t>
      </w:r>
      <w:r w:rsidR="00B723C8" w:rsidRPr="00A508C5">
        <w:rPr>
          <w:rFonts w:ascii="Book Antiqua" w:hAnsi="Book Antiqua" w:cs="Arial"/>
          <w:b/>
          <w:caps/>
          <w:sz w:val="22"/>
        </w:rPr>
        <w:t>not made</w:t>
      </w:r>
      <w:r w:rsidRPr="00A508C5">
        <w:rPr>
          <w:rFonts w:ascii="Book Antiqua" w:hAnsi="Book Antiqua" w:cs="Arial"/>
          <w:b/>
          <w:caps/>
          <w:sz w:val="22"/>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r w:rsidR="00B723C8">
        <w:rPr>
          <w:rFonts w:ascii="Book Antiqua" w:hAnsi="Book Antiqua" w:cs="Arial"/>
          <w:u w:val="single"/>
        </w:rPr>
        <w:t>s</w:t>
      </w: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0"/>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Default="00DD5071" w:rsidP="00DD5071">
      <w:pPr>
        <w:rPr>
          <w:rFonts w:ascii="Book Antiqua" w:hAnsi="Book Antiqua" w:cs="Arial"/>
          <w:u w:val="single"/>
        </w:rPr>
      </w:pPr>
    </w:p>
    <w:p w:rsidR="00A508C5" w:rsidRPr="00A56832" w:rsidRDefault="00A508C5"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A508C5">
      <w:pPr>
        <w:tabs>
          <w:tab w:val="left" w:pos="2552"/>
        </w:tabs>
        <w:rPr>
          <w:rFonts w:ascii="Book Antiqua" w:hAnsi="Book Antiqua" w:cs="Arial"/>
        </w:rPr>
      </w:pPr>
      <w:r w:rsidRPr="00A56832">
        <w:rPr>
          <w:rFonts w:ascii="Book Antiqua" w:hAnsi="Book Antiqua" w:cs="Arial"/>
        </w:rPr>
        <w:t>For the Appellant</w:t>
      </w:r>
      <w:r w:rsidR="00B723C8">
        <w:rPr>
          <w:rFonts w:ascii="Book Antiqua" w:hAnsi="Book Antiqua" w:cs="Arial"/>
        </w:rPr>
        <w:t>s</w:t>
      </w:r>
      <w:r w:rsidRPr="00A56832">
        <w:rPr>
          <w:rFonts w:ascii="Book Antiqua" w:hAnsi="Book Antiqua" w:cs="Arial"/>
        </w:rPr>
        <w:t>:</w:t>
      </w:r>
      <w:r w:rsidRPr="00A56832">
        <w:rPr>
          <w:rFonts w:ascii="Book Antiqua" w:hAnsi="Book Antiqua" w:cs="Arial"/>
        </w:rPr>
        <w:tab/>
      </w:r>
      <w:r w:rsidR="00B723C8">
        <w:rPr>
          <w:rFonts w:ascii="Book Antiqua" w:hAnsi="Book Antiqua" w:cs="Arial"/>
        </w:rPr>
        <w:t xml:space="preserve">Ms A </w:t>
      </w:r>
      <w:proofErr w:type="spellStart"/>
      <w:r w:rsidR="00B723C8">
        <w:rPr>
          <w:rFonts w:ascii="Book Antiqua" w:hAnsi="Book Antiqua" w:cs="Arial"/>
        </w:rPr>
        <w:t>Nizami</w:t>
      </w:r>
      <w:proofErr w:type="spellEnd"/>
      <w:r w:rsidR="00B723C8">
        <w:rPr>
          <w:rFonts w:ascii="Book Antiqua" w:hAnsi="Book Antiqua" w:cs="Arial"/>
        </w:rPr>
        <w:t>, Counsel instructed by Singhania &amp; Co Solicitors</w:t>
      </w:r>
    </w:p>
    <w:p w:rsidR="00DE7DB7" w:rsidRDefault="00DE7DB7" w:rsidP="00A508C5">
      <w:pPr>
        <w:tabs>
          <w:tab w:val="left" w:pos="2552"/>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B723C8">
        <w:rPr>
          <w:rFonts w:ascii="Book Antiqua" w:hAnsi="Book Antiqua" w:cs="Arial"/>
        </w:rPr>
        <w:t xml:space="preserve">Ms A </w:t>
      </w:r>
      <w:proofErr w:type="spellStart"/>
      <w:r w:rsidR="00B723C8">
        <w:rPr>
          <w:rFonts w:ascii="Book Antiqua" w:hAnsi="Book Antiqua" w:cs="Arial"/>
        </w:rPr>
        <w:t>Fijiwala</w:t>
      </w:r>
      <w:proofErr w:type="spellEnd"/>
      <w:r w:rsidR="00B723C8">
        <w:rPr>
          <w:rFonts w:ascii="Book Antiqua" w:hAnsi="Book Antiqua" w:cs="Arial"/>
        </w:rPr>
        <w:t>, Senior Home Office Presenting Officer</w:t>
      </w:r>
    </w:p>
    <w:p w:rsidR="00B723C8" w:rsidRPr="00A56832" w:rsidRDefault="00B723C8" w:rsidP="00DE7DB7">
      <w:pPr>
        <w:tabs>
          <w:tab w:val="left" w:pos="2520"/>
        </w:tabs>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C12041" w:rsidRDefault="00C12041" w:rsidP="00A508C5">
      <w:pPr>
        <w:numPr>
          <w:ilvl w:val="0"/>
          <w:numId w:val="3"/>
        </w:numPr>
        <w:spacing w:before="240"/>
        <w:jc w:val="both"/>
        <w:rPr>
          <w:rFonts w:ascii="Book Antiqua" w:hAnsi="Book Antiqua" w:cs="Arial"/>
        </w:rPr>
      </w:pPr>
      <w:r>
        <w:rPr>
          <w:rFonts w:ascii="Book Antiqua" w:hAnsi="Book Antiqua" w:cs="Arial"/>
        </w:rPr>
        <w:t>The first and second appellants are husband and wife and are the parents of the third appellants.  All are citizens of India.</w:t>
      </w:r>
    </w:p>
    <w:p w:rsidR="00C12041" w:rsidRDefault="00C12041" w:rsidP="00A508C5">
      <w:pPr>
        <w:numPr>
          <w:ilvl w:val="0"/>
          <w:numId w:val="3"/>
        </w:numPr>
        <w:spacing w:before="240"/>
        <w:jc w:val="both"/>
        <w:rPr>
          <w:rFonts w:ascii="Book Antiqua" w:hAnsi="Book Antiqua" w:cs="Arial"/>
        </w:rPr>
      </w:pPr>
      <w:r>
        <w:rPr>
          <w:rFonts w:ascii="Book Antiqua" w:hAnsi="Book Antiqua" w:cs="Arial"/>
        </w:rPr>
        <w:lastRenderedPageBreak/>
        <w:t xml:space="preserve">The linked appeals have a complex history, most of which is irrelevant to the issues for me to consider.  What is relevant is to recognise that the first appellant’s appeal was against the refusal of further leave as a tier 4 (general) student migrant and against a decision to refuse his associated human rights claim, while the appeals against the second and third appellants arise </w:t>
      </w:r>
      <w:r w:rsidR="00A33AE7">
        <w:rPr>
          <w:rFonts w:ascii="Book Antiqua" w:hAnsi="Book Antiqua" w:cs="Arial"/>
        </w:rPr>
        <w:t xml:space="preserve">from their applications for further leave as the dependants of a student migrant and </w:t>
      </w:r>
      <w:r>
        <w:rPr>
          <w:rFonts w:ascii="Book Antiqua" w:hAnsi="Book Antiqua" w:cs="Arial"/>
        </w:rPr>
        <w:t>from the refusal of their human rights claims.</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 xml:space="preserve">Because these appeals were subject to the previous appeal regime, Ms </w:t>
      </w:r>
      <w:proofErr w:type="spellStart"/>
      <w:r w:rsidRPr="00C12041">
        <w:rPr>
          <w:rFonts w:ascii="Book Antiqua" w:hAnsi="Book Antiqua" w:cs="Arial"/>
        </w:rPr>
        <w:t>Fijiwala</w:t>
      </w:r>
      <w:proofErr w:type="spellEnd"/>
      <w:r w:rsidRPr="00C12041">
        <w:rPr>
          <w:rFonts w:ascii="Book Antiqua" w:hAnsi="Book Antiqua" w:cs="Arial"/>
        </w:rPr>
        <w:t xml:space="preserve"> conceded that First-tier Tribunal Judge Martins erred by not allowing the </w:t>
      </w:r>
      <w:r w:rsidR="00A33AE7">
        <w:rPr>
          <w:rFonts w:ascii="Book Antiqua" w:hAnsi="Book Antiqua" w:cs="Arial"/>
        </w:rPr>
        <w:t xml:space="preserve">appeals </w:t>
      </w:r>
      <w:r w:rsidRPr="00C12041">
        <w:rPr>
          <w:rFonts w:ascii="Book Antiqua" w:hAnsi="Book Antiqua" w:cs="Arial"/>
        </w:rPr>
        <w:t>against the refusal of furth</w:t>
      </w:r>
      <w:r w:rsidR="00A33AE7">
        <w:rPr>
          <w:rFonts w:ascii="Book Antiqua" w:hAnsi="Book Antiqua" w:cs="Arial"/>
        </w:rPr>
        <w:t>er leave to remain as a student and dependants of a student migrant</w:t>
      </w:r>
      <w:r w:rsidRPr="00C12041">
        <w:rPr>
          <w:rFonts w:ascii="Book Antiqua" w:hAnsi="Book Antiqua" w:cs="Arial"/>
        </w:rPr>
        <w:t xml:space="preserve"> on the basis that the decision appealed was not in accordance with the law because relevant policy had not been followed</w:t>
      </w:r>
      <w:r w:rsidR="00A33AE7">
        <w:rPr>
          <w:rFonts w:ascii="Book Antiqua" w:hAnsi="Book Antiqua" w:cs="Arial"/>
        </w:rPr>
        <w:t>,</w:t>
      </w:r>
      <w:r w:rsidRPr="00C12041">
        <w:rPr>
          <w:rFonts w:ascii="Book Antiqua" w:hAnsi="Book Antiqua" w:cs="Arial"/>
        </w:rPr>
        <w:t xml:space="preserve"> which raised an issue of unfairness.  </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 xml:space="preserve">Furthermore, Ms </w:t>
      </w:r>
      <w:proofErr w:type="spellStart"/>
      <w:r w:rsidRPr="00C12041">
        <w:rPr>
          <w:rFonts w:ascii="Book Antiqua" w:hAnsi="Book Antiqua" w:cs="Arial"/>
        </w:rPr>
        <w:t>Nizami</w:t>
      </w:r>
      <w:proofErr w:type="spellEnd"/>
      <w:r w:rsidRPr="00C12041">
        <w:rPr>
          <w:rFonts w:ascii="Book Antiqua" w:hAnsi="Book Antiqua" w:cs="Arial"/>
        </w:rPr>
        <w:t xml:space="preserve"> and Ms </w:t>
      </w:r>
      <w:proofErr w:type="spellStart"/>
      <w:r w:rsidRPr="00C12041">
        <w:rPr>
          <w:rFonts w:ascii="Book Antiqua" w:hAnsi="Book Antiqua" w:cs="Arial"/>
        </w:rPr>
        <w:t>Fijiwala</w:t>
      </w:r>
      <w:proofErr w:type="spellEnd"/>
      <w:r w:rsidRPr="00C12041">
        <w:rPr>
          <w:rFonts w:ascii="Book Antiqua" w:hAnsi="Book Antiqua" w:cs="Arial"/>
        </w:rPr>
        <w:t xml:space="preserve"> agreed that the other appeals should have been allowed to a similar extent because the refusals of the appellants’ human rights claims were infected with the same error because the respondent had failed to justify the decisions that refused further leave</w:t>
      </w:r>
      <w:r w:rsidR="00A33AE7">
        <w:rPr>
          <w:rFonts w:ascii="Book Antiqua" w:hAnsi="Book Antiqua" w:cs="Arial"/>
        </w:rPr>
        <w:t xml:space="preserve"> and necessitated the appellants leave the UK</w:t>
      </w:r>
      <w:r w:rsidRPr="00C12041">
        <w:rPr>
          <w:rFonts w:ascii="Book Antiqua" w:hAnsi="Book Antiqua" w:cs="Arial"/>
        </w:rPr>
        <w:t>.</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In such circumstances, I agreed that it was appropriate to set aside the decisions in the linked appeals and to substitute a decision that the appeals are allowed to the limited extent that the decisions appealed were not in accordance with the law.</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I record the following so the likely impact of this decision is clear but I have no jurisdiction to direct the parties act in the ways they describe.</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 xml:space="preserve">The result of </w:t>
      </w:r>
      <w:r w:rsidR="00A33AE7">
        <w:rPr>
          <w:rFonts w:ascii="Book Antiqua" w:hAnsi="Book Antiqua" w:cs="Arial"/>
        </w:rPr>
        <w:t>my</w:t>
      </w:r>
      <w:r w:rsidRPr="00C12041">
        <w:rPr>
          <w:rFonts w:ascii="Book Antiqua" w:hAnsi="Book Antiqua" w:cs="Arial"/>
        </w:rPr>
        <w:t xml:space="preserve"> decision is that the original applications remain outstanding before the Secretary of State.  The Secretary of State will have to decide what action to take, but it was suggested by both representatives that the proper course would be for the Secretary of State to issue </w:t>
      </w:r>
      <w:r w:rsidR="00A33AE7">
        <w:rPr>
          <w:rFonts w:ascii="Book Antiqua" w:hAnsi="Book Antiqua" w:cs="Arial"/>
        </w:rPr>
        <w:t>a</w:t>
      </w:r>
      <w:r w:rsidRPr="00C12041">
        <w:rPr>
          <w:rFonts w:ascii="Book Antiqua" w:hAnsi="Book Antiqua" w:cs="Arial"/>
        </w:rPr>
        <w:t xml:space="preserve"> 60-day letter or </w:t>
      </w:r>
      <w:r w:rsidR="00A33AE7">
        <w:rPr>
          <w:rFonts w:ascii="Book Antiqua" w:hAnsi="Book Antiqua" w:cs="Arial"/>
        </w:rPr>
        <w:t xml:space="preserve">a </w:t>
      </w:r>
      <w:r w:rsidRPr="00C12041">
        <w:rPr>
          <w:rFonts w:ascii="Book Antiqua" w:hAnsi="Book Antiqua" w:cs="Arial"/>
        </w:rPr>
        <w:t>grant leave for a similar period to enable the appellants to secure the evidence and documents they would need to make further applications.  The representatives thought any human rights issues should be decided afresh by the respondent subject to the outcome of such further applications because at present there was no public interest in expelling the family group.</w:t>
      </w:r>
    </w:p>
    <w:p w:rsidR="00A33AE7" w:rsidRPr="005F4AF7" w:rsidRDefault="00A33AE7" w:rsidP="00A508C5">
      <w:pPr>
        <w:spacing w:before="240"/>
        <w:jc w:val="both"/>
        <w:outlineLvl w:val="0"/>
        <w:rPr>
          <w:rFonts w:ascii="Book Antiqua" w:hAnsi="Book Antiqua" w:cs="Arial"/>
          <w:b/>
          <w:u w:val="single"/>
        </w:rPr>
      </w:pPr>
      <w:bookmarkStart w:id="1" w:name="_GoBack"/>
      <w:bookmarkEnd w:id="1"/>
      <w:r>
        <w:rPr>
          <w:rFonts w:ascii="Book Antiqua" w:hAnsi="Book Antiqua" w:cs="Arial"/>
          <w:b/>
          <w:u w:val="single"/>
        </w:rPr>
        <w:t>Notice of Decision</w:t>
      </w:r>
    </w:p>
    <w:p w:rsidR="00C12041" w:rsidRPr="00C12041" w:rsidRDefault="00C12041" w:rsidP="00A508C5">
      <w:pPr>
        <w:numPr>
          <w:ilvl w:val="0"/>
          <w:numId w:val="3"/>
        </w:numPr>
        <w:spacing w:before="240"/>
        <w:jc w:val="both"/>
        <w:rPr>
          <w:rFonts w:ascii="Book Antiqua" w:hAnsi="Book Antiqua" w:cs="Arial"/>
        </w:rPr>
      </w:pPr>
      <w:r w:rsidRPr="00C12041">
        <w:rPr>
          <w:rFonts w:ascii="Book Antiqua" w:hAnsi="Book Antiqua" w:cs="Arial"/>
        </w:rPr>
        <w:t>The decision and reasons statement of First-tier Tribunal Judge Martins contains legal error and is set aside.</w:t>
      </w:r>
    </w:p>
    <w:p w:rsidR="00742A8D" w:rsidRPr="00A56832" w:rsidRDefault="00FF5E8A" w:rsidP="00A508C5">
      <w:pPr>
        <w:numPr>
          <w:ilvl w:val="0"/>
          <w:numId w:val="3"/>
        </w:numPr>
        <w:spacing w:before="240"/>
        <w:jc w:val="both"/>
        <w:rPr>
          <w:rFonts w:ascii="Book Antiqua" w:hAnsi="Book Antiqua" w:cs="Arial"/>
        </w:rPr>
      </w:pPr>
      <w:r>
        <w:rPr>
          <w:noProof/>
        </w:rPr>
        <w:drawing>
          <wp:anchor distT="0" distB="0" distL="114300" distR="114300" simplePos="0" relativeHeight="251657728" behindDoc="1" locked="0" layoutInCell="0" allowOverlap="0" wp14:anchorId="3527AE79">
            <wp:simplePos x="0" y="0"/>
            <wp:positionH relativeFrom="page">
              <wp:posOffset>1034415</wp:posOffset>
            </wp:positionH>
            <wp:positionV relativeFrom="paragraph">
              <wp:posOffset>476885</wp:posOffset>
            </wp:positionV>
            <wp:extent cx="2342515" cy="127952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r w:rsidR="00C12041" w:rsidRPr="00C12041">
        <w:rPr>
          <w:rFonts w:ascii="Book Antiqua" w:hAnsi="Book Antiqua" w:cs="Arial"/>
        </w:rPr>
        <w:t>I remake the decision allowing the linked appeals to the limited extent that the decisions appealed were not in accordance with the law.</w:t>
      </w:r>
    </w:p>
    <w:p w:rsidR="00B63045" w:rsidRDefault="00B63045" w:rsidP="00B63045">
      <w:pPr>
        <w:tabs>
          <w:tab w:val="left" w:pos="567"/>
        </w:tabs>
        <w:jc w:val="both"/>
        <w:rPr>
          <w:rFonts w:ascii="Book Antiqua" w:hAnsi="Book Antiqua" w:cs="Arial"/>
        </w:rPr>
      </w:pPr>
    </w:p>
    <w:p w:rsidR="002917F7" w:rsidRDefault="002917F7" w:rsidP="00B723C8">
      <w:pPr>
        <w:jc w:val="both"/>
        <w:rPr>
          <w:rFonts w:ascii="Book Antiqua" w:hAnsi="Book Antiqua" w:cs="Arial"/>
        </w:rPr>
      </w:pPr>
    </w:p>
    <w:p w:rsidR="002917F7" w:rsidRDefault="002917F7" w:rsidP="00F66C3D">
      <w:pPr>
        <w:widowControl w:val="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Pr>
          <w:rFonts w:ascii="Book Antiqua" w:hAnsi="Book Antiqua" w:cs="Arial"/>
        </w:rPr>
        <w:tab/>
      </w:r>
      <w:r w:rsidR="00A33AE7">
        <w:rPr>
          <w:rFonts w:ascii="Book Antiqua" w:hAnsi="Book Antiqua" w:cs="Arial"/>
        </w:rPr>
        <w:tab/>
        <w:t>11 September 2018</w:t>
      </w:r>
    </w:p>
    <w:p w:rsidR="002917F7" w:rsidRDefault="002917F7" w:rsidP="00F66C3D">
      <w:pPr>
        <w:widowControl w:val="0"/>
        <w:jc w:val="both"/>
        <w:rPr>
          <w:rFonts w:ascii="Book Antiqua" w:hAnsi="Book Antiqua" w:cs="Arial"/>
        </w:rPr>
      </w:pPr>
    </w:p>
    <w:p w:rsidR="002917F7" w:rsidRDefault="002917F7" w:rsidP="00F66C3D">
      <w:pPr>
        <w:widowControl w:val="0"/>
        <w:ind w:left="1134"/>
        <w:jc w:val="both"/>
        <w:rPr>
          <w:rFonts w:ascii="Book Antiqua" w:hAnsi="Book Antiqua" w:cs="Arial"/>
        </w:rPr>
      </w:pPr>
      <w:r>
        <w:rPr>
          <w:rFonts w:ascii="Book Antiqua" w:hAnsi="Book Antiqua" w:cs="Arial"/>
        </w:rPr>
        <w:t>Judge McCarthy</w:t>
      </w:r>
    </w:p>
    <w:p w:rsidR="002917F7" w:rsidRDefault="00B723C8" w:rsidP="00F66C3D">
      <w:pPr>
        <w:widowControl w:val="0"/>
        <w:ind w:left="1134"/>
        <w:jc w:val="both"/>
        <w:rPr>
          <w:rFonts w:ascii="Book Antiqua" w:hAnsi="Book Antiqua" w:cs="Arial"/>
        </w:rPr>
      </w:pPr>
      <w:r>
        <w:rPr>
          <w:rFonts w:ascii="Book Antiqua" w:hAnsi="Book Antiqua" w:cs="Arial"/>
        </w:rPr>
        <w:t xml:space="preserve">Deputy </w:t>
      </w:r>
      <w:r w:rsidR="002917F7">
        <w:rPr>
          <w:rFonts w:ascii="Book Antiqua" w:hAnsi="Book Antiqua" w:cs="Arial"/>
        </w:rPr>
        <w:t xml:space="preserve">Judge of the </w:t>
      </w:r>
      <w:r>
        <w:rPr>
          <w:rFonts w:ascii="Book Antiqua" w:hAnsi="Book Antiqua" w:cs="Arial"/>
        </w:rPr>
        <w:t>Upper</w:t>
      </w:r>
      <w:r w:rsidR="002917F7">
        <w:rPr>
          <w:rFonts w:ascii="Book Antiqua" w:hAnsi="Book Antiqua" w:cs="Arial"/>
        </w:rPr>
        <w:t xml:space="preserve"> Tribunal</w:t>
      </w:r>
    </w:p>
    <w:sectPr w:rsidR="002917F7" w:rsidSect="00A508C5">
      <w:headerReference w:type="default" r:id="rId9"/>
      <w:footerReference w:type="defaul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720" w:rsidRDefault="00307720">
      <w:r>
        <w:separator/>
      </w:r>
    </w:p>
  </w:endnote>
  <w:endnote w:type="continuationSeparator" w:id="0">
    <w:p w:rsidR="00307720" w:rsidRDefault="0030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637417463"/>
      <w:docPartObj>
        <w:docPartGallery w:val="Page Numbers (Bottom of Page)"/>
        <w:docPartUnique/>
      </w:docPartObj>
    </w:sdtPr>
    <w:sdtEndPr>
      <w:rPr>
        <w:noProof/>
      </w:rPr>
    </w:sdtEndPr>
    <w:sdtContent>
      <w:p w:rsidR="00A508C5" w:rsidRPr="00A508C5" w:rsidRDefault="00A508C5">
        <w:pPr>
          <w:pStyle w:val="Footer"/>
          <w:jc w:val="center"/>
          <w:rPr>
            <w:rFonts w:ascii="Book Antiqua" w:hAnsi="Book Antiqua"/>
            <w:sz w:val="20"/>
            <w:szCs w:val="20"/>
          </w:rPr>
        </w:pPr>
        <w:r w:rsidRPr="00A508C5">
          <w:rPr>
            <w:rFonts w:ascii="Book Antiqua" w:hAnsi="Book Antiqua"/>
            <w:sz w:val="20"/>
            <w:szCs w:val="20"/>
          </w:rPr>
          <w:fldChar w:fldCharType="begin"/>
        </w:r>
        <w:r w:rsidRPr="00A508C5">
          <w:rPr>
            <w:rFonts w:ascii="Book Antiqua" w:hAnsi="Book Antiqua"/>
            <w:sz w:val="20"/>
            <w:szCs w:val="20"/>
          </w:rPr>
          <w:instrText xml:space="preserve"> PAGE   \* MERGEFORMAT </w:instrText>
        </w:r>
        <w:r w:rsidRPr="00A508C5">
          <w:rPr>
            <w:rFonts w:ascii="Book Antiqua" w:hAnsi="Book Antiqua"/>
            <w:sz w:val="20"/>
            <w:szCs w:val="20"/>
          </w:rPr>
          <w:fldChar w:fldCharType="separate"/>
        </w:r>
        <w:r w:rsidR="004C2D28">
          <w:rPr>
            <w:rFonts w:ascii="Book Antiqua" w:hAnsi="Book Antiqua"/>
            <w:noProof/>
            <w:sz w:val="20"/>
            <w:szCs w:val="20"/>
          </w:rPr>
          <w:t>2</w:t>
        </w:r>
        <w:r w:rsidRPr="00A508C5">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C5" w:rsidRPr="00D65CD4" w:rsidRDefault="00A508C5" w:rsidP="00A508C5">
    <w:pPr>
      <w:jc w:val="center"/>
      <w:rPr>
        <w:rFonts w:ascii="Book Antiqua" w:hAnsi="Book Antiqua" w:cs="Arial"/>
        <w:b/>
      </w:rPr>
    </w:pPr>
    <w:bookmarkStart w:id="2" w:name="_Hlk511652932"/>
    <w:r w:rsidRPr="00D65CD4">
      <w:rPr>
        <w:rFonts w:ascii="Book Antiqua" w:hAnsi="Book Antiqua" w:cs="Arial"/>
        <w:b/>
        <w:spacing w:val="-6"/>
      </w:rPr>
      <w:t>©</w:t>
    </w:r>
    <w:r>
      <w:rPr>
        <w:rFonts w:ascii="Book Antiqua" w:hAnsi="Book Antiqua" w:cs="Arial"/>
        <w:b/>
      </w:rPr>
      <w:t xml:space="preserve"> CROWN COPYRIGHT 2018</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720" w:rsidRDefault="00307720">
      <w:r>
        <w:separator/>
      </w:r>
    </w:p>
  </w:footnote>
  <w:footnote w:type="continuationSeparator" w:id="0">
    <w:p w:rsidR="00307720" w:rsidRDefault="00307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C5" w:rsidRPr="00A508C5" w:rsidRDefault="00A508C5" w:rsidP="00A508C5">
    <w:pPr>
      <w:tabs>
        <w:tab w:val="right" w:pos="9639"/>
      </w:tabs>
      <w:jc w:val="right"/>
      <w:rPr>
        <w:rFonts w:ascii="Book Antiqua" w:hAnsi="Book Antiqua" w:cs="Arial"/>
        <w:sz w:val="20"/>
        <w:szCs w:val="20"/>
      </w:rPr>
    </w:pPr>
    <w:r w:rsidRPr="00A508C5">
      <w:rPr>
        <w:rFonts w:ascii="Book Antiqua" w:hAnsi="Book Antiqua" w:cs="Arial"/>
        <w:sz w:val="20"/>
        <w:szCs w:val="20"/>
      </w:rPr>
      <w:t>Appeal Numbers: IA/36307/2014</w:t>
    </w:r>
  </w:p>
  <w:p w:rsidR="00A508C5" w:rsidRPr="00A508C5" w:rsidRDefault="00A508C5" w:rsidP="00A508C5">
    <w:pPr>
      <w:tabs>
        <w:tab w:val="right" w:pos="9639"/>
      </w:tabs>
      <w:jc w:val="right"/>
      <w:rPr>
        <w:rFonts w:ascii="Book Antiqua" w:hAnsi="Book Antiqua" w:cs="Arial"/>
        <w:caps/>
        <w:sz w:val="20"/>
        <w:szCs w:val="20"/>
      </w:rPr>
    </w:pPr>
    <w:r w:rsidRPr="00A508C5">
      <w:rPr>
        <w:rFonts w:ascii="Book Antiqua" w:hAnsi="Book Antiqua" w:cs="Arial"/>
        <w:caps/>
        <w:sz w:val="20"/>
        <w:szCs w:val="20"/>
      </w:rPr>
      <w:t>IA/38031/2014</w:t>
    </w:r>
  </w:p>
  <w:p w:rsidR="00A508C5" w:rsidRPr="00A508C5" w:rsidRDefault="00A508C5" w:rsidP="00A508C5">
    <w:pPr>
      <w:tabs>
        <w:tab w:val="right" w:pos="9639"/>
      </w:tabs>
      <w:jc w:val="right"/>
      <w:rPr>
        <w:rFonts w:ascii="Book Antiqua" w:hAnsi="Book Antiqua" w:cs="Arial"/>
        <w:caps/>
        <w:sz w:val="20"/>
        <w:szCs w:val="20"/>
      </w:rPr>
    </w:pPr>
    <w:r w:rsidRPr="00A508C5">
      <w:rPr>
        <w:rFonts w:ascii="Book Antiqua" w:hAnsi="Book Antiqua" w:cs="Arial"/>
        <w:caps/>
        <w:sz w:val="20"/>
        <w:szCs w:val="20"/>
      </w:rPr>
      <w:t>IA/38049/2014</w:t>
    </w:r>
  </w:p>
  <w:p w:rsidR="00A508C5" w:rsidRPr="00A508C5" w:rsidRDefault="00A508C5" w:rsidP="00A508C5">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36C2"/>
    <w:rsid w:val="00014318"/>
    <w:rsid w:val="00033D3D"/>
    <w:rsid w:val="000369F5"/>
    <w:rsid w:val="00041662"/>
    <w:rsid w:val="00071A7E"/>
    <w:rsid w:val="000746C0"/>
    <w:rsid w:val="00074D1D"/>
    <w:rsid w:val="00092580"/>
    <w:rsid w:val="000D5D94"/>
    <w:rsid w:val="000D6B41"/>
    <w:rsid w:val="000D76B2"/>
    <w:rsid w:val="001165A7"/>
    <w:rsid w:val="001241F2"/>
    <w:rsid w:val="00151BB7"/>
    <w:rsid w:val="00167D3A"/>
    <w:rsid w:val="0018559A"/>
    <w:rsid w:val="001D4C5D"/>
    <w:rsid w:val="001F2716"/>
    <w:rsid w:val="001F3809"/>
    <w:rsid w:val="0020133A"/>
    <w:rsid w:val="00207617"/>
    <w:rsid w:val="00233774"/>
    <w:rsid w:val="00261911"/>
    <w:rsid w:val="00266859"/>
    <w:rsid w:val="00283659"/>
    <w:rsid w:val="002917F7"/>
    <w:rsid w:val="00295EDF"/>
    <w:rsid w:val="002C4E73"/>
    <w:rsid w:val="002D68BF"/>
    <w:rsid w:val="002E1B91"/>
    <w:rsid w:val="00307720"/>
    <w:rsid w:val="00336CBF"/>
    <w:rsid w:val="003546C8"/>
    <w:rsid w:val="0037374F"/>
    <w:rsid w:val="003A7CF2"/>
    <w:rsid w:val="003C5CE5"/>
    <w:rsid w:val="003E267B"/>
    <w:rsid w:val="003E3150"/>
    <w:rsid w:val="003E7604"/>
    <w:rsid w:val="003E7CD1"/>
    <w:rsid w:val="00402B18"/>
    <w:rsid w:val="00402B9E"/>
    <w:rsid w:val="00405981"/>
    <w:rsid w:val="004229C0"/>
    <w:rsid w:val="00423932"/>
    <w:rsid w:val="004249CB"/>
    <w:rsid w:val="0044127D"/>
    <w:rsid w:val="004448DB"/>
    <w:rsid w:val="00446C9A"/>
    <w:rsid w:val="00477193"/>
    <w:rsid w:val="004A1848"/>
    <w:rsid w:val="004C2D28"/>
    <w:rsid w:val="00507FEC"/>
    <w:rsid w:val="00510F0E"/>
    <w:rsid w:val="00517F14"/>
    <w:rsid w:val="005479E1"/>
    <w:rsid w:val="005515D0"/>
    <w:rsid w:val="005570FD"/>
    <w:rsid w:val="005575EA"/>
    <w:rsid w:val="0057790C"/>
    <w:rsid w:val="00593795"/>
    <w:rsid w:val="005A75FF"/>
    <w:rsid w:val="005B7789"/>
    <w:rsid w:val="0064629B"/>
    <w:rsid w:val="0065791C"/>
    <w:rsid w:val="006842AC"/>
    <w:rsid w:val="0068706C"/>
    <w:rsid w:val="00690B8A"/>
    <w:rsid w:val="006D1DFA"/>
    <w:rsid w:val="006D506B"/>
    <w:rsid w:val="006E3C90"/>
    <w:rsid w:val="006F253C"/>
    <w:rsid w:val="00704B61"/>
    <w:rsid w:val="00740F65"/>
    <w:rsid w:val="00742A8D"/>
    <w:rsid w:val="007552A9"/>
    <w:rsid w:val="00761858"/>
    <w:rsid w:val="00767D59"/>
    <w:rsid w:val="00776E97"/>
    <w:rsid w:val="00780FD7"/>
    <w:rsid w:val="007912AD"/>
    <w:rsid w:val="007B0824"/>
    <w:rsid w:val="007B18C8"/>
    <w:rsid w:val="007F431E"/>
    <w:rsid w:val="008303B8"/>
    <w:rsid w:val="00833DCE"/>
    <w:rsid w:val="008456B2"/>
    <w:rsid w:val="00854BB5"/>
    <w:rsid w:val="00871D34"/>
    <w:rsid w:val="008B270C"/>
    <w:rsid w:val="008C3D3D"/>
    <w:rsid w:val="008D4131"/>
    <w:rsid w:val="008E5D45"/>
    <w:rsid w:val="008F07F8"/>
    <w:rsid w:val="008F1932"/>
    <w:rsid w:val="008F294D"/>
    <w:rsid w:val="00902241"/>
    <w:rsid w:val="00921062"/>
    <w:rsid w:val="00966ECF"/>
    <w:rsid w:val="009727A3"/>
    <w:rsid w:val="009753BD"/>
    <w:rsid w:val="00987774"/>
    <w:rsid w:val="009A11E8"/>
    <w:rsid w:val="009F5220"/>
    <w:rsid w:val="009F7C4D"/>
    <w:rsid w:val="00A10290"/>
    <w:rsid w:val="00A15234"/>
    <w:rsid w:val="00A201AB"/>
    <w:rsid w:val="00A31C8B"/>
    <w:rsid w:val="00A33AE7"/>
    <w:rsid w:val="00A46984"/>
    <w:rsid w:val="00A508C5"/>
    <w:rsid w:val="00A56832"/>
    <w:rsid w:val="00A6195B"/>
    <w:rsid w:val="00A845DC"/>
    <w:rsid w:val="00A97AEE"/>
    <w:rsid w:val="00AC59F8"/>
    <w:rsid w:val="00AC5CF6"/>
    <w:rsid w:val="00B144FA"/>
    <w:rsid w:val="00B30648"/>
    <w:rsid w:val="00B3524D"/>
    <w:rsid w:val="00B40F69"/>
    <w:rsid w:val="00B46616"/>
    <w:rsid w:val="00B61205"/>
    <w:rsid w:val="00B617C4"/>
    <w:rsid w:val="00B626FA"/>
    <w:rsid w:val="00B63045"/>
    <w:rsid w:val="00B7040A"/>
    <w:rsid w:val="00B723C8"/>
    <w:rsid w:val="00B772EB"/>
    <w:rsid w:val="00BD4196"/>
    <w:rsid w:val="00BE0CED"/>
    <w:rsid w:val="00BF22CA"/>
    <w:rsid w:val="00C12041"/>
    <w:rsid w:val="00C26032"/>
    <w:rsid w:val="00C265B0"/>
    <w:rsid w:val="00C345E1"/>
    <w:rsid w:val="00CB6E35"/>
    <w:rsid w:val="00CC2B71"/>
    <w:rsid w:val="00CE1A46"/>
    <w:rsid w:val="00CF253F"/>
    <w:rsid w:val="00CF56B4"/>
    <w:rsid w:val="00D20F09"/>
    <w:rsid w:val="00D22636"/>
    <w:rsid w:val="00D40FD9"/>
    <w:rsid w:val="00D53769"/>
    <w:rsid w:val="00D63A24"/>
    <w:rsid w:val="00D85C13"/>
    <w:rsid w:val="00D91BE3"/>
    <w:rsid w:val="00D94AFC"/>
    <w:rsid w:val="00D950A8"/>
    <w:rsid w:val="00DB70AE"/>
    <w:rsid w:val="00DB7231"/>
    <w:rsid w:val="00DD5071"/>
    <w:rsid w:val="00DD5C39"/>
    <w:rsid w:val="00DE26AF"/>
    <w:rsid w:val="00DE7DB7"/>
    <w:rsid w:val="00E00A0A"/>
    <w:rsid w:val="00E07F57"/>
    <w:rsid w:val="00E24E92"/>
    <w:rsid w:val="00E50BCE"/>
    <w:rsid w:val="00E61292"/>
    <w:rsid w:val="00E76309"/>
    <w:rsid w:val="00E77C4D"/>
    <w:rsid w:val="00E80E94"/>
    <w:rsid w:val="00E81D01"/>
    <w:rsid w:val="00EE45D8"/>
    <w:rsid w:val="00F004CD"/>
    <w:rsid w:val="00F22EDA"/>
    <w:rsid w:val="00F26AD0"/>
    <w:rsid w:val="00F301DB"/>
    <w:rsid w:val="00F33E0E"/>
    <w:rsid w:val="00FB7E80"/>
    <w:rsid w:val="00FE2D0E"/>
    <w:rsid w:val="00FF5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0400D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402B18"/>
    <w:rPr>
      <w:sz w:val="24"/>
      <w:szCs w:val="24"/>
    </w:rPr>
  </w:style>
  <w:style w:type="character" w:customStyle="1" w:styleId="HeaderChar">
    <w:name w:val="Header Char"/>
    <w:link w:val="Header"/>
    <w:uiPriority w:val="99"/>
    <w:rsid w:val="00E24E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2920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2018-10-04T14:52:00Z</dcterms:created>
  <dcterms:modified xsi:type="dcterms:W3CDTF">2018-10-04T14:52:00Z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