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3B54C2" w:rsidRDefault="006F7D57" w:rsidP="008A6059">
      <w:pPr>
        <w:jc w:val="center"/>
        <w:rPr>
          <w:rFonts w:ascii="Book Antiqua" w:hAnsi="Book Antiqua" w:cs="Arial"/>
          <w:caps/>
          <w:color w:val="000000"/>
          <w:sz w:val="16"/>
          <w:szCs w:val="16"/>
        </w:rPr>
      </w:pPr>
      <w:r w:rsidRPr="003B54C2">
        <w:rPr>
          <w:sz w:val="16"/>
          <w:szCs w:val="16"/>
        </w:rPr>
        <w:t xml:space="preserve"> </w:t>
      </w:r>
      <w:r w:rsidRPr="003B54C2">
        <w:rPr>
          <w:noProof/>
          <w:sz w:val="16"/>
          <w:szCs w:val="16"/>
        </w:rPr>
        <w:drawing>
          <wp:inline distT="0" distB="0" distL="0" distR="0">
            <wp:extent cx="104648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6480" cy="905510"/>
                    </a:xfrm>
                    <a:prstGeom prst="rect">
                      <a:avLst/>
                    </a:prstGeom>
                    <a:noFill/>
                    <a:ln>
                      <a:noFill/>
                    </a:ln>
                  </pic:spPr>
                </pic:pic>
              </a:graphicData>
            </a:graphic>
          </wp:inline>
        </w:drawing>
      </w:r>
    </w:p>
    <w:p w:rsidR="00D94AFC" w:rsidRPr="003B54C2"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5A5336">
        <w:rPr>
          <w:rFonts w:ascii="Book Antiqua" w:hAnsi="Book Antiqua" w:cs="Arial"/>
          <w:caps/>
          <w:color w:val="000000"/>
        </w:rPr>
        <w:t>IA/47851/2014</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11"/>
        <w:gridCol w:w="837"/>
        <w:gridCol w:w="3960"/>
      </w:tblGrid>
      <w:tr w:rsidR="00D22636" w:rsidRPr="009B7433" w:rsidTr="00F907D9">
        <w:tc>
          <w:tcPr>
            <w:tcW w:w="5211"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5A5336">
              <w:rPr>
                <w:rFonts w:ascii="Book Antiqua" w:hAnsi="Book Antiqua" w:cs="Arial"/>
                <w:b/>
              </w:rPr>
              <w:t>Field House</w:t>
            </w:r>
          </w:p>
        </w:tc>
        <w:tc>
          <w:tcPr>
            <w:tcW w:w="4797" w:type="dxa"/>
            <w:gridSpan w:val="2"/>
          </w:tcPr>
          <w:p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rsidTr="00F907D9">
        <w:tc>
          <w:tcPr>
            <w:tcW w:w="5211"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1E5F41">
              <w:rPr>
                <w:rFonts w:ascii="Book Antiqua" w:hAnsi="Book Antiqua" w:cs="Arial"/>
                <w:b/>
              </w:rPr>
              <w:t>27 July 2018</w:t>
            </w:r>
          </w:p>
        </w:tc>
        <w:tc>
          <w:tcPr>
            <w:tcW w:w="4797" w:type="dxa"/>
            <w:gridSpan w:val="2"/>
          </w:tcPr>
          <w:p w:rsidR="00D22636" w:rsidRPr="009B7433" w:rsidRDefault="00F907D9" w:rsidP="004A1848">
            <w:pPr>
              <w:jc w:val="both"/>
              <w:rPr>
                <w:rFonts w:ascii="Book Antiqua" w:hAnsi="Book Antiqua" w:cs="Arial"/>
                <w:b/>
              </w:rPr>
            </w:pPr>
            <w:r>
              <w:rPr>
                <w:rFonts w:ascii="Book Antiqua" w:hAnsi="Book Antiqua" w:cs="Arial"/>
                <w:b/>
              </w:rPr>
              <w:t xml:space="preserve">On 23 August 2018 </w:t>
            </w:r>
          </w:p>
        </w:tc>
      </w:tr>
      <w:tr w:rsidR="00F907D9" w:rsidRPr="009B7433" w:rsidTr="00D949B7">
        <w:trPr>
          <w:gridAfter w:val="1"/>
          <w:wAfter w:w="3960" w:type="dxa"/>
        </w:trPr>
        <w:tc>
          <w:tcPr>
            <w:tcW w:w="6048" w:type="dxa"/>
            <w:gridSpan w:val="2"/>
          </w:tcPr>
          <w:p w:rsidR="00F907D9" w:rsidRPr="009B7433" w:rsidRDefault="00F907D9"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4A2D15" w:rsidP="004A2D15">
      <w:pPr>
        <w:jc w:val="center"/>
        <w:rPr>
          <w:rFonts w:ascii="Book Antiqua" w:hAnsi="Book Antiqua" w:cs="Arial"/>
          <w:b/>
          <w:color w:val="000000"/>
        </w:rPr>
      </w:pPr>
      <w:r>
        <w:rPr>
          <w:rFonts w:ascii="Book Antiqua" w:hAnsi="Book Antiqua" w:cs="Arial"/>
          <w:b/>
          <w:color w:val="000000"/>
        </w:rPr>
        <w:t>DE</w:t>
      </w:r>
      <w:r w:rsidR="00273201">
        <w:rPr>
          <w:rFonts w:ascii="Book Antiqua" w:hAnsi="Book Antiqua" w:cs="Arial"/>
          <w:b/>
          <w:color w:val="000000"/>
        </w:rPr>
        <w:t>PUTY UPPER TRIBUNAL JUDGE SHERIDAN</w:t>
      </w:r>
    </w:p>
    <w:p w:rsidR="00D20757" w:rsidRPr="009B7433" w:rsidRDefault="00D20757" w:rsidP="00A15234">
      <w:pPr>
        <w:jc w:val="center"/>
        <w:rPr>
          <w:rFonts w:ascii="Book Antiqua" w:hAnsi="Book Antiqua" w:cs="Arial"/>
          <w:b/>
        </w:rPr>
      </w:pPr>
    </w:p>
    <w:p w:rsidR="003B54C2" w:rsidRDefault="003B54C2"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Default="00A845DC" w:rsidP="00A15234">
      <w:pPr>
        <w:jc w:val="center"/>
        <w:rPr>
          <w:rFonts w:ascii="Book Antiqua" w:hAnsi="Book Antiqua" w:cs="Arial"/>
          <w:b/>
        </w:rPr>
      </w:pPr>
    </w:p>
    <w:p w:rsidR="00A845DC" w:rsidRDefault="001E5F41" w:rsidP="00A15234">
      <w:pPr>
        <w:jc w:val="center"/>
        <w:rPr>
          <w:rFonts w:ascii="Book Antiqua" w:hAnsi="Book Antiqua" w:cs="Arial"/>
          <w:b/>
          <w:caps/>
        </w:rPr>
      </w:pPr>
      <w:r>
        <w:rPr>
          <w:rFonts w:ascii="Book Antiqua" w:hAnsi="Book Antiqua" w:cs="Arial"/>
          <w:b/>
          <w:caps/>
        </w:rPr>
        <w:t xml:space="preserve">ayotunde </w:t>
      </w:r>
      <w:r w:rsidR="001572B9">
        <w:rPr>
          <w:rFonts w:ascii="Book Antiqua" w:hAnsi="Book Antiqua" w:cs="Arial"/>
          <w:b/>
          <w:caps/>
        </w:rPr>
        <w:t>[</w:t>
      </w:r>
      <w:r>
        <w:rPr>
          <w:rFonts w:ascii="Book Antiqua" w:hAnsi="Book Antiqua" w:cs="Arial"/>
          <w:b/>
          <w:caps/>
        </w:rPr>
        <w:t>a</w:t>
      </w:r>
      <w:r w:rsidR="001572B9">
        <w:rPr>
          <w:rFonts w:ascii="Book Antiqua" w:hAnsi="Book Antiqua" w:cs="Arial"/>
          <w:b/>
          <w:caps/>
        </w:rPr>
        <w:t>]</w:t>
      </w:r>
    </w:p>
    <w:p w:rsidR="00D949B7" w:rsidRPr="003B54C2" w:rsidRDefault="00D949B7" w:rsidP="00D949B7">
      <w:pPr>
        <w:jc w:val="center"/>
        <w:rPr>
          <w:rFonts w:ascii="Book Antiqua" w:hAnsi="Book Antiqua" w:cs="Arial"/>
          <w:b/>
          <w:caps/>
          <w:sz w:val="22"/>
          <w:szCs w:val="22"/>
        </w:rPr>
      </w:pPr>
      <w:r w:rsidRPr="003B54C2">
        <w:rPr>
          <w:rFonts w:ascii="Book Antiqua" w:hAnsi="Book Antiqua" w:cs="Arial"/>
          <w:b/>
          <w:caps/>
          <w:sz w:val="22"/>
          <w:szCs w:val="22"/>
        </w:rPr>
        <w:t>(ANONYMITY DIRECTION</w:t>
      </w:r>
      <w:r w:rsidR="00CB55BB" w:rsidRPr="003B54C2">
        <w:rPr>
          <w:rFonts w:ascii="Book Antiqua" w:hAnsi="Book Antiqua" w:cs="Arial"/>
          <w:b/>
          <w:caps/>
          <w:sz w:val="22"/>
          <w:szCs w:val="22"/>
        </w:rPr>
        <w:t xml:space="preserve"> NOT</w:t>
      </w:r>
      <w:r w:rsidR="00096598" w:rsidRPr="003B54C2">
        <w:rPr>
          <w:rFonts w:ascii="Book Antiqua" w:hAnsi="Book Antiqua" w:cs="Arial"/>
          <w:b/>
          <w:caps/>
          <w:sz w:val="22"/>
          <w:szCs w:val="22"/>
        </w:rPr>
        <w:t xml:space="preserve"> MADE</w:t>
      </w:r>
      <w:r w:rsidRPr="003B54C2">
        <w:rPr>
          <w:rFonts w:ascii="Book Antiqua" w:hAnsi="Book Antiqua" w:cs="Arial"/>
          <w:b/>
          <w:caps/>
          <w:sz w:val="22"/>
          <w:szCs w:val="22"/>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AF0E32"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00DD5071"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1E5F41">
        <w:rPr>
          <w:rFonts w:ascii="Book Antiqua" w:hAnsi="Book Antiqua" w:cs="Arial"/>
        </w:rPr>
        <w:t xml:space="preserve">Mr </w:t>
      </w:r>
      <w:proofErr w:type="spellStart"/>
      <w:r w:rsidR="001D4C6B">
        <w:rPr>
          <w:rFonts w:ascii="Book Antiqua" w:hAnsi="Book Antiqua" w:cs="Arial"/>
        </w:rPr>
        <w:t>Muquit</w:t>
      </w:r>
      <w:proofErr w:type="spellEnd"/>
      <w:r w:rsidR="001D4C6B">
        <w:rPr>
          <w:rFonts w:ascii="Book Antiqua" w:hAnsi="Book Antiqua" w:cs="Arial"/>
        </w:rPr>
        <w:t>, Counsel</w:t>
      </w:r>
      <w:r w:rsidR="00CB55BB">
        <w:rPr>
          <w:rFonts w:ascii="Book Antiqua" w:hAnsi="Book Antiqua" w:cs="Arial"/>
        </w:rPr>
        <w:t xml:space="preserve"> instructed by Simon Bethel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1E5F41">
        <w:rPr>
          <w:rFonts w:ascii="Book Antiqua" w:hAnsi="Book Antiqua" w:cs="Arial"/>
        </w:rPr>
        <w:t xml:space="preserve">Mr </w:t>
      </w:r>
      <w:proofErr w:type="spellStart"/>
      <w:r w:rsidR="001E5F41">
        <w:rPr>
          <w:rFonts w:ascii="Book Antiqua" w:hAnsi="Book Antiqua" w:cs="Arial"/>
        </w:rPr>
        <w:t>Tarlow</w:t>
      </w:r>
      <w:proofErr w:type="spellEnd"/>
      <w:r w:rsidR="001D4C6B">
        <w:rPr>
          <w:rFonts w:ascii="Book Antiqua" w:hAnsi="Book Antiqua" w:cs="Arial"/>
        </w:rPr>
        <w:t>, Home Office Presenting Officer</w:t>
      </w:r>
    </w:p>
    <w:p w:rsidR="00DE7DB7" w:rsidRPr="009B7433" w:rsidRDefault="00DE7DB7" w:rsidP="00402B9E">
      <w:pPr>
        <w:tabs>
          <w:tab w:val="left" w:pos="2520"/>
        </w:tabs>
        <w:jc w:val="center"/>
        <w:rPr>
          <w:rFonts w:ascii="Book Antiqua" w:hAnsi="Book Antiqua" w:cs="Arial"/>
        </w:rPr>
      </w:pPr>
    </w:p>
    <w:p w:rsidR="00D719C6" w:rsidRPr="009B7433" w:rsidRDefault="00D719C6"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9D348A" w:rsidRDefault="001E5F41" w:rsidP="00DA618A">
      <w:pPr>
        <w:numPr>
          <w:ilvl w:val="0"/>
          <w:numId w:val="1"/>
        </w:numPr>
        <w:tabs>
          <w:tab w:val="clear" w:pos="567"/>
        </w:tabs>
        <w:spacing w:before="240"/>
        <w:ind w:left="1134" w:right="567"/>
        <w:jc w:val="both"/>
        <w:rPr>
          <w:rFonts w:ascii="Book Antiqua" w:hAnsi="Book Antiqua" w:cs="Arial"/>
        </w:rPr>
      </w:pPr>
      <w:r>
        <w:rPr>
          <w:rFonts w:ascii="Book Antiqua" w:hAnsi="Book Antiqua" w:cs="Arial"/>
        </w:rPr>
        <w:t xml:space="preserve">The appellant is a citizen of Nigeria born on 25 </w:t>
      </w:r>
      <w:r w:rsidR="001D4C6B">
        <w:rPr>
          <w:rFonts w:ascii="Book Antiqua" w:hAnsi="Book Antiqua" w:cs="Arial"/>
        </w:rPr>
        <w:t>O</w:t>
      </w:r>
      <w:r>
        <w:rPr>
          <w:rFonts w:ascii="Book Antiqua" w:hAnsi="Book Antiqua" w:cs="Arial"/>
        </w:rPr>
        <w:t xml:space="preserve">ctober 1972.  She is appealing against a decision of the First-tier Tribunal </w:t>
      </w:r>
      <w:r w:rsidR="00096598">
        <w:rPr>
          <w:rFonts w:ascii="Book Antiqua" w:hAnsi="Book Antiqua" w:cs="Arial"/>
        </w:rPr>
        <w:t xml:space="preserve">to dismiss </w:t>
      </w:r>
      <w:r>
        <w:rPr>
          <w:rFonts w:ascii="Book Antiqua" w:hAnsi="Book Antiqua" w:cs="Arial"/>
        </w:rPr>
        <w:t xml:space="preserve">her appeal against the respondent’s decision to </w:t>
      </w:r>
      <w:r w:rsidR="00096598">
        <w:rPr>
          <w:rFonts w:ascii="Book Antiqua" w:hAnsi="Book Antiqua" w:cs="Arial"/>
        </w:rPr>
        <w:t xml:space="preserve">refuse her application for leave to remain in the UK on the basis of her relationship with her spouse and children. </w:t>
      </w:r>
      <w:r>
        <w:rPr>
          <w:rFonts w:ascii="Book Antiqua" w:hAnsi="Book Antiqua" w:cs="Arial"/>
        </w:rPr>
        <w:t xml:space="preserve">The appellant and her family have been in the UK for more than seven years and the children are qualifying children under Section 117B of the Nationality, Immigration and Asylum Act 2002. </w:t>
      </w:r>
    </w:p>
    <w:p w:rsidR="001E5F41" w:rsidRDefault="00096598" w:rsidP="00DA618A">
      <w:pPr>
        <w:numPr>
          <w:ilvl w:val="0"/>
          <w:numId w:val="1"/>
        </w:numPr>
        <w:tabs>
          <w:tab w:val="clear" w:pos="567"/>
        </w:tabs>
        <w:spacing w:before="240"/>
        <w:ind w:left="1134" w:right="567"/>
        <w:jc w:val="both"/>
        <w:rPr>
          <w:rFonts w:ascii="Book Antiqua" w:hAnsi="Book Antiqua" w:cs="Arial"/>
        </w:rPr>
      </w:pPr>
      <w:r>
        <w:rPr>
          <w:rFonts w:ascii="Book Antiqua" w:hAnsi="Book Antiqua" w:cs="Arial"/>
        </w:rPr>
        <w:lastRenderedPageBreak/>
        <w:t>Prior to the error of law hearing, t</w:t>
      </w:r>
      <w:r w:rsidR="001E5F41">
        <w:rPr>
          <w:rFonts w:ascii="Book Antiqua" w:hAnsi="Book Antiqua" w:cs="Arial"/>
        </w:rPr>
        <w:t>he respondent submitted a Rule 24 response stating that the application for permission to appeal was not opposed and inviting the Tribunal to remit the appeal to the First-tier Tribunal for a de novo hearing.  Before me</w:t>
      </w:r>
      <w:r>
        <w:rPr>
          <w:rFonts w:ascii="Book Antiqua" w:hAnsi="Book Antiqua" w:cs="Arial"/>
        </w:rPr>
        <w:t>,</w:t>
      </w:r>
      <w:r w:rsidR="001E5F41">
        <w:rPr>
          <w:rFonts w:ascii="Book Antiqua" w:hAnsi="Book Antiqua" w:cs="Arial"/>
        </w:rPr>
        <w:t xml:space="preserve"> Mr </w:t>
      </w:r>
      <w:proofErr w:type="spellStart"/>
      <w:r w:rsidR="001E5F41">
        <w:rPr>
          <w:rFonts w:ascii="Book Antiqua" w:hAnsi="Book Antiqua" w:cs="Arial"/>
        </w:rPr>
        <w:t>Tarlow</w:t>
      </w:r>
      <w:proofErr w:type="spellEnd"/>
      <w:r>
        <w:rPr>
          <w:rFonts w:ascii="Book Antiqua" w:hAnsi="Book Antiqua" w:cs="Arial"/>
        </w:rPr>
        <w:t>,</w:t>
      </w:r>
      <w:r w:rsidR="001E5F41">
        <w:rPr>
          <w:rFonts w:ascii="Book Antiqua" w:hAnsi="Book Antiqua" w:cs="Arial"/>
        </w:rPr>
        <w:t xml:space="preserve"> on behalf of the respondent</w:t>
      </w:r>
      <w:r>
        <w:rPr>
          <w:rFonts w:ascii="Book Antiqua" w:hAnsi="Book Antiqua" w:cs="Arial"/>
        </w:rPr>
        <w:t>,</w:t>
      </w:r>
      <w:r w:rsidR="001E5F41">
        <w:rPr>
          <w:rFonts w:ascii="Book Antiqua" w:hAnsi="Book Antiqua" w:cs="Arial"/>
        </w:rPr>
        <w:t xml:space="preserve"> reiterated that the position of the respondent was that the decision of the First-tier Tribunal should be set aside and heard afresh</w:t>
      </w:r>
      <w:r>
        <w:rPr>
          <w:rFonts w:ascii="Book Antiqua" w:hAnsi="Book Antiqua" w:cs="Arial"/>
        </w:rPr>
        <w:t xml:space="preserve"> for the reasons given by Judge Gleeson when granting permission to appeal</w:t>
      </w:r>
      <w:r w:rsidR="001E5F41">
        <w:rPr>
          <w:rFonts w:ascii="Book Antiqua" w:hAnsi="Book Antiqua" w:cs="Arial"/>
        </w:rPr>
        <w:t xml:space="preserve">.  </w:t>
      </w:r>
    </w:p>
    <w:p w:rsidR="001E5F41" w:rsidRDefault="001E5F41" w:rsidP="00DA618A">
      <w:pPr>
        <w:numPr>
          <w:ilvl w:val="0"/>
          <w:numId w:val="1"/>
        </w:numPr>
        <w:tabs>
          <w:tab w:val="clear" w:pos="567"/>
        </w:tabs>
        <w:spacing w:before="240"/>
        <w:ind w:left="1134" w:right="567"/>
        <w:jc w:val="both"/>
        <w:rPr>
          <w:rFonts w:ascii="Book Antiqua" w:hAnsi="Book Antiqua" w:cs="Arial"/>
        </w:rPr>
      </w:pPr>
      <w:r>
        <w:rPr>
          <w:rFonts w:ascii="Book Antiqua" w:hAnsi="Book Antiqua" w:cs="Arial"/>
        </w:rPr>
        <w:t xml:space="preserve">Mr </w:t>
      </w:r>
      <w:proofErr w:type="spellStart"/>
      <w:r>
        <w:rPr>
          <w:rFonts w:ascii="Book Antiqua" w:hAnsi="Book Antiqua" w:cs="Arial"/>
        </w:rPr>
        <w:t>Mu</w:t>
      </w:r>
      <w:r w:rsidR="00A97E16">
        <w:rPr>
          <w:rFonts w:ascii="Book Antiqua" w:hAnsi="Book Antiqua" w:cs="Arial"/>
        </w:rPr>
        <w:t>quit</w:t>
      </w:r>
      <w:proofErr w:type="spellEnd"/>
      <w:r w:rsidR="00096598">
        <w:rPr>
          <w:rFonts w:ascii="Book Antiqua" w:hAnsi="Book Antiqua" w:cs="Arial"/>
        </w:rPr>
        <w:t>,</w:t>
      </w:r>
      <w:r>
        <w:rPr>
          <w:rFonts w:ascii="Book Antiqua" w:hAnsi="Book Antiqua" w:cs="Arial"/>
        </w:rPr>
        <w:t xml:space="preserve"> on behalf of the appellant</w:t>
      </w:r>
      <w:r w:rsidR="00096598">
        <w:rPr>
          <w:rFonts w:ascii="Book Antiqua" w:hAnsi="Book Antiqua" w:cs="Arial"/>
        </w:rPr>
        <w:t>,</w:t>
      </w:r>
      <w:r>
        <w:rPr>
          <w:rFonts w:ascii="Book Antiqua" w:hAnsi="Book Antiqua" w:cs="Arial"/>
        </w:rPr>
        <w:t xml:space="preserve"> </w:t>
      </w:r>
      <w:r w:rsidR="00096598">
        <w:rPr>
          <w:rFonts w:ascii="Book Antiqua" w:hAnsi="Book Antiqua" w:cs="Arial"/>
        </w:rPr>
        <w:t xml:space="preserve">submitted </w:t>
      </w:r>
      <w:r>
        <w:rPr>
          <w:rFonts w:ascii="Book Antiqua" w:hAnsi="Book Antiqua" w:cs="Arial"/>
        </w:rPr>
        <w:t xml:space="preserve">that I should proceed to remake the decision and allow the appeal on the basis that the factual matrix was not in dispute and the only reasonable outcome was that the appeal should be allowed given that there are no powerful reasons to </w:t>
      </w:r>
      <w:r w:rsidR="00096598">
        <w:rPr>
          <w:rFonts w:ascii="Book Antiqua" w:hAnsi="Book Antiqua" w:cs="Arial"/>
        </w:rPr>
        <w:t xml:space="preserve">rebut </w:t>
      </w:r>
      <w:r>
        <w:rPr>
          <w:rFonts w:ascii="Book Antiqua" w:hAnsi="Book Antiqua" w:cs="Arial"/>
        </w:rPr>
        <w:t>the presumption</w:t>
      </w:r>
      <w:r w:rsidR="00096598">
        <w:rPr>
          <w:rFonts w:ascii="Book Antiqua" w:hAnsi="Book Antiqua" w:cs="Arial"/>
        </w:rPr>
        <w:t>, arising from the length of time the appellant’s children have resided in the UK,</w:t>
      </w:r>
      <w:r>
        <w:rPr>
          <w:rFonts w:ascii="Book Antiqua" w:hAnsi="Book Antiqua" w:cs="Arial"/>
        </w:rPr>
        <w:t xml:space="preserve"> in favour of finding that removal would be a disproportionate interference with the family’s right to a private and family life under Article 8 ECHR.</w:t>
      </w:r>
      <w:r w:rsidR="00096598">
        <w:rPr>
          <w:rFonts w:ascii="Book Antiqua" w:hAnsi="Book Antiqua" w:cs="Arial"/>
        </w:rPr>
        <w:t xml:space="preserve"> He argued that the recent decision in</w:t>
      </w:r>
      <w:r w:rsidR="00096598" w:rsidRPr="00096598">
        <w:rPr>
          <w:rFonts w:ascii="Book Antiqua" w:hAnsi="Book Antiqua" w:cs="Arial"/>
          <w:i/>
        </w:rPr>
        <w:t xml:space="preserve"> </w:t>
      </w:r>
      <w:r w:rsidR="00096598" w:rsidRPr="001D4C6B">
        <w:rPr>
          <w:rFonts w:ascii="Book Antiqua" w:hAnsi="Book Antiqua" w:cs="Arial"/>
          <w:i/>
        </w:rPr>
        <w:t>MT and ET (child’s best interests) Nigeria</w:t>
      </w:r>
      <w:r w:rsidR="00096598">
        <w:rPr>
          <w:rFonts w:ascii="Book Antiqua" w:hAnsi="Book Antiqua" w:cs="Arial"/>
        </w:rPr>
        <w:t xml:space="preserve"> [2018] UKUT 88 (IAC) and </w:t>
      </w:r>
      <w:r w:rsidR="00096598" w:rsidRPr="001D4C6B">
        <w:rPr>
          <w:rFonts w:ascii="Book Antiqua" w:hAnsi="Book Antiqua" w:cs="Arial"/>
          <w:i/>
        </w:rPr>
        <w:t>MA (Pakistan)</w:t>
      </w:r>
      <w:r w:rsidR="00096598">
        <w:rPr>
          <w:rFonts w:ascii="Book Antiqua" w:hAnsi="Book Antiqua" w:cs="Arial"/>
        </w:rPr>
        <w:t xml:space="preserve"> [2016] EWCA </w:t>
      </w:r>
      <w:proofErr w:type="spellStart"/>
      <w:r w:rsidR="00096598">
        <w:rPr>
          <w:rFonts w:ascii="Book Antiqua" w:hAnsi="Book Antiqua" w:cs="Arial"/>
        </w:rPr>
        <w:t>Civ</w:t>
      </w:r>
      <w:proofErr w:type="spellEnd"/>
      <w:r w:rsidR="00096598">
        <w:rPr>
          <w:rFonts w:ascii="Book Antiqua" w:hAnsi="Book Antiqua" w:cs="Arial"/>
        </w:rPr>
        <w:t xml:space="preserve"> 705 supports this view. Mr </w:t>
      </w:r>
      <w:proofErr w:type="spellStart"/>
      <w:r w:rsidR="00096598">
        <w:rPr>
          <w:rFonts w:ascii="Book Antiqua" w:hAnsi="Book Antiqua" w:cs="Arial"/>
        </w:rPr>
        <w:t>Tarlow</w:t>
      </w:r>
      <w:proofErr w:type="spellEnd"/>
      <w:r w:rsidR="00096598">
        <w:rPr>
          <w:rFonts w:ascii="Book Antiqua" w:hAnsi="Book Antiqua" w:cs="Arial"/>
        </w:rPr>
        <w:t xml:space="preserve"> disagreed; arguing that it is not self-evident that the appellant would succeed under Article 8 and that a full rehearing was necessary.</w:t>
      </w:r>
    </w:p>
    <w:p w:rsidR="00A3165E" w:rsidRDefault="00096598" w:rsidP="00DA618A">
      <w:pPr>
        <w:numPr>
          <w:ilvl w:val="0"/>
          <w:numId w:val="1"/>
        </w:numPr>
        <w:tabs>
          <w:tab w:val="clear" w:pos="567"/>
        </w:tabs>
        <w:spacing w:before="240"/>
        <w:ind w:left="1134" w:right="567"/>
        <w:jc w:val="both"/>
        <w:rPr>
          <w:rFonts w:ascii="Book Antiqua" w:hAnsi="Book Antiqua" w:cs="Arial"/>
        </w:rPr>
      </w:pPr>
      <w:r>
        <w:rPr>
          <w:rFonts w:ascii="Book Antiqua" w:hAnsi="Book Antiqua" w:cs="Arial"/>
        </w:rPr>
        <w:t xml:space="preserve">I agree with Mr </w:t>
      </w:r>
      <w:proofErr w:type="spellStart"/>
      <w:r>
        <w:rPr>
          <w:rFonts w:ascii="Book Antiqua" w:hAnsi="Book Antiqua" w:cs="Arial"/>
        </w:rPr>
        <w:t>Tarlow</w:t>
      </w:r>
      <w:proofErr w:type="spellEnd"/>
      <w:r>
        <w:rPr>
          <w:rFonts w:ascii="Book Antiqua" w:hAnsi="Book Antiqua" w:cs="Arial"/>
        </w:rPr>
        <w:t>. The analysis as to whether removal from the UK would be disproportionate is fact specific</w:t>
      </w:r>
      <w:r w:rsidR="00A3165E">
        <w:rPr>
          <w:rFonts w:ascii="Book Antiqua" w:hAnsi="Book Antiqua" w:cs="Arial"/>
        </w:rPr>
        <w:t>. T</w:t>
      </w:r>
      <w:r>
        <w:rPr>
          <w:rFonts w:ascii="Book Antiqua" w:hAnsi="Book Antiqua" w:cs="Arial"/>
        </w:rPr>
        <w:t>he factual matrix in this appeal is not identical to that in</w:t>
      </w:r>
      <w:r w:rsidRPr="00096598">
        <w:rPr>
          <w:rFonts w:ascii="Book Antiqua" w:hAnsi="Book Antiqua" w:cs="Arial"/>
          <w:i/>
        </w:rPr>
        <w:t xml:space="preserve"> </w:t>
      </w:r>
      <w:r w:rsidRPr="001D4C6B">
        <w:rPr>
          <w:rFonts w:ascii="Book Antiqua" w:hAnsi="Book Antiqua" w:cs="Arial"/>
          <w:i/>
        </w:rPr>
        <w:t>MT and ET</w:t>
      </w:r>
      <w:r w:rsidR="00A3165E">
        <w:rPr>
          <w:rFonts w:ascii="Book Antiqua" w:hAnsi="Book Antiqua" w:cs="Arial"/>
        </w:rPr>
        <w:t xml:space="preserve"> and, contrary to the view of Mr </w:t>
      </w:r>
      <w:proofErr w:type="spellStart"/>
      <w:r w:rsidR="00A3165E">
        <w:rPr>
          <w:rFonts w:ascii="Book Antiqua" w:hAnsi="Book Antiqua" w:cs="Arial"/>
        </w:rPr>
        <w:t>Muquit</w:t>
      </w:r>
      <w:proofErr w:type="spellEnd"/>
      <w:r w:rsidR="00A3165E">
        <w:rPr>
          <w:rFonts w:ascii="Book Antiqua" w:hAnsi="Book Antiqua" w:cs="Arial"/>
        </w:rPr>
        <w:t>, it is not self-evident or “obvious” from the evidence that was before the First-tier Tribunal that removal of the appellant from the UK would constitute a disproportionate interference with her and her family’s right to respect for their family and private life.</w:t>
      </w:r>
    </w:p>
    <w:p w:rsidR="001E5F41" w:rsidRDefault="001E5F41" w:rsidP="00DA618A">
      <w:pPr>
        <w:numPr>
          <w:ilvl w:val="0"/>
          <w:numId w:val="1"/>
        </w:numPr>
        <w:tabs>
          <w:tab w:val="clear" w:pos="567"/>
        </w:tabs>
        <w:spacing w:before="240"/>
        <w:ind w:left="1134" w:right="567"/>
        <w:jc w:val="both"/>
        <w:rPr>
          <w:rFonts w:ascii="Book Antiqua" w:hAnsi="Book Antiqua" w:cs="Arial"/>
        </w:rPr>
      </w:pPr>
      <w:r>
        <w:rPr>
          <w:rFonts w:ascii="Book Antiqua" w:hAnsi="Book Antiqua" w:cs="Arial"/>
        </w:rPr>
        <w:t xml:space="preserve">Given the Rule 24 response </w:t>
      </w:r>
      <w:r w:rsidR="00A3165E">
        <w:rPr>
          <w:rFonts w:ascii="Book Antiqua" w:hAnsi="Book Antiqua" w:cs="Arial"/>
        </w:rPr>
        <w:t xml:space="preserve">and the position </w:t>
      </w:r>
      <w:r>
        <w:rPr>
          <w:rFonts w:ascii="Book Antiqua" w:hAnsi="Book Antiqua" w:cs="Arial"/>
        </w:rPr>
        <w:t xml:space="preserve">of the respondent I invited Mr </w:t>
      </w:r>
      <w:proofErr w:type="spellStart"/>
      <w:r>
        <w:rPr>
          <w:rFonts w:ascii="Book Antiqua" w:hAnsi="Book Antiqua" w:cs="Arial"/>
        </w:rPr>
        <w:t>Mu</w:t>
      </w:r>
      <w:r w:rsidR="002E6FF1">
        <w:rPr>
          <w:rFonts w:ascii="Book Antiqua" w:hAnsi="Book Antiqua" w:cs="Arial"/>
        </w:rPr>
        <w:t>quit</w:t>
      </w:r>
      <w:proofErr w:type="spellEnd"/>
      <w:r>
        <w:rPr>
          <w:rFonts w:ascii="Book Antiqua" w:hAnsi="Book Antiqua" w:cs="Arial"/>
        </w:rPr>
        <w:t xml:space="preserve"> to </w:t>
      </w:r>
      <w:r w:rsidR="00A3165E">
        <w:rPr>
          <w:rFonts w:ascii="Book Antiqua" w:hAnsi="Book Antiqua" w:cs="Arial"/>
        </w:rPr>
        <w:t xml:space="preserve">make submissions on whether the decision should be </w:t>
      </w:r>
      <w:r w:rsidR="00D719C6">
        <w:rPr>
          <w:rFonts w:ascii="Book Antiqua" w:hAnsi="Book Antiqua" w:cs="Arial"/>
        </w:rPr>
        <w:t xml:space="preserve">remade by me, </w:t>
      </w:r>
      <w:r>
        <w:rPr>
          <w:rFonts w:ascii="Book Antiqua" w:hAnsi="Book Antiqua" w:cs="Arial"/>
        </w:rPr>
        <w:t>based on the written evidence that was before the First-tier Tribunal as well as any further evidence he wished to adduce</w:t>
      </w:r>
      <w:r w:rsidR="00D719C6">
        <w:rPr>
          <w:rFonts w:ascii="Book Antiqua" w:hAnsi="Book Antiqua" w:cs="Arial"/>
        </w:rPr>
        <w:t>,</w:t>
      </w:r>
      <w:r>
        <w:rPr>
          <w:rFonts w:ascii="Book Antiqua" w:hAnsi="Book Antiqua" w:cs="Arial"/>
        </w:rPr>
        <w:t xml:space="preserve"> or whether the matter should be remitted to the First-tier Tribunal to be heard afresh.  He expressed a preference for the matter being remitted and Mr </w:t>
      </w:r>
      <w:proofErr w:type="spellStart"/>
      <w:r>
        <w:rPr>
          <w:rFonts w:ascii="Book Antiqua" w:hAnsi="Book Antiqua" w:cs="Arial"/>
        </w:rPr>
        <w:t>Tarlow</w:t>
      </w:r>
      <w:proofErr w:type="spellEnd"/>
      <w:r>
        <w:rPr>
          <w:rFonts w:ascii="Book Antiqua" w:hAnsi="Book Antiqua" w:cs="Arial"/>
        </w:rPr>
        <w:t xml:space="preserve"> </w:t>
      </w:r>
      <w:r w:rsidR="002E6FF1">
        <w:rPr>
          <w:rFonts w:ascii="Book Antiqua" w:hAnsi="Book Antiqua" w:cs="Arial"/>
        </w:rPr>
        <w:t>w</w:t>
      </w:r>
      <w:r w:rsidR="00D719C6">
        <w:rPr>
          <w:rFonts w:ascii="Book Antiqua" w:hAnsi="Book Antiqua" w:cs="Arial"/>
        </w:rPr>
        <w:t>as in agreement. In my view, t</w:t>
      </w:r>
      <w:r>
        <w:rPr>
          <w:rFonts w:ascii="Book Antiqua" w:hAnsi="Book Antiqua" w:cs="Arial"/>
        </w:rPr>
        <w:t>his is a matter where it would be appropriate for the appeal to be considered afresh in the First-tier Tribunal given that a full assessment of the evidence including the best inter</w:t>
      </w:r>
      <w:r w:rsidR="001D4C6B">
        <w:rPr>
          <w:rFonts w:ascii="Book Antiqua" w:hAnsi="Book Antiqua" w:cs="Arial"/>
        </w:rPr>
        <w:t>e</w:t>
      </w:r>
      <w:r>
        <w:rPr>
          <w:rFonts w:ascii="Book Antiqua" w:hAnsi="Book Antiqua" w:cs="Arial"/>
        </w:rPr>
        <w:t>sts of the appellant’s children will need to be undertaken.</w:t>
      </w:r>
    </w:p>
    <w:p w:rsidR="001E5F41" w:rsidRPr="00D719C6" w:rsidRDefault="00D719C6" w:rsidP="00DA618A">
      <w:pPr>
        <w:spacing w:before="240"/>
        <w:ind w:left="1134"/>
        <w:rPr>
          <w:rFonts w:ascii="Book Antiqua" w:hAnsi="Book Antiqua" w:cs="Arial"/>
          <w:b/>
        </w:rPr>
      </w:pPr>
      <w:r w:rsidRPr="00D719C6">
        <w:rPr>
          <w:rFonts w:ascii="Book Antiqua" w:hAnsi="Book Antiqua" w:cs="Arial"/>
          <w:b/>
        </w:rPr>
        <w:t>Decision</w:t>
      </w:r>
    </w:p>
    <w:p w:rsidR="001E5F41" w:rsidRDefault="001E5F41" w:rsidP="00DA618A">
      <w:pPr>
        <w:numPr>
          <w:ilvl w:val="1"/>
          <w:numId w:val="1"/>
        </w:numPr>
        <w:tabs>
          <w:tab w:val="clear" w:pos="1134"/>
          <w:tab w:val="num" w:pos="1701"/>
        </w:tabs>
        <w:spacing w:before="240"/>
        <w:ind w:left="1701" w:right="567"/>
        <w:rPr>
          <w:rFonts w:ascii="Book Antiqua" w:hAnsi="Book Antiqua" w:cs="Arial"/>
        </w:rPr>
      </w:pPr>
      <w:r>
        <w:rPr>
          <w:rFonts w:ascii="Book Antiqua" w:hAnsi="Book Antiqua" w:cs="Arial"/>
        </w:rPr>
        <w:t>The decision of the First-tier Tribunal contains a material error of law and is set aside.</w:t>
      </w:r>
    </w:p>
    <w:p w:rsidR="00D719C6" w:rsidRDefault="001E5F41" w:rsidP="00DA618A">
      <w:pPr>
        <w:numPr>
          <w:ilvl w:val="1"/>
          <w:numId w:val="1"/>
        </w:numPr>
        <w:tabs>
          <w:tab w:val="clear" w:pos="1134"/>
          <w:tab w:val="num" w:pos="1701"/>
        </w:tabs>
        <w:spacing w:before="240"/>
        <w:ind w:left="1701" w:right="567"/>
        <w:rPr>
          <w:rFonts w:ascii="Book Antiqua" w:hAnsi="Book Antiqua" w:cs="Arial"/>
        </w:rPr>
      </w:pPr>
      <w:r>
        <w:rPr>
          <w:rFonts w:ascii="Book Antiqua" w:hAnsi="Book Antiqua" w:cs="Arial"/>
        </w:rPr>
        <w:t>The appeal is remitted to the First-tier Tribunal to be heard</w:t>
      </w:r>
      <w:r w:rsidR="00D719C6">
        <w:rPr>
          <w:rFonts w:ascii="Book Antiqua" w:hAnsi="Book Antiqua" w:cs="Arial"/>
        </w:rPr>
        <w:t xml:space="preserve"> afresh</w:t>
      </w:r>
      <w:r>
        <w:rPr>
          <w:rFonts w:ascii="Book Antiqua" w:hAnsi="Book Antiqua" w:cs="Arial"/>
        </w:rPr>
        <w:t xml:space="preserve"> before a different judge.</w:t>
      </w:r>
    </w:p>
    <w:p w:rsidR="00D949B7" w:rsidRPr="00D719C6" w:rsidRDefault="00D949B7" w:rsidP="00DA618A">
      <w:pPr>
        <w:numPr>
          <w:ilvl w:val="1"/>
          <w:numId w:val="1"/>
        </w:numPr>
        <w:tabs>
          <w:tab w:val="clear" w:pos="1134"/>
          <w:tab w:val="num" w:pos="1701"/>
        </w:tabs>
        <w:spacing w:before="240"/>
        <w:ind w:left="1701" w:right="567"/>
        <w:rPr>
          <w:rFonts w:ascii="Book Antiqua" w:hAnsi="Book Antiqua" w:cs="Arial"/>
        </w:rPr>
      </w:pPr>
      <w:r w:rsidRPr="00D719C6">
        <w:rPr>
          <w:rFonts w:ascii="Book Antiqua" w:hAnsi="Book Antiqua" w:cs="Arial"/>
        </w:rPr>
        <w:lastRenderedPageBreak/>
        <w:t>No anonymity direction is made.</w:t>
      </w:r>
    </w:p>
    <w:tbl>
      <w:tblPr>
        <w:tblW w:w="0" w:type="auto"/>
        <w:tblLook w:val="01E0" w:firstRow="1" w:lastRow="1" w:firstColumn="1" w:lastColumn="1" w:noHBand="0" w:noVBand="0"/>
      </w:tblPr>
      <w:tblGrid>
        <w:gridCol w:w="4821"/>
        <w:gridCol w:w="4817"/>
      </w:tblGrid>
      <w:tr w:rsidR="00D719C6" w:rsidRPr="00B53DCC" w:rsidTr="003B54C2">
        <w:trPr>
          <w:trHeight w:val="277"/>
        </w:trPr>
        <w:tc>
          <w:tcPr>
            <w:tcW w:w="4821" w:type="dxa"/>
          </w:tcPr>
          <w:p w:rsidR="00D719C6" w:rsidRDefault="00D719C6" w:rsidP="0040412D">
            <w:pPr>
              <w:tabs>
                <w:tab w:val="left" w:pos="2520"/>
              </w:tabs>
              <w:rPr>
                <w:rFonts w:ascii="Book Antiqua" w:hAnsi="Book Antiqua" w:cs="Arial"/>
              </w:rPr>
            </w:pPr>
          </w:p>
          <w:p w:rsidR="00DA618A" w:rsidRPr="00B53DCC" w:rsidRDefault="00DA618A" w:rsidP="0040412D">
            <w:pPr>
              <w:tabs>
                <w:tab w:val="left" w:pos="2520"/>
              </w:tabs>
              <w:rPr>
                <w:rFonts w:ascii="Book Antiqua" w:hAnsi="Book Antiqua" w:cs="Arial"/>
              </w:rPr>
            </w:pPr>
          </w:p>
          <w:p w:rsidR="00D719C6" w:rsidRPr="00B53DCC" w:rsidRDefault="00D719C6" w:rsidP="0040412D">
            <w:pPr>
              <w:tabs>
                <w:tab w:val="left" w:pos="2520"/>
              </w:tabs>
              <w:rPr>
                <w:rFonts w:ascii="Book Antiqua" w:hAnsi="Book Antiqua" w:cs="Arial"/>
              </w:rPr>
            </w:pPr>
            <w:r w:rsidRPr="00B53DCC">
              <w:rPr>
                <w:rFonts w:ascii="Book Antiqua" w:hAnsi="Book Antiqua" w:cs="Arial"/>
              </w:rPr>
              <w:t>Signed</w:t>
            </w:r>
          </w:p>
          <w:p w:rsidR="00D719C6" w:rsidRPr="00B53DCC" w:rsidRDefault="00D719C6" w:rsidP="0040412D">
            <w:pPr>
              <w:tabs>
                <w:tab w:val="left" w:pos="2520"/>
              </w:tabs>
              <w:rPr>
                <w:rFonts w:ascii="Book Antiqua" w:hAnsi="Book Antiqua" w:cs="Arial"/>
              </w:rPr>
            </w:pPr>
            <w:r>
              <w:rPr>
                <w:rFonts w:ascii="Book Antiqua" w:hAnsi="Book Antiqua" w:cs="Arial"/>
                <w:noProof/>
              </w:rPr>
              <w:drawing>
                <wp:anchor distT="0" distB="0" distL="114300" distR="114300" simplePos="0" relativeHeight="251659264" behindDoc="0" locked="0" layoutInCell="1" allowOverlap="1">
                  <wp:simplePos x="0" y="0"/>
                  <wp:positionH relativeFrom="column">
                    <wp:posOffset>384175</wp:posOffset>
                  </wp:positionH>
                  <wp:positionV relativeFrom="paragraph">
                    <wp:posOffset>166370</wp:posOffset>
                  </wp:positionV>
                  <wp:extent cx="1482090" cy="323215"/>
                  <wp:effectExtent l="19050" t="0" r="381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9" cstate="print"/>
                          <a:srcRect/>
                          <a:stretch>
                            <a:fillRect/>
                          </a:stretch>
                        </pic:blipFill>
                        <pic:spPr bwMode="auto">
                          <a:xfrm>
                            <a:off x="0" y="0"/>
                            <a:ext cx="1482090" cy="323215"/>
                          </a:xfrm>
                          <a:prstGeom prst="rect">
                            <a:avLst/>
                          </a:prstGeom>
                          <a:noFill/>
                        </pic:spPr>
                      </pic:pic>
                    </a:graphicData>
                  </a:graphic>
                </wp:anchor>
              </w:drawing>
            </w:r>
          </w:p>
          <w:p w:rsidR="00D719C6" w:rsidRPr="00B53DCC" w:rsidRDefault="00D719C6" w:rsidP="0040412D">
            <w:pPr>
              <w:tabs>
                <w:tab w:val="left" w:pos="2520"/>
              </w:tabs>
              <w:rPr>
                <w:rFonts w:ascii="Book Antiqua" w:hAnsi="Book Antiqua" w:cs="Arial"/>
              </w:rPr>
            </w:pPr>
          </w:p>
          <w:p w:rsidR="00D719C6" w:rsidRPr="00B53DCC" w:rsidRDefault="00D719C6" w:rsidP="0040412D">
            <w:pPr>
              <w:tabs>
                <w:tab w:val="left" w:pos="2520"/>
              </w:tabs>
              <w:rPr>
                <w:rFonts w:ascii="Book Antiqua" w:hAnsi="Book Antiqua" w:cs="Arial"/>
              </w:rPr>
            </w:pPr>
          </w:p>
          <w:p w:rsidR="00D719C6" w:rsidRPr="00B53DCC" w:rsidRDefault="00D719C6" w:rsidP="0040412D">
            <w:pPr>
              <w:tabs>
                <w:tab w:val="left" w:pos="2520"/>
              </w:tabs>
              <w:rPr>
                <w:rFonts w:ascii="Book Antiqua" w:hAnsi="Book Antiqua" w:cs="Arial"/>
              </w:rPr>
            </w:pPr>
          </w:p>
        </w:tc>
        <w:tc>
          <w:tcPr>
            <w:tcW w:w="4817" w:type="dxa"/>
          </w:tcPr>
          <w:p w:rsidR="00D719C6" w:rsidRPr="00B53DCC" w:rsidRDefault="00D719C6" w:rsidP="0040412D">
            <w:pPr>
              <w:tabs>
                <w:tab w:val="left" w:pos="2520"/>
              </w:tabs>
              <w:rPr>
                <w:rFonts w:ascii="Book Antiqua" w:hAnsi="Book Antiqua" w:cs="Arial"/>
              </w:rPr>
            </w:pPr>
          </w:p>
        </w:tc>
      </w:tr>
      <w:tr w:rsidR="00D719C6" w:rsidRPr="00B53DCC" w:rsidTr="003B54C2">
        <w:trPr>
          <w:trHeight w:val="1000"/>
        </w:trPr>
        <w:tc>
          <w:tcPr>
            <w:tcW w:w="4821" w:type="dxa"/>
          </w:tcPr>
          <w:p w:rsidR="00D719C6" w:rsidRPr="00B53DCC" w:rsidRDefault="00D719C6" w:rsidP="0040412D">
            <w:pPr>
              <w:tabs>
                <w:tab w:val="left" w:pos="2520"/>
              </w:tabs>
              <w:rPr>
                <w:rFonts w:ascii="Book Antiqua" w:hAnsi="Book Antiqua" w:cs="Arial"/>
              </w:rPr>
            </w:pPr>
            <w:r w:rsidRPr="00B53DCC">
              <w:rPr>
                <w:rFonts w:ascii="Book Antiqua" w:hAnsi="Book Antiqua" w:cs="Arial"/>
              </w:rPr>
              <w:t>Deputy Upper Tribunal Judge Sheridan</w:t>
            </w:r>
          </w:p>
        </w:tc>
        <w:tc>
          <w:tcPr>
            <w:tcW w:w="4817" w:type="dxa"/>
          </w:tcPr>
          <w:p w:rsidR="00D719C6" w:rsidRPr="00B53DCC" w:rsidRDefault="00D719C6" w:rsidP="0040412D">
            <w:pPr>
              <w:tabs>
                <w:tab w:val="left" w:pos="2520"/>
              </w:tabs>
              <w:rPr>
                <w:rFonts w:ascii="Book Antiqua" w:hAnsi="Book Antiqua" w:cs="Arial"/>
              </w:rPr>
            </w:pPr>
          </w:p>
          <w:p w:rsidR="00D719C6" w:rsidRPr="00B53DCC" w:rsidRDefault="00D719C6" w:rsidP="00D719C6">
            <w:pPr>
              <w:tabs>
                <w:tab w:val="left" w:pos="2520"/>
              </w:tabs>
              <w:rPr>
                <w:rFonts w:ascii="Book Antiqua" w:hAnsi="Book Antiqua" w:cs="Arial"/>
              </w:rPr>
            </w:pPr>
            <w:r w:rsidRPr="00B53DCC">
              <w:rPr>
                <w:rFonts w:ascii="Book Antiqua" w:hAnsi="Book Antiqua" w:cs="Arial"/>
              </w:rPr>
              <w:t xml:space="preserve">Dated: </w:t>
            </w:r>
            <w:r>
              <w:rPr>
                <w:rFonts w:ascii="Book Antiqua" w:hAnsi="Book Antiqua" w:cs="Arial"/>
              </w:rPr>
              <w:t xml:space="preserve">15 August </w:t>
            </w:r>
            <w:r w:rsidRPr="00B53DCC">
              <w:rPr>
                <w:rFonts w:ascii="Book Antiqua" w:hAnsi="Book Antiqua" w:cs="Arial"/>
              </w:rPr>
              <w:t>201</w:t>
            </w:r>
            <w:r>
              <w:rPr>
                <w:rFonts w:ascii="Book Antiqua" w:hAnsi="Book Antiqua" w:cs="Arial"/>
              </w:rPr>
              <w:t>8</w:t>
            </w:r>
          </w:p>
        </w:tc>
      </w:tr>
    </w:tbl>
    <w:p w:rsidR="00D949B7" w:rsidRDefault="00D949B7" w:rsidP="00273201">
      <w:pPr>
        <w:rPr>
          <w:rFonts w:ascii="Book Antiqua" w:hAnsi="Book Antiqua" w:cs="Arial"/>
        </w:rPr>
      </w:pPr>
    </w:p>
    <w:p w:rsidR="00D949B7" w:rsidRDefault="00D949B7" w:rsidP="00273201">
      <w:pPr>
        <w:rPr>
          <w:rFonts w:ascii="Book Antiqua" w:hAnsi="Book Antiqua" w:cs="Arial"/>
        </w:rPr>
      </w:pPr>
    </w:p>
    <w:p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65E" w:rsidRDefault="00A3165E">
      <w:r>
        <w:separator/>
      </w:r>
    </w:p>
  </w:endnote>
  <w:endnote w:type="continuationSeparator" w:id="0">
    <w:p w:rsidR="00A3165E" w:rsidRDefault="00A31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65E" w:rsidRPr="009B7433" w:rsidRDefault="00A3165E"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4A3652">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65E" w:rsidRPr="009B7433" w:rsidRDefault="00A3165E"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65E" w:rsidRDefault="00A3165E">
      <w:r>
        <w:separator/>
      </w:r>
    </w:p>
  </w:footnote>
  <w:footnote w:type="continuationSeparator" w:id="0">
    <w:p w:rsidR="00A3165E" w:rsidRDefault="00A31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65E" w:rsidRPr="009B7433" w:rsidRDefault="00A3165E"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IA/47851/2014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165E" w:rsidRPr="009B7433" w:rsidRDefault="00A3165E">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67C8EC4-032F-4056-890F-2C80BF0A7559}"/>
    <w:docVar w:name="dgnword-eventsink" w:val="231509152"/>
  </w:docVars>
  <w:rsids>
    <w:rsidRoot w:val="006F7D57"/>
    <w:rsid w:val="00000621"/>
    <w:rsid w:val="000036C2"/>
    <w:rsid w:val="00016C1A"/>
    <w:rsid w:val="00033588"/>
    <w:rsid w:val="00033D3D"/>
    <w:rsid w:val="0004776F"/>
    <w:rsid w:val="00052895"/>
    <w:rsid w:val="00062F02"/>
    <w:rsid w:val="00071A7E"/>
    <w:rsid w:val="000746C0"/>
    <w:rsid w:val="00074D1D"/>
    <w:rsid w:val="00092580"/>
    <w:rsid w:val="00093D4D"/>
    <w:rsid w:val="00096598"/>
    <w:rsid w:val="000A0743"/>
    <w:rsid w:val="000D5D94"/>
    <w:rsid w:val="000F1A0E"/>
    <w:rsid w:val="001165A7"/>
    <w:rsid w:val="001572B9"/>
    <w:rsid w:val="0016508E"/>
    <w:rsid w:val="00167D3A"/>
    <w:rsid w:val="00173F50"/>
    <w:rsid w:val="00185986"/>
    <w:rsid w:val="001A3082"/>
    <w:rsid w:val="001B186A"/>
    <w:rsid w:val="001B2F75"/>
    <w:rsid w:val="001C6F5F"/>
    <w:rsid w:val="001D4C6B"/>
    <w:rsid w:val="001D6167"/>
    <w:rsid w:val="001E5F41"/>
    <w:rsid w:val="001F2716"/>
    <w:rsid w:val="001F3AC0"/>
    <w:rsid w:val="00207617"/>
    <w:rsid w:val="0023134B"/>
    <w:rsid w:val="00273201"/>
    <w:rsid w:val="00283659"/>
    <w:rsid w:val="002C6BD4"/>
    <w:rsid w:val="002D68BF"/>
    <w:rsid w:val="002E4541"/>
    <w:rsid w:val="002E6FF1"/>
    <w:rsid w:val="002F6B98"/>
    <w:rsid w:val="00336CBF"/>
    <w:rsid w:val="00343FE3"/>
    <w:rsid w:val="003546C8"/>
    <w:rsid w:val="0037777D"/>
    <w:rsid w:val="003825D4"/>
    <w:rsid w:val="003A7CF2"/>
    <w:rsid w:val="003B54C2"/>
    <w:rsid w:val="003C5CE5"/>
    <w:rsid w:val="003D25F1"/>
    <w:rsid w:val="003D60DD"/>
    <w:rsid w:val="003D6FAD"/>
    <w:rsid w:val="003E267B"/>
    <w:rsid w:val="003E7CD1"/>
    <w:rsid w:val="00402B9E"/>
    <w:rsid w:val="004249CB"/>
    <w:rsid w:val="0044127D"/>
    <w:rsid w:val="004448DB"/>
    <w:rsid w:val="00446C9A"/>
    <w:rsid w:val="00446F1E"/>
    <w:rsid w:val="00452F2B"/>
    <w:rsid w:val="00477193"/>
    <w:rsid w:val="004A1848"/>
    <w:rsid w:val="004A2D15"/>
    <w:rsid w:val="004A3652"/>
    <w:rsid w:val="004A534C"/>
    <w:rsid w:val="004A6F4A"/>
    <w:rsid w:val="004B70D7"/>
    <w:rsid w:val="004D6B45"/>
    <w:rsid w:val="004E4717"/>
    <w:rsid w:val="004F2676"/>
    <w:rsid w:val="00507FEC"/>
    <w:rsid w:val="00510F0E"/>
    <w:rsid w:val="005479E1"/>
    <w:rsid w:val="00553028"/>
    <w:rsid w:val="00553E0A"/>
    <w:rsid w:val="005570FD"/>
    <w:rsid w:val="005575EA"/>
    <w:rsid w:val="00575399"/>
    <w:rsid w:val="0057790C"/>
    <w:rsid w:val="00593795"/>
    <w:rsid w:val="005A5336"/>
    <w:rsid w:val="005A75FF"/>
    <w:rsid w:val="005D10AB"/>
    <w:rsid w:val="00601D8F"/>
    <w:rsid w:val="00605582"/>
    <w:rsid w:val="00611F34"/>
    <w:rsid w:val="00621FE8"/>
    <w:rsid w:val="006434B6"/>
    <w:rsid w:val="00653E97"/>
    <w:rsid w:val="006667DB"/>
    <w:rsid w:val="00684A74"/>
    <w:rsid w:val="0068620A"/>
    <w:rsid w:val="00690B8A"/>
    <w:rsid w:val="006C2FB8"/>
    <w:rsid w:val="006F2CF1"/>
    <w:rsid w:val="006F7D57"/>
    <w:rsid w:val="007038ED"/>
    <w:rsid w:val="00703BC3"/>
    <w:rsid w:val="00704B61"/>
    <w:rsid w:val="00715A64"/>
    <w:rsid w:val="007217D8"/>
    <w:rsid w:val="00740C1F"/>
    <w:rsid w:val="007552A9"/>
    <w:rsid w:val="0075658A"/>
    <w:rsid w:val="00761858"/>
    <w:rsid w:val="00767D59"/>
    <w:rsid w:val="00776E97"/>
    <w:rsid w:val="00780F86"/>
    <w:rsid w:val="007845C5"/>
    <w:rsid w:val="007912AD"/>
    <w:rsid w:val="007B0824"/>
    <w:rsid w:val="007B5D3C"/>
    <w:rsid w:val="00815011"/>
    <w:rsid w:val="00821B72"/>
    <w:rsid w:val="0082229E"/>
    <w:rsid w:val="00823EF2"/>
    <w:rsid w:val="008303B8"/>
    <w:rsid w:val="00833DCE"/>
    <w:rsid w:val="00833E86"/>
    <w:rsid w:val="00871D34"/>
    <w:rsid w:val="008A25EC"/>
    <w:rsid w:val="008A6059"/>
    <w:rsid w:val="008B17FF"/>
    <w:rsid w:val="008B270C"/>
    <w:rsid w:val="008B5078"/>
    <w:rsid w:val="008C3D3D"/>
    <w:rsid w:val="008D4131"/>
    <w:rsid w:val="008F1932"/>
    <w:rsid w:val="0090151B"/>
    <w:rsid w:val="009042A9"/>
    <w:rsid w:val="00921062"/>
    <w:rsid w:val="00936004"/>
    <w:rsid w:val="009722BC"/>
    <w:rsid w:val="009727A3"/>
    <w:rsid w:val="00987774"/>
    <w:rsid w:val="009A11E8"/>
    <w:rsid w:val="009B7433"/>
    <w:rsid w:val="009C57C8"/>
    <w:rsid w:val="009D348A"/>
    <w:rsid w:val="009F5220"/>
    <w:rsid w:val="00A07919"/>
    <w:rsid w:val="00A15234"/>
    <w:rsid w:val="00A172F5"/>
    <w:rsid w:val="00A201AB"/>
    <w:rsid w:val="00A3165E"/>
    <w:rsid w:val="00A31C8B"/>
    <w:rsid w:val="00A509FA"/>
    <w:rsid w:val="00A845DC"/>
    <w:rsid w:val="00A97E16"/>
    <w:rsid w:val="00AF0E32"/>
    <w:rsid w:val="00B26AA2"/>
    <w:rsid w:val="00B3524D"/>
    <w:rsid w:val="00B40F69"/>
    <w:rsid w:val="00B46616"/>
    <w:rsid w:val="00B528BB"/>
    <w:rsid w:val="00B7040A"/>
    <w:rsid w:val="00B83391"/>
    <w:rsid w:val="00B95326"/>
    <w:rsid w:val="00BD4196"/>
    <w:rsid w:val="00BF22CA"/>
    <w:rsid w:val="00BF23BB"/>
    <w:rsid w:val="00C26032"/>
    <w:rsid w:val="00C345E1"/>
    <w:rsid w:val="00C43BFD"/>
    <w:rsid w:val="00C6048A"/>
    <w:rsid w:val="00CB55BB"/>
    <w:rsid w:val="00CB6E35"/>
    <w:rsid w:val="00CE09B1"/>
    <w:rsid w:val="00CE1A46"/>
    <w:rsid w:val="00CF6D82"/>
    <w:rsid w:val="00D05EA6"/>
    <w:rsid w:val="00D20757"/>
    <w:rsid w:val="00D22636"/>
    <w:rsid w:val="00D40FD9"/>
    <w:rsid w:val="00D53769"/>
    <w:rsid w:val="00D6602D"/>
    <w:rsid w:val="00D719C6"/>
    <w:rsid w:val="00D85C13"/>
    <w:rsid w:val="00D9111A"/>
    <w:rsid w:val="00D91BE3"/>
    <w:rsid w:val="00D949B7"/>
    <w:rsid w:val="00D94AFC"/>
    <w:rsid w:val="00DA618A"/>
    <w:rsid w:val="00DB70AE"/>
    <w:rsid w:val="00DD5071"/>
    <w:rsid w:val="00DD5C39"/>
    <w:rsid w:val="00DE7DB7"/>
    <w:rsid w:val="00E00A0A"/>
    <w:rsid w:val="00E05AD9"/>
    <w:rsid w:val="00E066DE"/>
    <w:rsid w:val="00E07F57"/>
    <w:rsid w:val="00E30683"/>
    <w:rsid w:val="00E42107"/>
    <w:rsid w:val="00E453D8"/>
    <w:rsid w:val="00E50BCE"/>
    <w:rsid w:val="00E574BF"/>
    <w:rsid w:val="00E61292"/>
    <w:rsid w:val="00E77C4D"/>
    <w:rsid w:val="00E81D01"/>
    <w:rsid w:val="00EB485A"/>
    <w:rsid w:val="00EE45D8"/>
    <w:rsid w:val="00F22EDA"/>
    <w:rsid w:val="00F40176"/>
    <w:rsid w:val="00F470D6"/>
    <w:rsid w:val="00F5589A"/>
    <w:rsid w:val="00F907D9"/>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C3DC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F0E3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E91-FD12-42AC-987F-52EF4FC43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3258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2018-09-07T11:33:00Z</dcterms:created>
  <dcterms:modified xsi:type="dcterms:W3CDTF">2018-09-07T11:33:00Z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