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F7667D" w:rsidP="00933B65">
      <w:pPr>
        <w:jc w:val="center"/>
        <w:rPr>
          <w:rFonts w:ascii="Book Antiqua" w:hAnsi="Book Antiqua" w:cs="Arial"/>
          <w:color w:val="000000"/>
        </w:rPr>
      </w:pPr>
      <w:r>
        <w:rPr>
          <w:noProof/>
        </w:rPr>
        <w:drawing>
          <wp:inline distT="0" distB="0" distL="0" distR="0">
            <wp:extent cx="1404000" cy="10656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w:t>
      </w:r>
      <w:r w:rsidR="00D64561">
        <w:rPr>
          <w:rFonts w:ascii="Book Antiqua" w:hAnsi="Book Antiqua" w:cs="Arial"/>
          <w:b/>
          <w:color w:val="000000"/>
        </w:rPr>
        <w:t xml:space="preserve">Immigration and Asylum </w:t>
      </w:r>
      <w:proofErr w:type="gramStart"/>
      <w:r w:rsidR="00D64561">
        <w:rPr>
          <w:rFonts w:ascii="Book Antiqua" w:hAnsi="Book Antiqua" w:cs="Arial"/>
          <w:b/>
          <w:color w:val="000000"/>
        </w:rPr>
        <w:t xml:space="preserve">Chamber)   </w:t>
      </w:r>
      <w:proofErr w:type="gramEnd"/>
      <w:r w:rsidR="00D64561">
        <w:rPr>
          <w:rFonts w:ascii="Book Antiqua" w:hAnsi="Book Antiqua" w:cs="Arial"/>
          <w:b/>
          <w:color w:val="000000"/>
        </w:rPr>
        <w:t xml:space="preserve">                     </w:t>
      </w:r>
      <w:r w:rsidRPr="00D64561">
        <w:rPr>
          <w:rFonts w:ascii="Book Antiqua" w:hAnsi="Book Antiqua" w:cs="Arial"/>
          <w:b/>
          <w:color w:val="000000"/>
        </w:rPr>
        <w:t>Appeal Number:</w:t>
      </w:r>
      <w:r w:rsidR="006748D6" w:rsidRPr="00D64561">
        <w:rPr>
          <w:rFonts w:ascii="Book Antiqua" w:hAnsi="Book Antiqua" w:cs="Arial"/>
          <w:b/>
          <w:color w:val="000000"/>
        </w:rPr>
        <w:t xml:space="preserve"> </w:t>
      </w:r>
      <w:r w:rsidR="003F6C7F" w:rsidRPr="00D64561">
        <w:rPr>
          <w:rFonts w:ascii="Book Antiqua" w:hAnsi="Book Antiqua" w:cs="Arial"/>
          <w:b/>
          <w:color w:val="000000"/>
        </w:rPr>
        <w:t>IA/52381/2013</w:t>
      </w:r>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tbl>
      <w:tblPr>
        <w:tblW w:w="10364" w:type="dxa"/>
        <w:tblLook w:val="01E0" w:firstRow="1" w:lastRow="1" w:firstColumn="1" w:lastColumn="1" w:noHBand="0" w:noVBand="0"/>
      </w:tblPr>
      <w:tblGrid>
        <w:gridCol w:w="5387"/>
        <w:gridCol w:w="4977"/>
      </w:tblGrid>
      <w:tr w:rsidR="00933B65" w:rsidRPr="009D328D" w:rsidTr="00D64561">
        <w:trPr>
          <w:trHeight w:val="612"/>
        </w:trPr>
        <w:tc>
          <w:tcPr>
            <w:tcW w:w="5387" w:type="dxa"/>
            <w:shd w:val="clear" w:color="auto" w:fill="auto"/>
          </w:tcPr>
          <w:p w:rsidR="00D64561" w:rsidRDefault="00933B65" w:rsidP="009D328D">
            <w:pPr>
              <w:jc w:val="both"/>
              <w:rPr>
                <w:rFonts w:ascii="Book Antiqua" w:hAnsi="Book Antiqua" w:cs="Arial"/>
                <w:b/>
              </w:rPr>
            </w:pPr>
            <w:r w:rsidRPr="009D328D">
              <w:rPr>
                <w:rFonts w:ascii="Book Antiqua" w:hAnsi="Book Antiqua" w:cs="Arial"/>
                <w:b/>
              </w:rPr>
              <w:t xml:space="preserve">Heard at </w:t>
            </w:r>
            <w:r w:rsidR="003F6C7F">
              <w:rPr>
                <w:rFonts w:ascii="Book Antiqua" w:hAnsi="Book Antiqua" w:cs="Arial"/>
                <w:b/>
              </w:rPr>
              <w:t>Field House</w:t>
            </w:r>
            <w:r w:rsidR="00D64561" w:rsidRPr="009D328D">
              <w:rPr>
                <w:rFonts w:ascii="Book Antiqua" w:hAnsi="Book Antiqua" w:cs="Arial"/>
                <w:b/>
              </w:rPr>
              <w:t xml:space="preserve"> </w:t>
            </w:r>
          </w:p>
          <w:p w:rsidR="00933B65" w:rsidRPr="009D328D" w:rsidRDefault="00D64561" w:rsidP="009D328D">
            <w:pPr>
              <w:jc w:val="both"/>
              <w:rPr>
                <w:rFonts w:ascii="Book Antiqua" w:hAnsi="Book Antiqua" w:cs="Arial"/>
                <w:b/>
              </w:rPr>
            </w:pPr>
            <w:r w:rsidRPr="009D328D">
              <w:rPr>
                <w:rFonts w:ascii="Book Antiqua" w:hAnsi="Book Antiqua" w:cs="Arial"/>
                <w:b/>
              </w:rPr>
              <w:t>On</w:t>
            </w:r>
            <w:r>
              <w:rPr>
                <w:rFonts w:ascii="Book Antiqua" w:hAnsi="Book Antiqua" w:cs="Arial"/>
                <w:b/>
              </w:rPr>
              <w:t xml:space="preserve"> 25 April 2018</w:t>
            </w:r>
          </w:p>
        </w:tc>
        <w:tc>
          <w:tcPr>
            <w:tcW w:w="4977" w:type="dxa"/>
            <w:shd w:val="clear" w:color="auto" w:fill="auto"/>
          </w:tcPr>
          <w:p w:rsidR="00D64561" w:rsidRDefault="009B2262" w:rsidP="009D328D">
            <w:pPr>
              <w:jc w:val="both"/>
              <w:rPr>
                <w:rFonts w:ascii="Book Antiqua" w:hAnsi="Book Antiqua" w:cs="Arial"/>
                <w:b/>
              </w:rPr>
            </w:pPr>
            <w:r>
              <w:rPr>
                <w:rFonts w:ascii="Book Antiqua" w:hAnsi="Book Antiqua" w:cs="Arial"/>
                <w:b/>
                <w:color w:val="000000"/>
              </w:rPr>
              <w:t xml:space="preserve">Decision &amp; Reasons </w:t>
            </w:r>
            <w:r w:rsidRPr="009D328D">
              <w:rPr>
                <w:rFonts w:ascii="Book Antiqua" w:hAnsi="Book Antiqua" w:cs="Arial"/>
                <w:b/>
                <w:color w:val="000000"/>
              </w:rPr>
              <w:t>Promulgated</w:t>
            </w:r>
            <w:r w:rsidR="00D64561">
              <w:rPr>
                <w:rFonts w:ascii="Book Antiqua" w:hAnsi="Book Antiqua" w:cs="Arial"/>
                <w:b/>
              </w:rPr>
              <w:t xml:space="preserve"> </w:t>
            </w:r>
          </w:p>
          <w:p w:rsidR="00933B65" w:rsidRPr="009D328D" w:rsidRDefault="00D64561" w:rsidP="009D328D">
            <w:pPr>
              <w:jc w:val="both"/>
              <w:rPr>
                <w:rFonts w:ascii="Book Antiqua" w:hAnsi="Book Antiqua" w:cs="Arial"/>
                <w:b/>
                <w:color w:val="000000"/>
              </w:rPr>
            </w:pPr>
            <w:r>
              <w:rPr>
                <w:rFonts w:ascii="Book Antiqua" w:hAnsi="Book Antiqua" w:cs="Arial"/>
                <w:b/>
              </w:rPr>
              <w:t>On 01 June 2018</w:t>
            </w:r>
          </w:p>
        </w:tc>
      </w:tr>
      <w:tr w:rsidR="00933B65" w:rsidRPr="009D328D" w:rsidTr="00D64561">
        <w:trPr>
          <w:trHeight w:val="306"/>
        </w:trPr>
        <w:tc>
          <w:tcPr>
            <w:tcW w:w="5387" w:type="dxa"/>
            <w:shd w:val="clear" w:color="auto" w:fill="auto"/>
          </w:tcPr>
          <w:p w:rsidR="00933B65" w:rsidRPr="009D328D" w:rsidRDefault="00933B65" w:rsidP="009D328D">
            <w:pPr>
              <w:jc w:val="both"/>
              <w:rPr>
                <w:rFonts w:ascii="Book Antiqua" w:hAnsi="Book Antiqua" w:cs="Arial"/>
                <w:b/>
              </w:rPr>
            </w:pPr>
          </w:p>
        </w:tc>
        <w:tc>
          <w:tcPr>
            <w:tcW w:w="4977" w:type="dxa"/>
            <w:shd w:val="clear" w:color="auto" w:fill="auto"/>
          </w:tcPr>
          <w:p w:rsidR="00933B65" w:rsidRPr="009D328D" w:rsidRDefault="00933B65" w:rsidP="009D328D">
            <w:pPr>
              <w:jc w:val="both"/>
              <w:rPr>
                <w:rFonts w:ascii="Book Antiqua" w:hAnsi="Book Antiqua" w:cs="Arial"/>
                <w:b/>
              </w:rPr>
            </w:pPr>
          </w:p>
        </w:tc>
      </w:tr>
      <w:tr w:rsidR="00933B65" w:rsidRPr="009D328D" w:rsidTr="00D64561">
        <w:trPr>
          <w:trHeight w:val="306"/>
        </w:trPr>
        <w:tc>
          <w:tcPr>
            <w:tcW w:w="5387" w:type="dxa"/>
            <w:shd w:val="clear" w:color="auto" w:fill="auto"/>
          </w:tcPr>
          <w:p w:rsidR="00933B65" w:rsidRPr="009D328D" w:rsidRDefault="00933B65" w:rsidP="009D328D">
            <w:pPr>
              <w:jc w:val="both"/>
              <w:rPr>
                <w:rFonts w:ascii="Book Antiqua" w:hAnsi="Book Antiqua" w:cs="Arial"/>
                <w:b/>
              </w:rPr>
            </w:pPr>
          </w:p>
        </w:tc>
        <w:tc>
          <w:tcPr>
            <w:tcW w:w="4977" w:type="dxa"/>
            <w:shd w:val="clear" w:color="auto" w:fill="auto"/>
          </w:tcPr>
          <w:p w:rsidR="00933B65" w:rsidRPr="009D328D" w:rsidRDefault="00933B65" w:rsidP="009D328D">
            <w:pPr>
              <w:jc w:val="both"/>
              <w:rPr>
                <w:rFonts w:ascii="Book Antiqua" w:hAnsi="Book Antiqua" w:cs="Arial"/>
                <w:b/>
              </w:rPr>
            </w:pPr>
          </w:p>
        </w:tc>
      </w:tr>
    </w:tbl>
    <w:p w:rsidR="00AC5C04" w:rsidRDefault="00AC5C04"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025F0F" w:rsidP="00933B65">
      <w:pPr>
        <w:jc w:val="center"/>
        <w:rPr>
          <w:rFonts w:ascii="Book Antiqua" w:hAnsi="Book Antiqua" w:cs="Arial"/>
          <w:b/>
          <w:color w:val="000000"/>
        </w:rPr>
      </w:pPr>
      <w:r>
        <w:rPr>
          <w:rFonts w:ascii="Book Antiqua" w:hAnsi="Book Antiqua" w:cs="Arial"/>
          <w:b/>
          <w:color w:val="000000"/>
        </w:rPr>
        <w:t>UPPER TRIBUNAL JUDGE CONWAY</w:t>
      </w:r>
    </w:p>
    <w:p w:rsidR="00933B65" w:rsidRPr="00F97703" w:rsidRDefault="00933B6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Default="003F6C7F" w:rsidP="00933B65">
      <w:pPr>
        <w:jc w:val="center"/>
        <w:rPr>
          <w:rFonts w:ascii="Book Antiqua" w:hAnsi="Book Antiqua" w:cs="Arial"/>
          <w:b/>
        </w:rPr>
      </w:pPr>
      <w:r>
        <w:rPr>
          <w:rFonts w:ascii="Book Antiqua" w:hAnsi="Book Antiqua" w:cs="Arial"/>
          <w:b/>
        </w:rPr>
        <w:t>ZS</w:t>
      </w:r>
    </w:p>
    <w:p w:rsidR="003F6C7F" w:rsidRPr="00D64561" w:rsidRDefault="003F6C7F" w:rsidP="00933B65">
      <w:pPr>
        <w:jc w:val="center"/>
        <w:rPr>
          <w:rFonts w:ascii="Book Antiqua" w:hAnsi="Book Antiqua" w:cs="Arial"/>
        </w:rPr>
      </w:pPr>
      <w:r w:rsidRPr="00D64561">
        <w:rPr>
          <w:rFonts w:ascii="Book Antiqua" w:hAnsi="Book Antiqua" w:cs="Arial"/>
        </w:rPr>
        <w:t>(ANONYMITY ORDER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680A32" w:rsidRDefault="00680A32" w:rsidP="00933B65">
      <w:pPr>
        <w:jc w:val="center"/>
        <w:rPr>
          <w:rFonts w:ascii="Book Antiqua" w:hAnsi="Book Antiqua" w:cs="Arial"/>
          <w:b/>
        </w:rPr>
      </w:pPr>
      <w:r>
        <w:rPr>
          <w:rFonts w:ascii="Book Antiqua" w:hAnsi="Book Antiqua" w:cs="Arial"/>
          <w:b/>
        </w:rPr>
        <w:t>SECRETARY OF STATE FOR THE HOME DEPARTMENT</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rPr>
          <w:rFonts w:ascii="Book Antiqua" w:hAnsi="Book Antiqua" w:cs="Arial"/>
        </w:rPr>
      </w:pP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3F6C7F">
        <w:rPr>
          <w:rFonts w:ascii="Book Antiqua" w:hAnsi="Book Antiqua" w:cs="Arial"/>
        </w:rPr>
        <w:t>Mr Bartram</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601191">
        <w:rPr>
          <w:rFonts w:ascii="Book Antiqua" w:hAnsi="Book Antiqua" w:cs="Arial"/>
        </w:rPr>
        <w:t>Ms Willocks-Briscoe</w:t>
      </w:r>
    </w:p>
    <w:p w:rsidR="00933B65" w:rsidRDefault="00933B65" w:rsidP="00933B65">
      <w:pPr>
        <w:tabs>
          <w:tab w:val="left" w:pos="2520"/>
        </w:tabs>
        <w:jc w:val="center"/>
        <w:rPr>
          <w:rFonts w:ascii="Book Antiqua" w:hAnsi="Book Antiqua" w:cs="Arial"/>
        </w:rPr>
      </w:pPr>
    </w:p>
    <w:p w:rsidR="00AC5C04" w:rsidRPr="00F97703" w:rsidRDefault="00AC5C04" w:rsidP="00933B65">
      <w:pPr>
        <w:tabs>
          <w:tab w:val="left" w:pos="2520"/>
        </w:tabs>
        <w:jc w:val="center"/>
        <w:rPr>
          <w:rFonts w:ascii="Book Antiqua" w:hAnsi="Book Antiqua" w:cs="Arial"/>
        </w:rPr>
      </w:pPr>
    </w:p>
    <w:p w:rsidR="00933B65" w:rsidRPr="00F97703" w:rsidRDefault="002F3BEB"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ind w:left="540" w:hanging="540"/>
        <w:jc w:val="both"/>
        <w:rPr>
          <w:rFonts w:ascii="Book Antiqua" w:hAnsi="Book Antiqua" w:cs="Arial"/>
        </w:rPr>
      </w:pPr>
      <w:r>
        <w:rPr>
          <w:rFonts w:ascii="Book Antiqua" w:hAnsi="Book Antiqua" w:cs="Arial"/>
        </w:rPr>
        <w:t xml:space="preserve">        </w:t>
      </w:r>
    </w:p>
    <w:p w:rsidR="00BB6B2E" w:rsidRPr="00BB6B2E" w:rsidRDefault="008A34D6" w:rsidP="00BB6B2E">
      <w:pPr>
        <w:numPr>
          <w:ilvl w:val="0"/>
          <w:numId w:val="3"/>
        </w:numPr>
        <w:ind w:left="709" w:hanging="567"/>
        <w:jc w:val="both"/>
        <w:rPr>
          <w:rFonts w:ascii="Book Antiqua" w:hAnsi="Book Antiqua" w:cs="Arial"/>
        </w:rPr>
      </w:pPr>
      <w:r>
        <w:rPr>
          <w:rFonts w:ascii="Book Antiqua" w:hAnsi="Book Antiqua" w:cs="Arial"/>
        </w:rPr>
        <w:t>The appellant is a citizen of Uganda born in 1980.  He</w:t>
      </w:r>
      <w:r w:rsidR="00BA6440">
        <w:rPr>
          <w:rFonts w:ascii="Book Antiqua" w:hAnsi="Book Antiqua" w:cs="Arial"/>
        </w:rPr>
        <w:t xml:space="preserve"> appeals </w:t>
      </w:r>
      <w:r w:rsidR="00C67EFD">
        <w:rPr>
          <w:rFonts w:ascii="Book Antiqua" w:hAnsi="Book Antiqua" w:cs="Arial"/>
        </w:rPr>
        <w:t>against a decision made by the R</w:t>
      </w:r>
      <w:r w:rsidR="00BA6440">
        <w:rPr>
          <w:rFonts w:ascii="Book Antiqua" w:hAnsi="Book Antiqua" w:cs="Arial"/>
        </w:rPr>
        <w:t>espondent o</w:t>
      </w:r>
      <w:r w:rsidR="00F5730A">
        <w:rPr>
          <w:rFonts w:ascii="Book Antiqua" w:hAnsi="Book Antiqua" w:cs="Arial"/>
        </w:rPr>
        <w:t>n 25 November 2013 to refuse him leave to remain</w:t>
      </w:r>
      <w:r w:rsidR="00BA6440">
        <w:rPr>
          <w:rFonts w:ascii="Book Antiqua" w:hAnsi="Book Antiqua" w:cs="Arial"/>
        </w:rPr>
        <w:t>.</w:t>
      </w:r>
    </w:p>
    <w:p w:rsidR="00BA6440" w:rsidRDefault="00BA6440" w:rsidP="00BA6440">
      <w:pPr>
        <w:jc w:val="both"/>
        <w:rPr>
          <w:rFonts w:ascii="Book Antiqua" w:hAnsi="Book Antiqua" w:cs="Arial"/>
        </w:rPr>
      </w:pPr>
    </w:p>
    <w:p w:rsidR="002B2AFE" w:rsidRDefault="002B2AFE" w:rsidP="002B2AFE">
      <w:pPr>
        <w:numPr>
          <w:ilvl w:val="0"/>
          <w:numId w:val="3"/>
        </w:numPr>
        <w:ind w:left="709" w:hanging="567"/>
        <w:jc w:val="both"/>
        <w:rPr>
          <w:rFonts w:ascii="Book Antiqua" w:hAnsi="Book Antiqua" w:cs="Arial"/>
        </w:rPr>
      </w:pPr>
      <w:r>
        <w:rPr>
          <w:rFonts w:ascii="Book Antiqua" w:hAnsi="Book Antiqua" w:cs="Arial"/>
        </w:rPr>
        <w:t>The history is that he claims to have entered the UK in July 2009 with entry clearance as a visitor.  He applied for a residence permit as the family member of a Swedish national in May 2011 which was refused in September 2011.  He applied for leave to remain on 2 November 2012 as the partner of PM (‘the partner’) which was refused on 27 November 2013.  His appeal was dismissed on 7 August 2014 but the Upper Tribunal allowed his appeal on 5 November 2014 and remitted the case to be re-heard.</w:t>
      </w:r>
    </w:p>
    <w:p w:rsidR="00BB6B2E" w:rsidRDefault="00BB6B2E" w:rsidP="00BB6B2E">
      <w:pPr>
        <w:pStyle w:val="ListParagraph"/>
        <w:rPr>
          <w:rFonts w:ascii="Book Antiqua" w:hAnsi="Book Antiqua" w:cs="Arial"/>
        </w:rPr>
      </w:pPr>
    </w:p>
    <w:p w:rsidR="00D64561" w:rsidRDefault="00D64561" w:rsidP="00BB6B2E">
      <w:pPr>
        <w:ind w:left="709"/>
        <w:jc w:val="both"/>
        <w:rPr>
          <w:rFonts w:ascii="Book Antiqua" w:hAnsi="Book Antiqua" w:cs="Arial"/>
          <w:b/>
        </w:rPr>
      </w:pPr>
    </w:p>
    <w:p w:rsidR="00BB6B2E" w:rsidRPr="00BB6B2E" w:rsidRDefault="00BB6B2E" w:rsidP="00BB6B2E">
      <w:pPr>
        <w:ind w:left="709"/>
        <w:jc w:val="both"/>
        <w:rPr>
          <w:rFonts w:ascii="Book Antiqua" w:hAnsi="Book Antiqua" w:cs="Arial"/>
          <w:b/>
        </w:rPr>
      </w:pPr>
      <w:r w:rsidRPr="00BB6B2E">
        <w:rPr>
          <w:rFonts w:ascii="Book Antiqua" w:hAnsi="Book Antiqua" w:cs="Arial"/>
          <w:b/>
        </w:rPr>
        <w:lastRenderedPageBreak/>
        <w:t>First tier hearing</w:t>
      </w:r>
    </w:p>
    <w:p w:rsidR="00B10800" w:rsidRDefault="00B10800" w:rsidP="00B10800">
      <w:pPr>
        <w:pStyle w:val="ListParagraph"/>
        <w:rPr>
          <w:rFonts w:ascii="Book Antiqua" w:hAnsi="Book Antiqua" w:cs="Arial"/>
        </w:rPr>
      </w:pPr>
    </w:p>
    <w:p w:rsidR="00B10800" w:rsidRDefault="00B10800" w:rsidP="002B2AFE">
      <w:pPr>
        <w:numPr>
          <w:ilvl w:val="0"/>
          <w:numId w:val="3"/>
        </w:numPr>
        <w:ind w:left="709" w:hanging="567"/>
        <w:jc w:val="both"/>
        <w:rPr>
          <w:rFonts w:ascii="Book Antiqua" w:hAnsi="Book Antiqua" w:cs="Arial"/>
        </w:rPr>
      </w:pPr>
      <w:r>
        <w:rPr>
          <w:rFonts w:ascii="Book Antiqua" w:hAnsi="Book Antiqua" w:cs="Arial"/>
        </w:rPr>
        <w:t>Following the rehearing at Hatton Cross on 30 November 2016 Judge of the First-tier NJ Bennett dismissed the appeal.</w:t>
      </w:r>
    </w:p>
    <w:p w:rsidR="00B10800" w:rsidRDefault="00B10800" w:rsidP="00B10800">
      <w:pPr>
        <w:pStyle w:val="ListParagraph"/>
        <w:rPr>
          <w:rFonts w:ascii="Book Antiqua" w:hAnsi="Book Antiqua" w:cs="Arial"/>
        </w:rPr>
      </w:pPr>
    </w:p>
    <w:p w:rsidR="00B10800" w:rsidRDefault="00B10800" w:rsidP="002B2AFE">
      <w:pPr>
        <w:numPr>
          <w:ilvl w:val="0"/>
          <w:numId w:val="3"/>
        </w:numPr>
        <w:ind w:left="709" w:hanging="567"/>
        <w:jc w:val="both"/>
        <w:rPr>
          <w:rFonts w:ascii="Book Antiqua" w:hAnsi="Book Antiqua" w:cs="Arial"/>
        </w:rPr>
      </w:pPr>
      <w:r>
        <w:rPr>
          <w:rFonts w:ascii="Book Antiqua" w:hAnsi="Book Antiqua" w:cs="Arial"/>
        </w:rPr>
        <w:t>The family situation is as follows: the appellant and the partner</w:t>
      </w:r>
      <w:r w:rsidR="00274590">
        <w:rPr>
          <w:rFonts w:ascii="Book Antiqua" w:hAnsi="Book Antiqua" w:cs="Arial"/>
        </w:rPr>
        <w:t>, a Ugandan citizen,</w:t>
      </w:r>
      <w:r>
        <w:rPr>
          <w:rFonts w:ascii="Book Antiqua" w:hAnsi="Book Antiqua" w:cs="Arial"/>
        </w:rPr>
        <w:t xml:space="preserve"> have one child (RRS) (‘the son’) who is a Ugandan citizen and was born in 2013.  The partner</w:t>
      </w:r>
      <w:r w:rsidR="00674BC9">
        <w:rPr>
          <w:rFonts w:ascii="Book Antiqua" w:hAnsi="Book Antiqua" w:cs="Arial"/>
        </w:rPr>
        <w:t xml:space="preserve"> (PM)</w:t>
      </w:r>
      <w:r>
        <w:rPr>
          <w:rFonts w:ascii="Book Antiqua" w:hAnsi="Book Antiqua" w:cs="Arial"/>
        </w:rPr>
        <w:t xml:space="preserve"> has one other child (RM) (‘the elder child’) who is a British citizen born in March 2011.  The partner and the son have been granted leave to remain until March 2019.</w:t>
      </w:r>
    </w:p>
    <w:p w:rsidR="00B10800" w:rsidRDefault="00B10800" w:rsidP="00B10800">
      <w:pPr>
        <w:pStyle w:val="ListParagraph"/>
        <w:rPr>
          <w:rFonts w:ascii="Book Antiqua" w:hAnsi="Book Antiqua" w:cs="Arial"/>
        </w:rPr>
      </w:pPr>
    </w:p>
    <w:p w:rsidR="00B10800" w:rsidRDefault="00B10800" w:rsidP="002B2AFE">
      <w:pPr>
        <w:numPr>
          <w:ilvl w:val="0"/>
          <w:numId w:val="3"/>
        </w:numPr>
        <w:ind w:left="709" w:hanging="567"/>
        <w:jc w:val="both"/>
        <w:rPr>
          <w:rFonts w:ascii="Book Antiqua" w:hAnsi="Book Antiqua" w:cs="Arial"/>
        </w:rPr>
      </w:pPr>
      <w:r>
        <w:rPr>
          <w:rFonts w:ascii="Book Antiqua" w:hAnsi="Book Antiqua" w:cs="Arial"/>
        </w:rPr>
        <w:t>The reasons for refusal were in summary: it was not accepted that the appellant was the partner’s partner for the purpose of Appendix FM because he was not her fiancé, was not married to her, and did not live with her in a relationship akin to marriage; the appellant did not meet the eligibility requirements for leave to remain as a partner in any event because the partner was not a British citizen, was not settled here and she has not been granted leave as a refugee or humanitarian protection.  The appellant did not qualify for leave to remain as the parent of the elder child because he did not have parental responsibility for t</w:t>
      </w:r>
      <w:r w:rsidR="00C67EFD">
        <w:rPr>
          <w:rFonts w:ascii="Book Antiqua" w:hAnsi="Book Antiqua" w:cs="Arial"/>
        </w:rPr>
        <w:t>he elder child.  Consequently, s</w:t>
      </w:r>
      <w:r>
        <w:rPr>
          <w:rFonts w:ascii="Book Antiqua" w:hAnsi="Book Antiqua" w:cs="Arial"/>
        </w:rPr>
        <w:t>ection EX1.1 did not apply and the appellant could not claim to have established a family life i</w:t>
      </w:r>
      <w:r w:rsidR="00274590">
        <w:rPr>
          <w:rFonts w:ascii="Book Antiqua" w:hAnsi="Book Antiqua" w:cs="Arial"/>
        </w:rPr>
        <w:t>n the UK within the meaning of a</w:t>
      </w:r>
      <w:r>
        <w:rPr>
          <w:rFonts w:ascii="Book Antiqua" w:hAnsi="Book Antiqua" w:cs="Arial"/>
        </w:rPr>
        <w:t>rticle 8.  It was also not accepted that she met the requirements of paragraph 276ADE of the Rules.</w:t>
      </w:r>
    </w:p>
    <w:p w:rsidR="00B10800" w:rsidRDefault="00B10800" w:rsidP="00B10800">
      <w:pPr>
        <w:pStyle w:val="ListParagraph"/>
        <w:rPr>
          <w:rFonts w:ascii="Book Antiqua" w:hAnsi="Book Antiqua" w:cs="Arial"/>
        </w:rPr>
      </w:pPr>
    </w:p>
    <w:p w:rsidR="00B10800" w:rsidRDefault="00B10800" w:rsidP="002B2AFE">
      <w:pPr>
        <w:numPr>
          <w:ilvl w:val="0"/>
          <w:numId w:val="3"/>
        </w:numPr>
        <w:ind w:left="709" w:hanging="567"/>
        <w:jc w:val="both"/>
        <w:rPr>
          <w:rFonts w:ascii="Book Antiqua" w:hAnsi="Book Antiqua" w:cs="Arial"/>
        </w:rPr>
      </w:pPr>
      <w:r>
        <w:rPr>
          <w:rFonts w:ascii="Book Antiqua" w:hAnsi="Book Antiqua" w:cs="Arial"/>
        </w:rPr>
        <w:t xml:space="preserve">The appellant and the partner gave </w:t>
      </w:r>
      <w:r w:rsidR="00DA75F5">
        <w:rPr>
          <w:rFonts w:ascii="Book Antiqua" w:hAnsi="Book Antiqua" w:cs="Arial"/>
        </w:rPr>
        <w:t>evidence.  In submissions on his</w:t>
      </w:r>
      <w:r>
        <w:rPr>
          <w:rFonts w:ascii="Book Antiqua" w:hAnsi="Book Antiqua" w:cs="Arial"/>
        </w:rPr>
        <w:t xml:space="preserve"> behalf it was accep</w:t>
      </w:r>
      <w:r w:rsidR="00DA75F5">
        <w:rPr>
          <w:rFonts w:ascii="Book Antiqua" w:hAnsi="Book Antiqua" w:cs="Arial"/>
        </w:rPr>
        <w:t xml:space="preserve">ted that </w:t>
      </w:r>
      <w:r>
        <w:rPr>
          <w:rFonts w:ascii="Book Antiqua" w:hAnsi="Book Antiqua" w:cs="Arial"/>
        </w:rPr>
        <w:t>he could not succeed under the Immigration Rules.  The crux was that the decision would split the family.  It was clear that the appellant and the partner had a genuine and subsisting relationship.  It would be unreasonable to expect the elder child, a British citizen, to go to Uganda.</w:t>
      </w:r>
    </w:p>
    <w:p w:rsidR="00B10800" w:rsidRDefault="00B10800" w:rsidP="00B10800">
      <w:pPr>
        <w:pStyle w:val="ListParagraph"/>
        <w:rPr>
          <w:rFonts w:ascii="Book Antiqua" w:hAnsi="Book Antiqua" w:cs="Arial"/>
        </w:rPr>
      </w:pPr>
    </w:p>
    <w:p w:rsidR="00B10800" w:rsidRDefault="00BB6B2E" w:rsidP="002B2AFE">
      <w:pPr>
        <w:numPr>
          <w:ilvl w:val="0"/>
          <w:numId w:val="3"/>
        </w:numPr>
        <w:ind w:left="709" w:hanging="567"/>
        <w:jc w:val="both"/>
        <w:rPr>
          <w:rFonts w:ascii="Book Antiqua" w:hAnsi="Book Antiqua" w:cs="Arial"/>
        </w:rPr>
      </w:pPr>
      <w:r>
        <w:rPr>
          <w:rFonts w:ascii="Book Antiqua" w:hAnsi="Book Antiqua" w:cs="Arial"/>
        </w:rPr>
        <w:t>The j</w:t>
      </w:r>
      <w:r w:rsidR="00B10800">
        <w:rPr>
          <w:rFonts w:ascii="Book Antiqua" w:hAnsi="Book Antiqua" w:cs="Arial"/>
        </w:rPr>
        <w:t>udge’s reasons are at paragraph 31ff.</w:t>
      </w:r>
    </w:p>
    <w:p w:rsidR="00B10800" w:rsidRDefault="00B10800" w:rsidP="00B10800">
      <w:pPr>
        <w:pStyle w:val="ListParagraph"/>
        <w:rPr>
          <w:rFonts w:ascii="Book Antiqua" w:hAnsi="Book Antiqua" w:cs="Arial"/>
        </w:rPr>
      </w:pPr>
    </w:p>
    <w:p w:rsidR="00624187" w:rsidRDefault="00B10800" w:rsidP="002B2AFE">
      <w:pPr>
        <w:numPr>
          <w:ilvl w:val="0"/>
          <w:numId w:val="3"/>
        </w:numPr>
        <w:ind w:left="709" w:hanging="567"/>
        <w:jc w:val="both"/>
        <w:rPr>
          <w:rFonts w:ascii="Book Antiqua" w:hAnsi="Book Antiqua" w:cs="Arial"/>
        </w:rPr>
      </w:pPr>
      <w:r w:rsidRPr="00624187">
        <w:rPr>
          <w:rFonts w:ascii="Book Antiqua" w:hAnsi="Book Antiqua" w:cs="Arial"/>
        </w:rPr>
        <w:t>He found, as had been accepted, that the appellant could not succeed under the Rules either on the partner route or under paragraph 276ADE(1)(vi)</w:t>
      </w:r>
      <w:r w:rsidR="00C67EFD">
        <w:rPr>
          <w:rFonts w:ascii="Book Antiqua" w:hAnsi="Book Antiqua" w:cs="Arial"/>
        </w:rPr>
        <w:t xml:space="preserve"> (at </w:t>
      </w:r>
      <w:r w:rsidRPr="00624187">
        <w:rPr>
          <w:rFonts w:ascii="Book Antiqua" w:hAnsi="Book Antiqua" w:cs="Arial"/>
        </w:rPr>
        <w:t>[31]</w:t>
      </w:r>
      <w:r w:rsidR="00C67EFD">
        <w:rPr>
          <w:rFonts w:ascii="Book Antiqua" w:hAnsi="Book Antiqua" w:cs="Arial"/>
        </w:rPr>
        <w:t>)</w:t>
      </w:r>
      <w:r w:rsidRPr="00624187">
        <w:rPr>
          <w:rFonts w:ascii="Book Antiqua" w:hAnsi="Book Antiqua" w:cs="Arial"/>
        </w:rPr>
        <w:t>.</w:t>
      </w:r>
    </w:p>
    <w:p w:rsidR="00624187" w:rsidRDefault="00624187" w:rsidP="00624187">
      <w:pPr>
        <w:pStyle w:val="ListParagraph"/>
        <w:rPr>
          <w:rFonts w:ascii="Book Antiqua" w:hAnsi="Book Antiqua" w:cs="Arial"/>
        </w:rPr>
      </w:pPr>
    </w:p>
    <w:p w:rsidR="00624187" w:rsidRDefault="00624187" w:rsidP="002B2AFE">
      <w:pPr>
        <w:numPr>
          <w:ilvl w:val="0"/>
          <w:numId w:val="3"/>
        </w:numPr>
        <w:ind w:left="709" w:hanging="567"/>
        <w:jc w:val="both"/>
        <w:rPr>
          <w:rFonts w:ascii="Book Antiqua" w:hAnsi="Book Antiqua" w:cs="Arial"/>
        </w:rPr>
      </w:pPr>
      <w:r>
        <w:rPr>
          <w:rFonts w:ascii="Book Antiqua" w:hAnsi="Book Antiqua" w:cs="Arial"/>
        </w:rPr>
        <w:t>Going</w:t>
      </w:r>
      <w:r w:rsidR="00C67EFD">
        <w:rPr>
          <w:rFonts w:ascii="Book Antiqua" w:hAnsi="Book Antiqua" w:cs="Arial"/>
        </w:rPr>
        <w:t xml:space="preserve"> on to consider the case under a</w:t>
      </w:r>
      <w:r>
        <w:rPr>
          <w:rFonts w:ascii="Book Antiqua" w:hAnsi="Book Antiqua" w:cs="Arial"/>
        </w:rPr>
        <w:t>rticle 8 outside the Rules he found that the appellant had established family life with the partner and the two children [32].</w:t>
      </w:r>
    </w:p>
    <w:p w:rsidR="00624187" w:rsidRDefault="00624187" w:rsidP="00624187">
      <w:pPr>
        <w:pStyle w:val="ListParagraph"/>
        <w:rPr>
          <w:rFonts w:ascii="Book Antiqua" w:hAnsi="Book Antiqua" w:cs="Arial"/>
        </w:rPr>
      </w:pPr>
    </w:p>
    <w:p w:rsidR="00624187" w:rsidRDefault="00624187" w:rsidP="002B2AFE">
      <w:pPr>
        <w:numPr>
          <w:ilvl w:val="0"/>
          <w:numId w:val="3"/>
        </w:numPr>
        <w:ind w:left="709" w:hanging="567"/>
        <w:jc w:val="both"/>
        <w:rPr>
          <w:rFonts w:ascii="Book Antiqua" w:hAnsi="Book Antiqua" w:cs="Arial"/>
        </w:rPr>
      </w:pPr>
      <w:r>
        <w:rPr>
          <w:rFonts w:ascii="Book Antiqua" w:hAnsi="Book Antiqua" w:cs="Arial"/>
        </w:rPr>
        <w:t>Advancing to proportionality he said that the effect of the decision is that the partner has a choice between staying here with the children and taking the children to Uganda with the appellant [36].</w:t>
      </w:r>
    </w:p>
    <w:p w:rsidR="00624187" w:rsidRDefault="00624187" w:rsidP="00624187">
      <w:pPr>
        <w:pStyle w:val="ListParagraph"/>
        <w:rPr>
          <w:rFonts w:ascii="Book Antiqua" w:hAnsi="Book Antiqua" w:cs="Arial"/>
        </w:rPr>
      </w:pPr>
    </w:p>
    <w:p w:rsidR="00624187" w:rsidRPr="00C67EFD" w:rsidRDefault="00BB6B2E" w:rsidP="002B2AFE">
      <w:pPr>
        <w:numPr>
          <w:ilvl w:val="0"/>
          <w:numId w:val="3"/>
        </w:numPr>
        <w:ind w:left="709" w:hanging="567"/>
        <w:jc w:val="both"/>
        <w:rPr>
          <w:rFonts w:ascii="Book Antiqua" w:hAnsi="Book Antiqua" w:cs="Arial"/>
          <w:i/>
        </w:rPr>
      </w:pPr>
      <w:r>
        <w:rPr>
          <w:rFonts w:ascii="Book Antiqua" w:hAnsi="Book Antiqua" w:cs="Arial"/>
        </w:rPr>
        <w:t>He did not accept that s</w:t>
      </w:r>
      <w:r w:rsidR="00624187">
        <w:rPr>
          <w:rFonts w:ascii="Book Antiqua" w:hAnsi="Book Antiqua" w:cs="Arial"/>
        </w:rPr>
        <w:t>ection 117</w:t>
      </w:r>
      <w:proofErr w:type="gramStart"/>
      <w:r w:rsidR="00624187">
        <w:rPr>
          <w:rFonts w:ascii="Book Antiqua" w:hAnsi="Book Antiqua" w:cs="Arial"/>
        </w:rPr>
        <w:t>B(</w:t>
      </w:r>
      <w:proofErr w:type="gramEnd"/>
      <w:r w:rsidR="00624187">
        <w:rPr>
          <w:rFonts w:ascii="Book Antiqua" w:hAnsi="Book Antiqua" w:cs="Arial"/>
        </w:rPr>
        <w:t>6) of the Nationality, Immigration and Asylum Act 2002 applies to the appellant’s relationship with the elder child “</w:t>
      </w:r>
      <w:r w:rsidR="00624187" w:rsidRPr="00C67EFD">
        <w:rPr>
          <w:rFonts w:ascii="Book Antiqua" w:hAnsi="Book Antiqua" w:cs="Arial"/>
          <w:i/>
        </w:rPr>
        <w:t>because the appellant cannot have a parental relationship as they are not related as parent and</w:t>
      </w:r>
      <w:r w:rsidR="00624187">
        <w:rPr>
          <w:rFonts w:ascii="Book Antiqua" w:hAnsi="Book Antiqua" w:cs="Arial"/>
        </w:rPr>
        <w:t xml:space="preserve"> </w:t>
      </w:r>
      <w:r w:rsidR="00624187" w:rsidRPr="00C67EFD">
        <w:rPr>
          <w:rFonts w:ascii="Book Antiqua" w:hAnsi="Book Antiqua" w:cs="Arial"/>
          <w:i/>
        </w:rPr>
        <w:t>child</w:t>
      </w:r>
      <w:r w:rsidR="00624187">
        <w:rPr>
          <w:rFonts w:ascii="Book Antiqua" w:hAnsi="Book Antiqua" w:cs="Arial"/>
        </w:rPr>
        <w:t xml:space="preserve">, </w:t>
      </w:r>
      <w:r w:rsidR="00624187" w:rsidRPr="00C67EFD">
        <w:rPr>
          <w:rFonts w:ascii="Book Antiqua" w:hAnsi="Book Antiqua" w:cs="Arial"/>
          <w:i/>
        </w:rPr>
        <w:t>whether by blood or by adoption</w:t>
      </w:r>
      <w:r w:rsidR="00624187">
        <w:rPr>
          <w:rFonts w:ascii="Book Antiqua" w:hAnsi="Book Antiqua" w:cs="Arial"/>
        </w:rPr>
        <w:t>”</w:t>
      </w:r>
      <w:r w:rsidR="00674BC9">
        <w:rPr>
          <w:rFonts w:ascii="Book Antiqua" w:hAnsi="Book Antiqua" w:cs="Arial"/>
        </w:rPr>
        <w:t>,</w:t>
      </w:r>
      <w:r w:rsidR="00624187">
        <w:rPr>
          <w:rFonts w:ascii="Book Antiqua" w:hAnsi="Book Antiqua" w:cs="Arial"/>
        </w:rPr>
        <w:t xml:space="preserve"> adding that “</w:t>
      </w:r>
      <w:r w:rsidR="00624187" w:rsidRPr="00C67EFD">
        <w:rPr>
          <w:rFonts w:ascii="Book Antiqua" w:hAnsi="Book Antiqua" w:cs="Arial"/>
          <w:i/>
        </w:rPr>
        <w:t>the  appellant is not even the elder child’s step-father because he is not married to the partner.”</w:t>
      </w:r>
      <w:r w:rsidR="008A7DAF">
        <w:rPr>
          <w:rFonts w:ascii="Book Antiqua" w:hAnsi="Book Antiqua" w:cs="Arial"/>
          <w:i/>
        </w:rPr>
        <w:t xml:space="preserve"> </w:t>
      </w:r>
      <w:r w:rsidR="008A7DAF" w:rsidRPr="008A7DAF">
        <w:rPr>
          <w:rFonts w:ascii="Book Antiqua" w:hAnsi="Book Antiqua" w:cs="Arial"/>
        </w:rPr>
        <w:t>[37]</w:t>
      </w:r>
    </w:p>
    <w:p w:rsidR="00624187" w:rsidRDefault="00624187" w:rsidP="00624187">
      <w:pPr>
        <w:pStyle w:val="ListParagraph"/>
        <w:rPr>
          <w:rFonts w:ascii="Book Antiqua" w:hAnsi="Book Antiqua" w:cs="Arial"/>
        </w:rPr>
      </w:pPr>
    </w:p>
    <w:p w:rsidR="00624187" w:rsidRDefault="00624187" w:rsidP="002B2AFE">
      <w:pPr>
        <w:numPr>
          <w:ilvl w:val="0"/>
          <w:numId w:val="3"/>
        </w:numPr>
        <w:ind w:left="709" w:hanging="567"/>
        <w:jc w:val="both"/>
        <w:rPr>
          <w:rFonts w:ascii="Book Antiqua" w:hAnsi="Book Antiqua" w:cs="Arial"/>
        </w:rPr>
      </w:pPr>
      <w:r>
        <w:rPr>
          <w:rFonts w:ascii="Book Antiqua" w:hAnsi="Book Antiqua" w:cs="Arial"/>
        </w:rPr>
        <w:lastRenderedPageBreak/>
        <w:t>Going on to consider the best interests of the children, he found that for the son these were to be brought up by both</w:t>
      </w:r>
      <w:r w:rsidR="00674BC9">
        <w:rPr>
          <w:rFonts w:ascii="Book Antiqua" w:hAnsi="Book Antiqua" w:cs="Arial"/>
        </w:rPr>
        <w:t xml:space="preserve"> parents and for the elder child</w:t>
      </w:r>
      <w:r>
        <w:rPr>
          <w:rFonts w:ascii="Book Antiqua" w:hAnsi="Book Antiqua" w:cs="Arial"/>
        </w:rPr>
        <w:t xml:space="preserve"> that he be brought up with the partner, his half-br</w:t>
      </w:r>
      <w:r w:rsidR="00674BC9">
        <w:rPr>
          <w:rFonts w:ascii="Book Antiqua" w:hAnsi="Book Antiqua" w:cs="Arial"/>
        </w:rPr>
        <w:t xml:space="preserve">other and a father figure.  It </w:t>
      </w:r>
      <w:r>
        <w:rPr>
          <w:rFonts w:ascii="Book Antiqua" w:hAnsi="Book Antiqua" w:cs="Arial"/>
        </w:rPr>
        <w:t>may be that their best interests would be best served by being brought up in the UK.  However, the reality included that the appellant has no right to remain here, the partner and the son only have discretionary leave to remain and that there is a public interest in maintaining effective immigration control [40].</w:t>
      </w:r>
    </w:p>
    <w:p w:rsidR="00624187" w:rsidRDefault="00624187" w:rsidP="00624187">
      <w:pPr>
        <w:pStyle w:val="ListParagraph"/>
        <w:rPr>
          <w:rFonts w:ascii="Book Antiqua" w:hAnsi="Book Antiqua" w:cs="Arial"/>
        </w:rPr>
      </w:pPr>
    </w:p>
    <w:p w:rsidR="00B10800" w:rsidRDefault="00624187" w:rsidP="002B2AFE">
      <w:pPr>
        <w:numPr>
          <w:ilvl w:val="0"/>
          <w:numId w:val="3"/>
        </w:numPr>
        <w:ind w:left="709" w:hanging="567"/>
        <w:jc w:val="both"/>
        <w:rPr>
          <w:rFonts w:ascii="Book Antiqua" w:hAnsi="Book Antiqua" w:cs="Arial"/>
        </w:rPr>
      </w:pPr>
      <w:r>
        <w:rPr>
          <w:rFonts w:ascii="Book Antiqua" w:hAnsi="Book Antiqua" w:cs="Arial"/>
        </w:rPr>
        <w:t xml:space="preserve">In further considering the children’s situation he noted that both had lived in this country </w:t>
      </w:r>
      <w:r w:rsidR="00674BC9">
        <w:rPr>
          <w:rFonts w:ascii="Book Antiqua" w:hAnsi="Book Antiqua" w:cs="Arial"/>
        </w:rPr>
        <w:t>all their lives, the elder child</w:t>
      </w:r>
      <w:r>
        <w:rPr>
          <w:rFonts w:ascii="Book Antiqua" w:hAnsi="Book Antiqua" w:cs="Arial"/>
        </w:rPr>
        <w:t xml:space="preserve"> having</w:t>
      </w:r>
      <w:r w:rsidR="00392E2C">
        <w:rPr>
          <w:rFonts w:ascii="Book Antiqua" w:hAnsi="Book Antiqua" w:cs="Arial"/>
        </w:rPr>
        <w:t xml:space="preserve"> only visited Uganda once, br</w:t>
      </w:r>
      <w:r w:rsidR="00674BC9">
        <w:rPr>
          <w:rFonts w:ascii="Book Antiqua" w:hAnsi="Book Antiqua" w:cs="Arial"/>
        </w:rPr>
        <w:t>iefly.  However, the elder child</w:t>
      </w:r>
      <w:r w:rsidR="00392E2C">
        <w:rPr>
          <w:rFonts w:ascii="Book Antiqua" w:hAnsi="Book Antiqua" w:cs="Arial"/>
        </w:rPr>
        <w:t>, approaching six</w:t>
      </w:r>
      <w:r w:rsidR="00674BC9">
        <w:rPr>
          <w:rFonts w:ascii="Book Antiqua" w:hAnsi="Book Antiqua" w:cs="Arial"/>
        </w:rPr>
        <w:t xml:space="preserve"> years of age</w:t>
      </w:r>
      <w:r w:rsidR="00392E2C">
        <w:rPr>
          <w:rFonts w:ascii="Book Antiqua" w:hAnsi="Book Antiqua" w:cs="Arial"/>
        </w:rPr>
        <w:t xml:space="preserve">, is at the beginning of his education.  Also, they are both of Ugandan heritage and there was no reason to believe they would have any language difficulties in </w:t>
      </w:r>
      <w:r w:rsidR="00674BC9">
        <w:rPr>
          <w:rFonts w:ascii="Book Antiqua" w:hAnsi="Book Antiqua" w:cs="Arial"/>
        </w:rPr>
        <w:t>adapting to life there.  Nor were</w:t>
      </w:r>
      <w:r w:rsidR="00392E2C">
        <w:rPr>
          <w:rFonts w:ascii="Book Antiqua" w:hAnsi="Book Antiqua" w:cs="Arial"/>
        </w:rPr>
        <w:t xml:space="preserve"> there any medical issues.  There was no reason why the appellant and her partner would not be able to support them, nor would they be</w:t>
      </w:r>
      <w:r w:rsidR="008A7DAF">
        <w:rPr>
          <w:rFonts w:ascii="Book Antiqua" w:hAnsi="Book Antiqua" w:cs="Arial"/>
        </w:rPr>
        <w:t xml:space="preserve"> deprived of a proper education [41,42]</w:t>
      </w:r>
    </w:p>
    <w:p w:rsidR="00392E2C" w:rsidRDefault="00392E2C" w:rsidP="00392E2C">
      <w:pPr>
        <w:pStyle w:val="ListParagraph"/>
        <w:rPr>
          <w:rFonts w:ascii="Book Antiqua" w:hAnsi="Book Antiqua" w:cs="Arial"/>
        </w:rPr>
      </w:pPr>
    </w:p>
    <w:p w:rsidR="00392E2C" w:rsidRDefault="00392E2C" w:rsidP="002B2AFE">
      <w:pPr>
        <w:numPr>
          <w:ilvl w:val="0"/>
          <w:numId w:val="3"/>
        </w:numPr>
        <w:ind w:left="709" w:hanging="567"/>
        <w:jc w:val="both"/>
        <w:rPr>
          <w:rFonts w:ascii="Book Antiqua" w:hAnsi="Book Antiqua" w:cs="Arial"/>
        </w:rPr>
      </w:pPr>
      <w:proofErr w:type="gramStart"/>
      <w:r>
        <w:rPr>
          <w:rFonts w:ascii="Book Antiqua" w:hAnsi="Book Antiqua" w:cs="Arial"/>
        </w:rPr>
        <w:t>Give</w:t>
      </w:r>
      <w:r w:rsidR="008A5EA5">
        <w:rPr>
          <w:rFonts w:ascii="Book Antiqua" w:hAnsi="Book Antiqua" w:cs="Arial"/>
        </w:rPr>
        <w:t>n further consideration to</w:t>
      </w:r>
      <w:proofErr w:type="gramEnd"/>
      <w:r w:rsidR="008A5EA5">
        <w:rPr>
          <w:rFonts w:ascii="Book Antiqua" w:hAnsi="Book Antiqua" w:cs="Arial"/>
        </w:rPr>
        <w:t xml:space="preserve"> the e</w:t>
      </w:r>
      <w:r w:rsidR="00C67EFD">
        <w:rPr>
          <w:rFonts w:ascii="Book Antiqua" w:hAnsi="Book Antiqua" w:cs="Arial"/>
        </w:rPr>
        <w:t>lder British citizen child the j</w:t>
      </w:r>
      <w:r>
        <w:rPr>
          <w:rFonts w:ascii="Book Antiqua" w:hAnsi="Book Antiqua" w:cs="Arial"/>
        </w:rPr>
        <w:t>udge found that he has yet to start his schooling and, having limited contact with his father by phone, suc</w:t>
      </w:r>
      <w:r w:rsidR="008A7DAF">
        <w:rPr>
          <w:rFonts w:ascii="Book Antiqua" w:hAnsi="Book Antiqua" w:cs="Arial"/>
        </w:rPr>
        <w:t>h could continue from Uganda [45</w:t>
      </w:r>
      <w:r>
        <w:rPr>
          <w:rFonts w:ascii="Book Antiqua" w:hAnsi="Book Antiqua" w:cs="Arial"/>
        </w:rPr>
        <w:t>].  Having British citizenship is not a trump card.  He would likely be educated in English and could gain the benefits of Ugandan citizen</w:t>
      </w:r>
      <w:r w:rsidR="007936FD">
        <w:rPr>
          <w:rFonts w:ascii="Book Antiqua" w:hAnsi="Book Antiqua" w:cs="Arial"/>
        </w:rPr>
        <w:t>ship</w:t>
      </w:r>
      <w:r>
        <w:rPr>
          <w:rFonts w:ascii="Book Antiqua" w:hAnsi="Book Antiqua" w:cs="Arial"/>
        </w:rPr>
        <w:t xml:space="preserve"> through the partner.</w:t>
      </w:r>
    </w:p>
    <w:p w:rsidR="00392E2C" w:rsidRDefault="00392E2C" w:rsidP="00392E2C">
      <w:pPr>
        <w:pStyle w:val="ListParagraph"/>
        <w:rPr>
          <w:rFonts w:ascii="Book Antiqua" w:hAnsi="Book Antiqua" w:cs="Arial"/>
        </w:rPr>
      </w:pPr>
    </w:p>
    <w:p w:rsidR="00392E2C" w:rsidRDefault="00392E2C" w:rsidP="002B2AFE">
      <w:pPr>
        <w:numPr>
          <w:ilvl w:val="0"/>
          <w:numId w:val="3"/>
        </w:numPr>
        <w:ind w:left="709" w:hanging="567"/>
        <w:jc w:val="both"/>
        <w:rPr>
          <w:rFonts w:ascii="Book Antiqua" w:hAnsi="Book Antiqua" w:cs="Arial"/>
        </w:rPr>
      </w:pPr>
      <w:r>
        <w:rPr>
          <w:rFonts w:ascii="Book Antiqua" w:hAnsi="Book Antiqua" w:cs="Arial"/>
        </w:rPr>
        <w:t>He concluded in respect of best interests</w:t>
      </w:r>
      <w:r w:rsidR="00E35D85">
        <w:rPr>
          <w:rFonts w:ascii="Book Antiqua" w:hAnsi="Book Antiqua" w:cs="Arial"/>
        </w:rPr>
        <w:t xml:space="preserve"> that </w:t>
      </w:r>
      <w:r>
        <w:rPr>
          <w:rFonts w:ascii="Book Antiqua" w:hAnsi="Book Antiqua" w:cs="Arial"/>
        </w:rPr>
        <w:t>whilst they would be for both children to remain here such was not so strong as to make it unreasonable to expect them to go to Uganda with the appellant and the partner.</w:t>
      </w:r>
    </w:p>
    <w:p w:rsidR="00392E2C" w:rsidRDefault="00392E2C" w:rsidP="00392E2C">
      <w:pPr>
        <w:pStyle w:val="ListParagraph"/>
        <w:rPr>
          <w:rFonts w:ascii="Book Antiqua" w:hAnsi="Book Antiqua" w:cs="Arial"/>
        </w:rPr>
      </w:pPr>
    </w:p>
    <w:p w:rsidR="00392E2C" w:rsidRDefault="00BB6B2E" w:rsidP="002B2AFE">
      <w:pPr>
        <w:numPr>
          <w:ilvl w:val="0"/>
          <w:numId w:val="3"/>
        </w:numPr>
        <w:ind w:left="709" w:hanging="567"/>
        <w:jc w:val="both"/>
        <w:rPr>
          <w:rFonts w:ascii="Book Antiqua" w:hAnsi="Book Antiqua" w:cs="Arial"/>
        </w:rPr>
      </w:pPr>
      <w:r>
        <w:rPr>
          <w:rFonts w:ascii="Book Antiqua" w:hAnsi="Book Antiqua" w:cs="Arial"/>
        </w:rPr>
        <w:t>The j</w:t>
      </w:r>
      <w:r w:rsidR="00392E2C">
        <w:rPr>
          <w:rFonts w:ascii="Book Antiqua" w:hAnsi="Book Antiqua" w:cs="Arial"/>
        </w:rPr>
        <w:t xml:space="preserve">udge ended by </w:t>
      </w:r>
      <w:proofErr w:type="gramStart"/>
      <w:r w:rsidR="00392E2C">
        <w:rPr>
          <w:rFonts w:ascii="Book Antiqua" w:hAnsi="Book Antiqua" w:cs="Arial"/>
        </w:rPr>
        <w:t>giving further consideration to</w:t>
      </w:r>
      <w:proofErr w:type="gramEnd"/>
      <w:r w:rsidR="00392E2C">
        <w:rPr>
          <w:rFonts w:ascii="Book Antiqua" w:hAnsi="Book Antiqua" w:cs="Arial"/>
        </w:rPr>
        <w:t xml:space="preserve"> the partner’s interests.  She is well placed to readapt to life there, young enough to build a private life there and to resume old connections.  She can keep in touch with contacts in the UK.  Any private life established in the UK has little weight as she was here precariously [49].  Finally, in respect of the appellant he too had established private life while here illegally or precariously.  He, too, could continue activities including with an AIDS charity in Uganda and he too could keep in touch with contacts here by modern means of communication.</w:t>
      </w:r>
    </w:p>
    <w:p w:rsidR="00BB6B2E" w:rsidRDefault="00BB6B2E" w:rsidP="00BB6B2E">
      <w:pPr>
        <w:pStyle w:val="ListParagraph"/>
        <w:rPr>
          <w:rFonts w:ascii="Book Antiqua" w:hAnsi="Book Antiqua" w:cs="Arial"/>
        </w:rPr>
      </w:pPr>
    </w:p>
    <w:p w:rsidR="00BB6B2E" w:rsidRPr="00BB6B2E" w:rsidRDefault="00BB6B2E" w:rsidP="00BB6B2E">
      <w:pPr>
        <w:ind w:left="709"/>
        <w:jc w:val="both"/>
        <w:rPr>
          <w:rFonts w:ascii="Book Antiqua" w:hAnsi="Book Antiqua" w:cs="Arial"/>
          <w:b/>
        </w:rPr>
      </w:pPr>
      <w:r w:rsidRPr="00BB6B2E">
        <w:rPr>
          <w:rFonts w:ascii="Book Antiqua" w:hAnsi="Book Antiqua" w:cs="Arial"/>
          <w:b/>
        </w:rPr>
        <w:t>Error of law hearing</w:t>
      </w:r>
    </w:p>
    <w:p w:rsidR="00392E2C" w:rsidRDefault="00392E2C" w:rsidP="00392E2C">
      <w:pPr>
        <w:pStyle w:val="ListParagraph"/>
        <w:rPr>
          <w:rFonts w:ascii="Book Antiqua" w:hAnsi="Book Antiqua" w:cs="Arial"/>
        </w:rPr>
      </w:pPr>
    </w:p>
    <w:p w:rsidR="00310818" w:rsidRDefault="00392E2C" w:rsidP="002B2AFE">
      <w:pPr>
        <w:numPr>
          <w:ilvl w:val="0"/>
          <w:numId w:val="3"/>
        </w:numPr>
        <w:ind w:left="709" w:hanging="567"/>
        <w:jc w:val="both"/>
        <w:rPr>
          <w:rFonts w:ascii="Book Antiqua" w:hAnsi="Book Antiqua" w:cs="Arial"/>
        </w:rPr>
      </w:pPr>
      <w:r>
        <w:rPr>
          <w:rFonts w:ascii="Book Antiqua" w:hAnsi="Book Antiqua" w:cs="Arial"/>
        </w:rPr>
        <w:t>The appellant sought permission to appeal which was refused.  However,</w:t>
      </w:r>
      <w:r w:rsidR="00310818">
        <w:rPr>
          <w:rFonts w:ascii="Book Antiqua" w:hAnsi="Book Antiqua" w:cs="Arial"/>
        </w:rPr>
        <w:t xml:space="preserve"> on renewed application to the Upper Tribunal permission was granted on 20 September 2017.</w:t>
      </w:r>
    </w:p>
    <w:p w:rsidR="00310818" w:rsidRDefault="00310818" w:rsidP="00310818">
      <w:pPr>
        <w:pStyle w:val="ListParagraph"/>
        <w:rPr>
          <w:rFonts w:ascii="Book Antiqua" w:hAnsi="Book Antiqua" w:cs="Arial"/>
        </w:rPr>
      </w:pPr>
    </w:p>
    <w:p w:rsidR="00C62330" w:rsidRDefault="00310818" w:rsidP="002B2AFE">
      <w:pPr>
        <w:numPr>
          <w:ilvl w:val="0"/>
          <w:numId w:val="3"/>
        </w:numPr>
        <w:ind w:left="709" w:hanging="567"/>
        <w:jc w:val="both"/>
        <w:rPr>
          <w:rFonts w:ascii="Book Antiqua" w:hAnsi="Book Antiqua" w:cs="Arial"/>
        </w:rPr>
      </w:pPr>
      <w:r>
        <w:rPr>
          <w:rFonts w:ascii="Book Antiqua" w:hAnsi="Book Antiqua" w:cs="Arial"/>
        </w:rPr>
        <w:t>At the error of law hearing before m</w:t>
      </w:r>
      <w:r w:rsidR="00BB6B2E">
        <w:rPr>
          <w:rFonts w:ascii="Book Antiqua" w:hAnsi="Book Antiqua" w:cs="Arial"/>
        </w:rPr>
        <w:t>e Mr Bartram accepted that the j</w:t>
      </w:r>
      <w:r w:rsidR="003A6BCA">
        <w:rPr>
          <w:rFonts w:ascii="Book Antiqua" w:hAnsi="Book Antiqua" w:cs="Arial"/>
        </w:rPr>
        <w:t>udge had given careful thought to</w:t>
      </w:r>
      <w:r>
        <w:rPr>
          <w:rFonts w:ascii="Book Antiqua" w:hAnsi="Book Antiqua" w:cs="Arial"/>
        </w:rPr>
        <w:t xml:space="preserve"> his decision.  Howev</w:t>
      </w:r>
      <w:r w:rsidR="009B32D8">
        <w:rPr>
          <w:rFonts w:ascii="Book Antiqua" w:hAnsi="Book Antiqua" w:cs="Arial"/>
        </w:rPr>
        <w:t>er, there were</w:t>
      </w:r>
      <w:r>
        <w:rPr>
          <w:rFonts w:ascii="Book Antiqua" w:hAnsi="Book Antiqua" w:cs="Arial"/>
        </w:rPr>
        <w:t xml:space="preserve"> errors.  The </w:t>
      </w:r>
      <w:r w:rsidR="00BB6B2E">
        <w:rPr>
          <w:rFonts w:ascii="Book Antiqua" w:hAnsi="Book Antiqua" w:cs="Arial"/>
        </w:rPr>
        <w:t>major one was that the j</w:t>
      </w:r>
      <w:r>
        <w:rPr>
          <w:rFonts w:ascii="Book Antiqua" w:hAnsi="Book Antiqua" w:cs="Arial"/>
        </w:rPr>
        <w:t xml:space="preserve">udge failed to </w:t>
      </w:r>
      <w:proofErr w:type="gramStart"/>
      <w:r>
        <w:rPr>
          <w:rFonts w:ascii="Book Antiqua" w:hAnsi="Book Antiqua" w:cs="Arial"/>
        </w:rPr>
        <w:t>giv</w:t>
      </w:r>
      <w:r w:rsidR="00C67EFD">
        <w:rPr>
          <w:rFonts w:ascii="Book Antiqua" w:hAnsi="Book Antiqua" w:cs="Arial"/>
        </w:rPr>
        <w:t>e appropriate consideration to</w:t>
      </w:r>
      <w:proofErr w:type="gramEnd"/>
      <w:r w:rsidR="00C67EFD">
        <w:rPr>
          <w:rFonts w:ascii="Book Antiqua" w:hAnsi="Book Antiqua" w:cs="Arial"/>
        </w:rPr>
        <w:t xml:space="preserve"> s</w:t>
      </w:r>
      <w:r>
        <w:rPr>
          <w:rFonts w:ascii="Book Antiqua" w:hAnsi="Book Antiqua" w:cs="Arial"/>
        </w:rPr>
        <w:t>ection 117(6), in particular in respect of the parental relationship between the appellant and the elder child.  His finding that being</w:t>
      </w:r>
      <w:r w:rsidR="001F4510">
        <w:rPr>
          <w:rFonts w:ascii="Book Antiqua" w:hAnsi="Book Antiqua" w:cs="Arial"/>
        </w:rPr>
        <w:t xml:space="preserve"> not related there could be no</w:t>
      </w:r>
      <w:r>
        <w:rPr>
          <w:rFonts w:ascii="Book Antiqua" w:hAnsi="Book Antiqua" w:cs="Arial"/>
        </w:rPr>
        <w:t xml:space="preserve"> such</w:t>
      </w:r>
      <w:r w:rsidR="001F4510">
        <w:rPr>
          <w:rFonts w:ascii="Book Antiqua" w:hAnsi="Book Antiqua" w:cs="Arial"/>
        </w:rPr>
        <w:t xml:space="preserve"> relationship</w:t>
      </w:r>
      <w:r>
        <w:rPr>
          <w:rFonts w:ascii="Book Antiqua" w:hAnsi="Book Antiqua" w:cs="Arial"/>
        </w:rPr>
        <w:t xml:space="preserve"> was wrong.</w:t>
      </w:r>
    </w:p>
    <w:p w:rsidR="00C62330" w:rsidRDefault="00C62330" w:rsidP="00C62330">
      <w:pPr>
        <w:pStyle w:val="ListParagraph"/>
        <w:rPr>
          <w:rFonts w:ascii="Book Antiqua" w:hAnsi="Book Antiqua" w:cs="Arial"/>
        </w:rPr>
      </w:pPr>
    </w:p>
    <w:p w:rsidR="00C62330" w:rsidRDefault="00C62330" w:rsidP="002B2AFE">
      <w:pPr>
        <w:numPr>
          <w:ilvl w:val="0"/>
          <w:numId w:val="3"/>
        </w:numPr>
        <w:ind w:left="709" w:hanging="567"/>
        <w:jc w:val="both"/>
        <w:rPr>
          <w:rFonts w:ascii="Book Antiqua" w:hAnsi="Book Antiqua" w:cs="Arial"/>
        </w:rPr>
      </w:pPr>
      <w:r>
        <w:rPr>
          <w:rFonts w:ascii="Book Antiqua" w:hAnsi="Book Antiqua" w:cs="Arial"/>
        </w:rPr>
        <w:t>Mr Nath’s submission was that the decision showed detailed analysis with much on the children’s best in</w:t>
      </w:r>
      <w:r w:rsidR="00C67EFD">
        <w:rPr>
          <w:rFonts w:ascii="Book Antiqua" w:hAnsi="Book Antiqua" w:cs="Arial"/>
        </w:rPr>
        <w:t xml:space="preserve">terests.  He </w:t>
      </w:r>
      <w:proofErr w:type="gramStart"/>
      <w:r w:rsidR="00C67EFD">
        <w:rPr>
          <w:rFonts w:ascii="Book Antiqua" w:hAnsi="Book Antiqua" w:cs="Arial"/>
        </w:rPr>
        <w:t>made reference</w:t>
      </w:r>
      <w:proofErr w:type="gramEnd"/>
      <w:r w:rsidR="00C67EFD">
        <w:rPr>
          <w:rFonts w:ascii="Book Antiqua" w:hAnsi="Book Antiqua" w:cs="Arial"/>
        </w:rPr>
        <w:t xml:space="preserve"> to s</w:t>
      </w:r>
      <w:r>
        <w:rPr>
          <w:rFonts w:ascii="Book Antiqua" w:hAnsi="Book Antiqua" w:cs="Arial"/>
        </w:rPr>
        <w:t>ection 117B (6).  Having done so he weighed up the public interest.  Looked at overall his findings were open to him.</w:t>
      </w:r>
    </w:p>
    <w:p w:rsidR="00BB6B2E" w:rsidRPr="00BB6B2E" w:rsidRDefault="00BB6B2E" w:rsidP="00BB6B2E">
      <w:pPr>
        <w:pStyle w:val="ListParagraph"/>
        <w:rPr>
          <w:rFonts w:ascii="Book Antiqua" w:hAnsi="Book Antiqua" w:cs="Arial"/>
          <w:b/>
        </w:rPr>
      </w:pPr>
    </w:p>
    <w:p w:rsidR="00BB6B2E" w:rsidRPr="00BB6B2E" w:rsidRDefault="00BB6B2E" w:rsidP="00BB6B2E">
      <w:pPr>
        <w:ind w:left="709"/>
        <w:jc w:val="both"/>
        <w:rPr>
          <w:rFonts w:ascii="Book Antiqua" w:hAnsi="Book Antiqua" w:cs="Arial"/>
          <w:b/>
        </w:rPr>
      </w:pPr>
      <w:r>
        <w:rPr>
          <w:rFonts w:ascii="Book Antiqua" w:hAnsi="Book Antiqua" w:cs="Arial"/>
          <w:b/>
        </w:rPr>
        <w:t>Decision on</w:t>
      </w:r>
      <w:r w:rsidRPr="00BB6B2E">
        <w:rPr>
          <w:rFonts w:ascii="Book Antiqua" w:hAnsi="Book Antiqua" w:cs="Arial"/>
          <w:b/>
        </w:rPr>
        <w:t xml:space="preserve"> error of law</w:t>
      </w:r>
    </w:p>
    <w:p w:rsidR="00C62330" w:rsidRDefault="00C62330" w:rsidP="00C62330">
      <w:pPr>
        <w:pStyle w:val="ListParagraph"/>
        <w:rPr>
          <w:rFonts w:ascii="Book Antiqua" w:hAnsi="Book Antiqua" w:cs="Arial"/>
        </w:rPr>
      </w:pPr>
    </w:p>
    <w:p w:rsidR="00C62330" w:rsidRDefault="00C62330" w:rsidP="002B2AFE">
      <w:pPr>
        <w:numPr>
          <w:ilvl w:val="0"/>
          <w:numId w:val="3"/>
        </w:numPr>
        <w:ind w:left="709" w:hanging="567"/>
        <w:jc w:val="both"/>
        <w:rPr>
          <w:rFonts w:ascii="Book Antiqua" w:hAnsi="Book Antiqua" w:cs="Arial"/>
        </w:rPr>
      </w:pPr>
      <w:r>
        <w:rPr>
          <w:rFonts w:ascii="Book Antiqua" w:hAnsi="Book Antiqua" w:cs="Arial"/>
        </w:rPr>
        <w:t>In considering this matter as b</w:t>
      </w:r>
      <w:r w:rsidR="00BB6B2E">
        <w:rPr>
          <w:rFonts w:ascii="Book Antiqua" w:hAnsi="Book Antiqua" w:cs="Arial"/>
        </w:rPr>
        <w:t>oth representatives stated the j</w:t>
      </w:r>
      <w:r>
        <w:rPr>
          <w:rFonts w:ascii="Book Antiqua" w:hAnsi="Book Antiqua" w:cs="Arial"/>
        </w:rPr>
        <w:t xml:space="preserve">udge showed full and careful analysis in his detailed findings, </w:t>
      </w:r>
      <w:proofErr w:type="gramStart"/>
      <w:r>
        <w:rPr>
          <w:rFonts w:ascii="Book Antiqua" w:hAnsi="Book Antiqua" w:cs="Arial"/>
        </w:rPr>
        <w:t>in particular in</w:t>
      </w:r>
      <w:proofErr w:type="gramEnd"/>
      <w:r>
        <w:rPr>
          <w:rFonts w:ascii="Book Antiqua" w:hAnsi="Book Antiqua" w:cs="Arial"/>
        </w:rPr>
        <w:t xml:space="preserve"> respect of the children’s best interests.</w:t>
      </w:r>
    </w:p>
    <w:p w:rsidR="00C62330" w:rsidRDefault="00C62330" w:rsidP="00C62330">
      <w:pPr>
        <w:pStyle w:val="ListParagraph"/>
        <w:rPr>
          <w:rFonts w:ascii="Book Antiqua" w:hAnsi="Book Antiqua" w:cs="Arial"/>
        </w:rPr>
      </w:pPr>
    </w:p>
    <w:p w:rsidR="00252175" w:rsidRDefault="00C62330" w:rsidP="002B2AFE">
      <w:pPr>
        <w:numPr>
          <w:ilvl w:val="0"/>
          <w:numId w:val="3"/>
        </w:numPr>
        <w:ind w:left="709" w:hanging="567"/>
        <w:jc w:val="both"/>
        <w:rPr>
          <w:rFonts w:ascii="Book Antiqua" w:hAnsi="Book Antiqua" w:cs="Arial"/>
        </w:rPr>
      </w:pPr>
      <w:r>
        <w:rPr>
          <w:rFonts w:ascii="Book Antiqua" w:hAnsi="Book Antiqua" w:cs="Arial"/>
        </w:rPr>
        <w:t xml:space="preserve"> The reference at [45] to the elder child having yet to start his schooling is inaccurate, the child being aged six.  It is unimportant </w:t>
      </w:r>
      <w:proofErr w:type="gramStart"/>
      <w:r>
        <w:rPr>
          <w:rFonts w:ascii="Book Antiqua" w:hAnsi="Book Antiqua" w:cs="Arial"/>
        </w:rPr>
        <w:t>in light of</w:t>
      </w:r>
      <w:proofErr w:type="gramEnd"/>
      <w:r>
        <w:rPr>
          <w:rFonts w:ascii="Book Antiqua" w:hAnsi="Book Antiqua" w:cs="Arial"/>
        </w:rPr>
        <w:t xml:space="preserve"> the detailed consideration of that child’s best interests.  </w:t>
      </w:r>
    </w:p>
    <w:p w:rsidR="00252175" w:rsidRDefault="00252175" w:rsidP="00252175">
      <w:pPr>
        <w:pStyle w:val="ListParagraph"/>
        <w:rPr>
          <w:rFonts w:ascii="Book Antiqua" w:hAnsi="Book Antiqua" w:cs="Arial"/>
        </w:rPr>
      </w:pPr>
    </w:p>
    <w:p w:rsidR="00780919" w:rsidRPr="00C67EFD" w:rsidRDefault="00780919" w:rsidP="002B2AFE">
      <w:pPr>
        <w:numPr>
          <w:ilvl w:val="0"/>
          <w:numId w:val="3"/>
        </w:numPr>
        <w:ind w:left="709" w:hanging="567"/>
        <w:jc w:val="both"/>
        <w:rPr>
          <w:rFonts w:ascii="Book Antiqua" w:hAnsi="Book Antiqua" w:cs="Arial"/>
          <w:i/>
        </w:rPr>
      </w:pPr>
      <w:r>
        <w:rPr>
          <w:rFonts w:ascii="Book Antiqua" w:hAnsi="Book Antiqua" w:cs="Arial"/>
        </w:rPr>
        <w:t>The one major problem with the</w:t>
      </w:r>
      <w:r w:rsidR="00BB6B2E">
        <w:rPr>
          <w:rFonts w:ascii="Book Antiqua" w:hAnsi="Book Antiqua" w:cs="Arial"/>
        </w:rPr>
        <w:t xml:space="preserve"> decision is at [37] where the j</w:t>
      </w:r>
      <w:r>
        <w:rPr>
          <w:rFonts w:ascii="Book Antiqua" w:hAnsi="Book Antiqua" w:cs="Arial"/>
        </w:rPr>
        <w:t>udge state</w:t>
      </w:r>
      <w:r w:rsidR="00C67EFD">
        <w:rPr>
          <w:rFonts w:ascii="Book Antiqua" w:hAnsi="Book Antiqua" w:cs="Arial"/>
        </w:rPr>
        <w:t>d that he did not accept that s</w:t>
      </w:r>
      <w:r w:rsidR="001F4510">
        <w:rPr>
          <w:rFonts w:ascii="Book Antiqua" w:hAnsi="Book Antiqua" w:cs="Arial"/>
        </w:rPr>
        <w:t>ection 117B of the 2002 Act</w:t>
      </w:r>
      <w:r>
        <w:rPr>
          <w:rFonts w:ascii="Book Antiqua" w:hAnsi="Book Antiqua" w:cs="Arial"/>
        </w:rPr>
        <w:t xml:space="preserve"> applies to the appellant’s relationship with the elder child because “</w:t>
      </w:r>
      <w:r w:rsidRPr="00C67EFD">
        <w:rPr>
          <w:rFonts w:ascii="Book Antiqua" w:hAnsi="Book Antiqua" w:cs="Arial"/>
          <w:i/>
        </w:rPr>
        <w:t>the appellant cannot have a parental relationship as</w:t>
      </w:r>
      <w:r>
        <w:rPr>
          <w:rFonts w:ascii="Book Antiqua" w:hAnsi="Book Antiqua" w:cs="Arial"/>
        </w:rPr>
        <w:t xml:space="preserve"> </w:t>
      </w:r>
      <w:r w:rsidRPr="00C67EFD">
        <w:rPr>
          <w:rFonts w:ascii="Book Antiqua" w:hAnsi="Book Antiqua" w:cs="Arial"/>
          <w:i/>
        </w:rPr>
        <w:t>t</w:t>
      </w:r>
      <w:r w:rsidR="00004E35">
        <w:rPr>
          <w:rFonts w:ascii="Book Antiqua" w:hAnsi="Book Antiqua" w:cs="Arial"/>
          <w:i/>
        </w:rPr>
        <w:t>hey are not related as parent and</w:t>
      </w:r>
      <w:r w:rsidRPr="00C67EFD">
        <w:rPr>
          <w:rFonts w:ascii="Book Antiqua" w:hAnsi="Book Antiqua" w:cs="Arial"/>
          <w:i/>
        </w:rPr>
        <w:t xml:space="preserve"> child whether by blood or by adoption</w:t>
      </w:r>
      <w:r>
        <w:rPr>
          <w:rFonts w:ascii="Book Antiqua" w:hAnsi="Book Antiqua" w:cs="Arial"/>
        </w:rPr>
        <w:t>”.  He went on “</w:t>
      </w:r>
      <w:r w:rsidRPr="00C67EFD">
        <w:rPr>
          <w:rFonts w:ascii="Book Antiqua" w:hAnsi="Book Antiqua" w:cs="Arial"/>
          <w:i/>
        </w:rPr>
        <w:t xml:space="preserve">If parliament had intended that the words </w:t>
      </w:r>
      <w:r w:rsidR="00240EA0" w:rsidRPr="00C67EFD">
        <w:rPr>
          <w:rFonts w:ascii="Book Antiqua" w:hAnsi="Book Antiqua" w:cs="Arial"/>
          <w:i/>
        </w:rPr>
        <w:t>‘</w:t>
      </w:r>
      <w:r w:rsidRPr="00C67EFD">
        <w:rPr>
          <w:rFonts w:ascii="Book Antiqua" w:hAnsi="Book Antiqua" w:cs="Arial"/>
          <w:i/>
        </w:rPr>
        <w:t>parental relationship</w:t>
      </w:r>
      <w:r w:rsidR="00240EA0" w:rsidRPr="00C67EFD">
        <w:rPr>
          <w:rFonts w:ascii="Book Antiqua" w:hAnsi="Book Antiqua" w:cs="Arial"/>
          <w:i/>
        </w:rPr>
        <w:t>’</w:t>
      </w:r>
      <w:r w:rsidRPr="00C67EFD">
        <w:rPr>
          <w:rFonts w:ascii="Book Antiqua" w:hAnsi="Book Antiqua" w:cs="Arial"/>
          <w:i/>
        </w:rPr>
        <w:t xml:space="preserve"> should have a wider meaning; it would have said it.  I would add that the appellant is not even the elder child’s step-father because he is not married to the partner”.</w:t>
      </w:r>
    </w:p>
    <w:p w:rsidR="00780919" w:rsidRDefault="00780919" w:rsidP="00780919">
      <w:pPr>
        <w:pStyle w:val="ListParagraph"/>
        <w:rPr>
          <w:rFonts w:ascii="Book Antiqua" w:hAnsi="Book Antiqua" w:cs="Arial"/>
        </w:rPr>
      </w:pPr>
    </w:p>
    <w:p w:rsidR="00245419" w:rsidRDefault="00780919" w:rsidP="002B2AFE">
      <w:pPr>
        <w:numPr>
          <w:ilvl w:val="0"/>
          <w:numId w:val="3"/>
        </w:numPr>
        <w:ind w:left="709" w:hanging="567"/>
        <w:jc w:val="both"/>
        <w:rPr>
          <w:rFonts w:ascii="Book Antiqua" w:hAnsi="Book Antiqua" w:cs="Arial"/>
        </w:rPr>
      </w:pPr>
      <w:r>
        <w:rPr>
          <w:rFonts w:ascii="Book Antiqua" w:hAnsi="Book Antiqua" w:cs="Arial"/>
        </w:rPr>
        <w:t xml:space="preserve">Unfortunately, this is an incomplete statement of the law.  In </w:t>
      </w:r>
      <w:r w:rsidR="00245419" w:rsidRPr="005D16E3">
        <w:rPr>
          <w:rFonts w:ascii="Book Antiqua" w:hAnsi="Book Antiqua" w:cs="Arial"/>
          <w:b/>
          <w:i/>
          <w:u w:val="single"/>
        </w:rPr>
        <w:t xml:space="preserve">R (on the application of RK) v SSHD </w:t>
      </w:r>
      <w:r w:rsidR="00245419">
        <w:rPr>
          <w:rFonts w:ascii="Book Antiqua" w:hAnsi="Book Antiqua" w:cs="Arial"/>
        </w:rPr>
        <w:t>(S117</w:t>
      </w:r>
      <w:proofErr w:type="gramStart"/>
      <w:r w:rsidR="00245419">
        <w:rPr>
          <w:rFonts w:ascii="Book Antiqua" w:hAnsi="Book Antiqua" w:cs="Arial"/>
        </w:rPr>
        <w:t>B(</w:t>
      </w:r>
      <w:proofErr w:type="gramEnd"/>
      <w:r w:rsidR="00245419">
        <w:rPr>
          <w:rFonts w:ascii="Book Antiqua" w:hAnsi="Book Antiqua" w:cs="Arial"/>
        </w:rPr>
        <w:t>6); ‘parental relationship’) IJR [2016] UKUT31 (IAC) the Upper Tribunal held:-</w:t>
      </w:r>
    </w:p>
    <w:p w:rsidR="00245419" w:rsidRDefault="00245419" w:rsidP="00245419">
      <w:pPr>
        <w:pStyle w:val="ListParagraph"/>
        <w:rPr>
          <w:rFonts w:ascii="Book Antiqua" w:hAnsi="Book Antiqua" w:cs="Arial"/>
        </w:rPr>
      </w:pPr>
    </w:p>
    <w:p w:rsidR="00245419" w:rsidRPr="00C67EFD" w:rsidRDefault="005D16E3" w:rsidP="005D16E3">
      <w:pPr>
        <w:pStyle w:val="ListParagraph"/>
        <w:ind w:left="1440"/>
        <w:rPr>
          <w:rFonts w:ascii="Book Antiqua" w:hAnsi="Book Antiqua" w:cs="Arial"/>
          <w:i/>
        </w:rPr>
      </w:pPr>
      <w:r>
        <w:rPr>
          <w:rFonts w:ascii="Book Antiqua" w:hAnsi="Book Antiqua" w:cs="Arial"/>
        </w:rPr>
        <w:t>“1.</w:t>
      </w:r>
      <w:r>
        <w:rPr>
          <w:rFonts w:ascii="Book Antiqua" w:hAnsi="Book Antiqua" w:cs="Arial"/>
        </w:rPr>
        <w:tab/>
      </w:r>
      <w:r w:rsidR="00245419" w:rsidRPr="00C67EFD">
        <w:rPr>
          <w:rFonts w:ascii="Book Antiqua" w:hAnsi="Book Antiqua" w:cs="Arial"/>
          <w:i/>
        </w:rPr>
        <w:t>It</w:t>
      </w:r>
      <w:r w:rsidRPr="00C67EFD">
        <w:rPr>
          <w:rFonts w:ascii="Book Antiqua" w:hAnsi="Book Antiqua" w:cs="Arial"/>
          <w:i/>
        </w:rPr>
        <w:t xml:space="preserve"> is not neces</w:t>
      </w:r>
      <w:r w:rsidR="00C67EFD" w:rsidRPr="00C67EFD">
        <w:rPr>
          <w:rFonts w:ascii="Book Antiqua" w:hAnsi="Book Antiqua" w:cs="Arial"/>
          <w:i/>
        </w:rPr>
        <w:t>sary for an individual to have ‘parental responsibility’</w:t>
      </w:r>
      <w:r w:rsidRPr="00C67EFD">
        <w:rPr>
          <w:rFonts w:ascii="Book Antiqua" w:hAnsi="Book Antiqua" w:cs="Arial"/>
          <w:i/>
        </w:rPr>
        <w:t xml:space="preserve"> in law for there to exist a parental relationship.</w:t>
      </w:r>
    </w:p>
    <w:p w:rsidR="005D16E3" w:rsidRPr="00C67EFD" w:rsidRDefault="005D16E3" w:rsidP="005D16E3">
      <w:pPr>
        <w:pStyle w:val="ListParagraph"/>
        <w:ind w:left="1440"/>
        <w:rPr>
          <w:rFonts w:ascii="Book Antiqua" w:hAnsi="Book Antiqua" w:cs="Arial"/>
          <w:i/>
        </w:rPr>
      </w:pPr>
    </w:p>
    <w:p w:rsidR="005D16E3" w:rsidRPr="00C67EFD" w:rsidRDefault="005D16E3" w:rsidP="005D16E3">
      <w:pPr>
        <w:pStyle w:val="ListParagraph"/>
        <w:ind w:left="1440"/>
        <w:rPr>
          <w:rFonts w:ascii="Book Antiqua" w:hAnsi="Book Antiqua" w:cs="Arial"/>
          <w:i/>
        </w:rPr>
      </w:pPr>
      <w:r w:rsidRPr="00C67EFD">
        <w:rPr>
          <w:rFonts w:ascii="Book Antiqua" w:hAnsi="Book Antiqua" w:cs="Arial"/>
          <w:i/>
        </w:rPr>
        <w:t>2.</w:t>
      </w:r>
      <w:r w:rsidRPr="00C67EFD">
        <w:rPr>
          <w:rFonts w:ascii="Book Antiqua" w:hAnsi="Book Antiqua" w:cs="Arial"/>
          <w:i/>
        </w:rPr>
        <w:tab/>
        <w:t>Whether a person who is not a biological parent is in a ‘parental relationship’ with a child for the purpose of S117</w:t>
      </w:r>
      <w:proofErr w:type="gramStart"/>
      <w:r w:rsidRPr="00C67EFD">
        <w:rPr>
          <w:rFonts w:ascii="Book Antiqua" w:hAnsi="Book Antiqua" w:cs="Arial"/>
          <w:i/>
        </w:rPr>
        <w:t>B(</w:t>
      </w:r>
      <w:proofErr w:type="gramEnd"/>
      <w:r w:rsidRPr="00C67EFD">
        <w:rPr>
          <w:rFonts w:ascii="Book Antiqua" w:hAnsi="Book Antiqua" w:cs="Arial"/>
          <w:i/>
        </w:rPr>
        <w:t>6) [2002 Act] depends on the individual circumstances and whether the role that individual plays establishes he or she</w:t>
      </w:r>
      <w:r w:rsidR="00554364" w:rsidRPr="00C67EFD">
        <w:rPr>
          <w:rFonts w:ascii="Book Antiqua" w:hAnsi="Book Antiqua" w:cs="Arial"/>
          <w:i/>
        </w:rPr>
        <w:t xml:space="preserve"> </w:t>
      </w:r>
      <w:r w:rsidR="00240EA0" w:rsidRPr="00C67EFD">
        <w:rPr>
          <w:rFonts w:ascii="Book Antiqua" w:hAnsi="Book Antiqua" w:cs="Arial"/>
          <w:i/>
        </w:rPr>
        <w:t>‘</w:t>
      </w:r>
      <w:r w:rsidR="00554364" w:rsidRPr="00C67EFD">
        <w:rPr>
          <w:rFonts w:ascii="Book Antiqua" w:hAnsi="Book Antiqua" w:cs="Arial"/>
          <w:i/>
        </w:rPr>
        <w:t>stepped into the shoes</w:t>
      </w:r>
      <w:r w:rsidR="00240EA0" w:rsidRPr="00C67EFD">
        <w:rPr>
          <w:rFonts w:ascii="Book Antiqua" w:hAnsi="Book Antiqua" w:cs="Arial"/>
          <w:i/>
        </w:rPr>
        <w:t>’</w:t>
      </w:r>
      <w:r w:rsidR="00554364" w:rsidRPr="00C67EFD">
        <w:rPr>
          <w:rFonts w:ascii="Book Antiqua" w:hAnsi="Book Antiqua" w:cs="Arial"/>
          <w:i/>
        </w:rPr>
        <w:t xml:space="preserve"> of a parent …”</w:t>
      </w:r>
    </w:p>
    <w:p w:rsidR="00554364" w:rsidRDefault="00554364" w:rsidP="005D16E3">
      <w:pPr>
        <w:pStyle w:val="ListParagraph"/>
        <w:ind w:left="1440"/>
        <w:rPr>
          <w:rFonts w:ascii="Book Antiqua" w:hAnsi="Book Antiqua" w:cs="Arial"/>
        </w:rPr>
      </w:pPr>
    </w:p>
    <w:p w:rsidR="00554364" w:rsidRDefault="00554364" w:rsidP="005D16E3">
      <w:pPr>
        <w:pStyle w:val="ListParagraph"/>
        <w:ind w:left="1440"/>
        <w:rPr>
          <w:rFonts w:ascii="Book Antiqua" w:hAnsi="Book Antiqua" w:cs="Arial"/>
        </w:rPr>
      </w:pPr>
      <w:r>
        <w:rPr>
          <w:rFonts w:ascii="Book Antiqua" w:hAnsi="Book Antiqua" w:cs="Arial"/>
        </w:rPr>
        <w:t>[headnote]</w:t>
      </w:r>
    </w:p>
    <w:p w:rsidR="00554364" w:rsidRDefault="00554364" w:rsidP="005D16E3">
      <w:pPr>
        <w:pStyle w:val="ListParagraph"/>
        <w:ind w:left="1440"/>
        <w:rPr>
          <w:rFonts w:ascii="Book Antiqua" w:hAnsi="Book Antiqua" w:cs="Arial"/>
        </w:rPr>
      </w:pPr>
    </w:p>
    <w:p w:rsidR="00554364" w:rsidRDefault="00DC016E" w:rsidP="002B2AFE">
      <w:pPr>
        <w:numPr>
          <w:ilvl w:val="0"/>
          <w:numId w:val="3"/>
        </w:numPr>
        <w:ind w:left="709" w:hanging="567"/>
        <w:jc w:val="both"/>
        <w:rPr>
          <w:rFonts w:ascii="Book Antiqua" w:hAnsi="Book Antiqua" w:cs="Arial"/>
        </w:rPr>
      </w:pPr>
      <w:r>
        <w:rPr>
          <w:rFonts w:ascii="Book Antiqua" w:hAnsi="Book Antiqua" w:cs="Arial"/>
        </w:rPr>
        <w:t xml:space="preserve"> Section 117</w:t>
      </w:r>
      <w:proofErr w:type="gramStart"/>
      <w:r>
        <w:rPr>
          <w:rFonts w:ascii="Book Antiqua" w:hAnsi="Book Antiqua" w:cs="Arial"/>
        </w:rPr>
        <w:t>B(</w:t>
      </w:r>
      <w:proofErr w:type="gramEnd"/>
      <w:r>
        <w:rPr>
          <w:rFonts w:ascii="Book Antiqua" w:hAnsi="Book Antiqua" w:cs="Arial"/>
        </w:rPr>
        <w:t>6) reads:</w:t>
      </w:r>
    </w:p>
    <w:p w:rsidR="00FC5541" w:rsidRPr="00C67EFD" w:rsidRDefault="00FC5541" w:rsidP="00FC5541">
      <w:pPr>
        <w:jc w:val="both"/>
        <w:rPr>
          <w:rFonts w:ascii="Book Antiqua" w:hAnsi="Book Antiqua" w:cs="Arial"/>
          <w:i/>
        </w:rPr>
      </w:pPr>
    </w:p>
    <w:p w:rsidR="00FC5541" w:rsidRPr="00C67EFD" w:rsidRDefault="00FC5541" w:rsidP="00FC5541">
      <w:pPr>
        <w:ind w:left="1440"/>
        <w:jc w:val="both"/>
        <w:rPr>
          <w:rFonts w:ascii="Book Antiqua" w:hAnsi="Book Antiqua" w:cs="Arial"/>
          <w:i/>
        </w:rPr>
      </w:pPr>
      <w:r w:rsidRPr="00C67EFD">
        <w:rPr>
          <w:rFonts w:ascii="Book Antiqua" w:hAnsi="Book Antiqua" w:cs="Arial"/>
          <w:i/>
        </w:rPr>
        <w:t>“In the case of a person who is not liable to deportation, the public interest does not require the person’s removal where –</w:t>
      </w:r>
    </w:p>
    <w:p w:rsidR="00DC016E" w:rsidRDefault="00FC5541" w:rsidP="00FC5541">
      <w:pPr>
        <w:numPr>
          <w:ilvl w:val="0"/>
          <w:numId w:val="5"/>
        </w:numPr>
        <w:jc w:val="both"/>
        <w:rPr>
          <w:rFonts w:ascii="Book Antiqua" w:hAnsi="Book Antiqua" w:cs="Arial"/>
          <w:i/>
        </w:rPr>
      </w:pPr>
      <w:r w:rsidRPr="00C67EFD">
        <w:rPr>
          <w:rFonts w:ascii="Book Antiqua" w:hAnsi="Book Antiqua" w:cs="Arial"/>
          <w:i/>
        </w:rPr>
        <w:t>The person has a genuine and subsisting parental relat</w:t>
      </w:r>
      <w:r w:rsidR="00DC016E">
        <w:rPr>
          <w:rFonts w:ascii="Book Antiqua" w:hAnsi="Book Antiqua" w:cs="Arial"/>
          <w:i/>
        </w:rPr>
        <w:t>ionship with a qualifying child, and</w:t>
      </w:r>
    </w:p>
    <w:p w:rsidR="00FC5541" w:rsidRPr="00C67EFD" w:rsidRDefault="00DC016E" w:rsidP="00FC5541">
      <w:pPr>
        <w:numPr>
          <w:ilvl w:val="0"/>
          <w:numId w:val="5"/>
        </w:numPr>
        <w:jc w:val="both"/>
        <w:rPr>
          <w:rFonts w:ascii="Book Antiqua" w:hAnsi="Book Antiqua" w:cs="Arial"/>
          <w:i/>
        </w:rPr>
      </w:pPr>
      <w:r>
        <w:rPr>
          <w:rFonts w:ascii="Book Antiqua" w:hAnsi="Book Antiqua" w:cs="Arial"/>
          <w:i/>
        </w:rPr>
        <w:t xml:space="preserve">It would not be reasonable to expect the child to leave the United Kingdom.” </w:t>
      </w:r>
    </w:p>
    <w:p w:rsidR="00FC5541" w:rsidRDefault="00FC5541" w:rsidP="00FC5541">
      <w:pPr>
        <w:ind w:left="1800"/>
        <w:jc w:val="both"/>
        <w:rPr>
          <w:rFonts w:ascii="Book Antiqua" w:hAnsi="Book Antiqua" w:cs="Arial"/>
        </w:rPr>
      </w:pPr>
    </w:p>
    <w:p w:rsidR="00554364" w:rsidRDefault="00FC5541" w:rsidP="002B2AFE">
      <w:pPr>
        <w:numPr>
          <w:ilvl w:val="0"/>
          <w:numId w:val="3"/>
        </w:numPr>
        <w:ind w:left="709" w:hanging="567"/>
        <w:jc w:val="both"/>
        <w:rPr>
          <w:rFonts w:ascii="Book Antiqua" w:hAnsi="Book Antiqua" w:cs="Arial"/>
        </w:rPr>
      </w:pPr>
      <w:r>
        <w:rPr>
          <w:rFonts w:ascii="Book Antiqua" w:hAnsi="Book Antiqua" w:cs="Arial"/>
        </w:rPr>
        <w:t xml:space="preserve">In </w:t>
      </w:r>
      <w:r w:rsidR="00EC285E">
        <w:rPr>
          <w:rFonts w:ascii="Book Antiqua" w:hAnsi="Book Antiqua" w:cs="Arial"/>
        </w:rPr>
        <w:t>failing to apply the applicable law on this issue the judge erred. It is a material error because in failing correctly to consider section 117</w:t>
      </w:r>
      <w:proofErr w:type="gramStart"/>
      <w:r w:rsidR="00EC285E">
        <w:rPr>
          <w:rFonts w:ascii="Book Antiqua" w:hAnsi="Book Antiqua" w:cs="Arial"/>
        </w:rPr>
        <w:t>B(</w:t>
      </w:r>
      <w:proofErr w:type="gramEnd"/>
      <w:r w:rsidR="00EC285E">
        <w:rPr>
          <w:rFonts w:ascii="Book Antiqua" w:hAnsi="Book Antiqua" w:cs="Arial"/>
        </w:rPr>
        <w:t>6) such must infect the findings in respect of the reasonableness of the British ci</w:t>
      </w:r>
      <w:r w:rsidR="001F4510">
        <w:rPr>
          <w:rFonts w:ascii="Book Antiqua" w:hAnsi="Book Antiqua" w:cs="Arial"/>
        </w:rPr>
        <w:t xml:space="preserve">tizen child moving to </w:t>
      </w:r>
      <w:r w:rsidR="001F4510">
        <w:rPr>
          <w:rFonts w:ascii="Book Antiqua" w:hAnsi="Book Antiqua" w:cs="Arial"/>
        </w:rPr>
        <w:lastRenderedPageBreak/>
        <w:t>Uganda. It was agreed that in</w:t>
      </w:r>
      <w:r w:rsidR="00EC285E">
        <w:rPr>
          <w:rFonts w:ascii="Book Antiqua" w:hAnsi="Book Antiqua" w:cs="Arial"/>
        </w:rPr>
        <w:t xml:space="preserve"> </w:t>
      </w:r>
      <w:r>
        <w:rPr>
          <w:rFonts w:ascii="Book Antiqua" w:hAnsi="Book Antiqua" w:cs="Arial"/>
        </w:rPr>
        <w:t>view of</w:t>
      </w:r>
      <w:r w:rsidR="001F4510">
        <w:rPr>
          <w:rFonts w:ascii="Book Antiqua" w:hAnsi="Book Antiqua" w:cs="Arial"/>
        </w:rPr>
        <w:t xml:space="preserve"> the</w:t>
      </w:r>
      <w:r w:rsidR="00EC285E">
        <w:rPr>
          <w:rFonts w:ascii="Book Antiqua" w:hAnsi="Book Antiqua" w:cs="Arial"/>
        </w:rPr>
        <w:t xml:space="preserve"> error of law a focus</w:t>
      </w:r>
      <w:r>
        <w:rPr>
          <w:rFonts w:ascii="Book Antiqua" w:hAnsi="Book Antiqua" w:cs="Arial"/>
        </w:rPr>
        <w:t>ed analysis on whether there is a parental relationship and if so,</w:t>
      </w:r>
      <w:r w:rsidR="001F4510">
        <w:rPr>
          <w:rFonts w:ascii="Book Antiqua" w:hAnsi="Book Antiqua" w:cs="Arial"/>
        </w:rPr>
        <w:t xml:space="preserve"> it is reasonable to expect the elder</w:t>
      </w:r>
      <w:r>
        <w:rPr>
          <w:rFonts w:ascii="Book Antiqua" w:hAnsi="Book Antiqua" w:cs="Arial"/>
        </w:rPr>
        <w:t xml:space="preserve"> child to leave </w:t>
      </w:r>
      <w:r w:rsidR="00601191">
        <w:rPr>
          <w:rFonts w:ascii="Book Antiqua" w:hAnsi="Book Antiqua" w:cs="Arial"/>
        </w:rPr>
        <w:t>wa</w:t>
      </w:r>
      <w:r>
        <w:rPr>
          <w:rFonts w:ascii="Book Antiqua" w:hAnsi="Book Antiqua" w:cs="Arial"/>
        </w:rPr>
        <w:t xml:space="preserve">s required.  It </w:t>
      </w:r>
      <w:r w:rsidR="00601191">
        <w:rPr>
          <w:rFonts w:ascii="Book Antiqua" w:hAnsi="Book Antiqua" w:cs="Arial"/>
        </w:rPr>
        <w:t>wa</w:t>
      </w:r>
      <w:r>
        <w:rPr>
          <w:rFonts w:ascii="Book Antiqua" w:hAnsi="Book Antiqua" w:cs="Arial"/>
        </w:rPr>
        <w:t xml:space="preserve">s noted that it </w:t>
      </w:r>
      <w:r w:rsidR="00601191">
        <w:rPr>
          <w:rFonts w:ascii="Book Antiqua" w:hAnsi="Book Antiqua" w:cs="Arial"/>
        </w:rPr>
        <w:t>wa</w:t>
      </w:r>
      <w:r>
        <w:rPr>
          <w:rFonts w:ascii="Book Antiqua" w:hAnsi="Book Antiqua" w:cs="Arial"/>
        </w:rPr>
        <w:t>s</w:t>
      </w:r>
      <w:r w:rsidR="00877127">
        <w:rPr>
          <w:rFonts w:ascii="Book Antiqua" w:hAnsi="Book Antiqua" w:cs="Arial"/>
        </w:rPr>
        <w:t xml:space="preserve"> around a year since the First-t</w:t>
      </w:r>
      <w:r>
        <w:rPr>
          <w:rFonts w:ascii="Book Antiqua" w:hAnsi="Book Antiqua" w:cs="Arial"/>
        </w:rPr>
        <w:t xml:space="preserve">ier hearing and that further evidence </w:t>
      </w:r>
      <w:r w:rsidR="00601191">
        <w:rPr>
          <w:rFonts w:ascii="Book Antiqua" w:hAnsi="Book Antiqua" w:cs="Arial"/>
        </w:rPr>
        <w:t>wa</w:t>
      </w:r>
      <w:r>
        <w:rPr>
          <w:rFonts w:ascii="Book Antiqua" w:hAnsi="Book Antiqua" w:cs="Arial"/>
        </w:rPr>
        <w:t>s to be led.</w:t>
      </w:r>
    </w:p>
    <w:p w:rsidR="00FC5541" w:rsidRDefault="00FC5541" w:rsidP="00FC5541">
      <w:pPr>
        <w:jc w:val="both"/>
        <w:rPr>
          <w:rFonts w:ascii="Book Antiqua" w:hAnsi="Book Antiqua" w:cs="Arial"/>
        </w:rPr>
      </w:pPr>
    </w:p>
    <w:p w:rsidR="00FC5541" w:rsidRDefault="001D4C33" w:rsidP="002B2AFE">
      <w:pPr>
        <w:numPr>
          <w:ilvl w:val="0"/>
          <w:numId w:val="3"/>
        </w:numPr>
        <w:ind w:left="709" w:hanging="567"/>
        <w:jc w:val="both"/>
        <w:rPr>
          <w:rFonts w:ascii="Book Antiqua" w:hAnsi="Book Antiqua" w:cs="Arial"/>
        </w:rPr>
      </w:pPr>
      <w:r>
        <w:rPr>
          <w:rFonts w:ascii="Book Antiqua" w:hAnsi="Book Antiqua" w:cs="Arial"/>
        </w:rPr>
        <w:t>The decision of the First-</w:t>
      </w:r>
      <w:r w:rsidR="00877127">
        <w:rPr>
          <w:rFonts w:ascii="Book Antiqua" w:hAnsi="Book Antiqua" w:cs="Arial"/>
        </w:rPr>
        <w:t>t</w:t>
      </w:r>
      <w:r>
        <w:rPr>
          <w:rFonts w:ascii="Book Antiqua" w:hAnsi="Book Antiqua" w:cs="Arial"/>
        </w:rPr>
        <w:t xml:space="preserve">ier Tribunal was set aside and the matter adjourned to a </w:t>
      </w:r>
      <w:r w:rsidR="00A11F18">
        <w:rPr>
          <w:rFonts w:ascii="Book Antiqua" w:hAnsi="Book Antiqua" w:cs="Arial"/>
        </w:rPr>
        <w:t>resumed hearing.</w:t>
      </w:r>
    </w:p>
    <w:p w:rsidR="00BB6B2E" w:rsidRDefault="00BB6B2E" w:rsidP="00BB6B2E">
      <w:pPr>
        <w:pStyle w:val="ListParagraph"/>
        <w:rPr>
          <w:rFonts w:ascii="Book Antiqua" w:hAnsi="Book Antiqua" w:cs="Arial"/>
        </w:rPr>
      </w:pPr>
    </w:p>
    <w:p w:rsidR="00BB6B2E" w:rsidRPr="00BB6B2E" w:rsidRDefault="00BB6B2E" w:rsidP="00BB6B2E">
      <w:pPr>
        <w:ind w:left="709"/>
        <w:jc w:val="both"/>
        <w:rPr>
          <w:rFonts w:ascii="Book Antiqua" w:hAnsi="Book Antiqua" w:cs="Arial"/>
          <w:b/>
        </w:rPr>
      </w:pPr>
      <w:r w:rsidRPr="00BB6B2E">
        <w:rPr>
          <w:rFonts w:ascii="Book Antiqua" w:hAnsi="Book Antiqua" w:cs="Arial"/>
          <w:b/>
        </w:rPr>
        <w:t>Resumed hearing</w:t>
      </w:r>
    </w:p>
    <w:p w:rsidR="00A11F18" w:rsidRDefault="00A11F18" w:rsidP="00A11F18">
      <w:pPr>
        <w:pStyle w:val="ListParagraph"/>
        <w:rPr>
          <w:rFonts w:ascii="Book Antiqua" w:hAnsi="Book Antiqua" w:cs="Arial"/>
        </w:rPr>
      </w:pPr>
    </w:p>
    <w:p w:rsidR="00A11F18" w:rsidRDefault="00A11F18" w:rsidP="002B2AFE">
      <w:pPr>
        <w:numPr>
          <w:ilvl w:val="0"/>
          <w:numId w:val="3"/>
        </w:numPr>
        <w:ind w:left="709" w:hanging="567"/>
        <w:jc w:val="both"/>
        <w:rPr>
          <w:rFonts w:ascii="Book Antiqua" w:hAnsi="Book Antiqua" w:cs="Arial"/>
        </w:rPr>
      </w:pPr>
      <w:proofErr w:type="gramStart"/>
      <w:r>
        <w:rPr>
          <w:rFonts w:ascii="Book Antiqua" w:hAnsi="Book Antiqua" w:cs="Arial"/>
        </w:rPr>
        <w:t>Thus</w:t>
      </w:r>
      <w:proofErr w:type="gramEnd"/>
      <w:r>
        <w:rPr>
          <w:rFonts w:ascii="Book Antiqua" w:hAnsi="Book Antiqua" w:cs="Arial"/>
        </w:rPr>
        <w:t xml:space="preserve"> the case came before me again on 25 April 2018.  An updated bundle was lodged which included witness statements from the appellant and h</w:t>
      </w:r>
      <w:r w:rsidR="001F7EF0">
        <w:rPr>
          <w:rFonts w:ascii="Book Antiqua" w:hAnsi="Book Antiqua" w:cs="Arial"/>
        </w:rPr>
        <w:t>is</w:t>
      </w:r>
      <w:r w:rsidR="009B32D8">
        <w:rPr>
          <w:rFonts w:ascii="Book Antiqua" w:hAnsi="Book Antiqua" w:cs="Arial"/>
        </w:rPr>
        <w:t xml:space="preserve"> partner, who is now his wife.</w:t>
      </w:r>
    </w:p>
    <w:p w:rsidR="00A11F18" w:rsidRDefault="00A11F18" w:rsidP="00A11F18">
      <w:pPr>
        <w:pStyle w:val="ListParagraph"/>
        <w:rPr>
          <w:rFonts w:ascii="Book Antiqua" w:hAnsi="Book Antiqua" w:cs="Arial"/>
        </w:rPr>
      </w:pPr>
    </w:p>
    <w:p w:rsidR="00A11F18" w:rsidRDefault="00A11F18" w:rsidP="002B2AFE">
      <w:pPr>
        <w:numPr>
          <w:ilvl w:val="0"/>
          <w:numId w:val="3"/>
        </w:numPr>
        <w:ind w:left="709" w:hanging="567"/>
        <w:jc w:val="both"/>
        <w:rPr>
          <w:rFonts w:ascii="Book Antiqua" w:hAnsi="Book Antiqua" w:cs="Arial"/>
        </w:rPr>
      </w:pPr>
      <w:r>
        <w:rPr>
          <w:rFonts w:ascii="Book Antiqua" w:hAnsi="Book Antiqua" w:cs="Arial"/>
        </w:rPr>
        <w:t xml:space="preserve">I heard evidence from the appellant.  </w:t>
      </w:r>
      <w:r w:rsidR="001F7EF0">
        <w:rPr>
          <w:rFonts w:ascii="Book Antiqua" w:hAnsi="Book Antiqua" w:cs="Arial"/>
        </w:rPr>
        <w:t>He adopted his</w:t>
      </w:r>
      <w:r>
        <w:rPr>
          <w:rFonts w:ascii="Book Antiqua" w:hAnsi="Book Antiqua" w:cs="Arial"/>
        </w:rPr>
        <w:t xml:space="preserve"> statement (17 April 2018).  In brief cross-examination he said that the aunt who used to support him no longer does so as she is now living in Sweden.  He and his wife continue to get some practical and financial support from friends.  His wife is holding down two jobs.  She earns </w:t>
      </w:r>
      <w:proofErr w:type="gramStart"/>
      <w:r>
        <w:rPr>
          <w:rFonts w:ascii="Book Antiqua" w:hAnsi="Book Antiqua" w:cs="Arial"/>
        </w:rPr>
        <w:t>in excess of</w:t>
      </w:r>
      <w:proofErr w:type="gramEnd"/>
      <w:r>
        <w:rPr>
          <w:rFonts w:ascii="Book Antiqua" w:hAnsi="Book Antiqua" w:cs="Arial"/>
        </w:rPr>
        <w:t xml:space="preserve"> £18,000.</w:t>
      </w:r>
    </w:p>
    <w:p w:rsidR="00A11F18" w:rsidRDefault="00A11F18" w:rsidP="00A11F18">
      <w:pPr>
        <w:pStyle w:val="ListParagraph"/>
        <w:rPr>
          <w:rFonts w:ascii="Book Antiqua" w:hAnsi="Book Antiqua" w:cs="Arial"/>
        </w:rPr>
      </w:pPr>
    </w:p>
    <w:p w:rsidR="00967A5F" w:rsidRDefault="00A11F18" w:rsidP="002B2AFE">
      <w:pPr>
        <w:numPr>
          <w:ilvl w:val="0"/>
          <w:numId w:val="3"/>
        </w:numPr>
        <w:ind w:left="709" w:hanging="567"/>
        <w:jc w:val="both"/>
        <w:rPr>
          <w:rFonts w:ascii="Book Antiqua" w:hAnsi="Book Antiqua" w:cs="Arial"/>
        </w:rPr>
      </w:pPr>
      <w:r>
        <w:rPr>
          <w:rFonts w:ascii="Book Antiqua" w:hAnsi="Book Antiqua" w:cs="Arial"/>
        </w:rPr>
        <w:t xml:space="preserve">He agreed he could use the skills he has acquired in Uganda but said he would prefer to use them here.  Asked about language skills he said both he and his wife speak English and </w:t>
      </w:r>
      <w:proofErr w:type="spellStart"/>
      <w:r>
        <w:rPr>
          <w:rFonts w:ascii="Book Antiqua" w:hAnsi="Book Antiqua" w:cs="Arial"/>
        </w:rPr>
        <w:t>Lugandan</w:t>
      </w:r>
      <w:proofErr w:type="spellEnd"/>
      <w:r>
        <w:rPr>
          <w:rFonts w:ascii="Book Antiqua" w:hAnsi="Book Antiqua" w:cs="Arial"/>
        </w:rPr>
        <w:t>.  The children</w:t>
      </w:r>
      <w:r w:rsidR="00967A5F">
        <w:rPr>
          <w:rFonts w:ascii="Book Antiqua" w:hAnsi="Book Antiqua" w:cs="Arial"/>
        </w:rPr>
        <w:t xml:space="preserve"> have picked up </w:t>
      </w:r>
      <w:proofErr w:type="spellStart"/>
      <w:r w:rsidR="00967A5F">
        <w:rPr>
          <w:rFonts w:ascii="Book Antiqua" w:hAnsi="Book Antiqua" w:cs="Arial"/>
        </w:rPr>
        <w:t>Lugandan</w:t>
      </w:r>
      <w:proofErr w:type="spellEnd"/>
      <w:r w:rsidR="00967A5F">
        <w:rPr>
          <w:rFonts w:ascii="Book Antiqua" w:hAnsi="Book Antiqua" w:cs="Arial"/>
        </w:rPr>
        <w:t xml:space="preserve"> but when spoken to invariably reply in English.</w:t>
      </w:r>
    </w:p>
    <w:p w:rsidR="00967A5F" w:rsidRDefault="00967A5F" w:rsidP="00967A5F">
      <w:pPr>
        <w:pStyle w:val="ListParagraph"/>
        <w:rPr>
          <w:rFonts w:ascii="Book Antiqua" w:hAnsi="Book Antiqua" w:cs="Arial"/>
        </w:rPr>
      </w:pPr>
    </w:p>
    <w:p w:rsidR="00967A5F" w:rsidRDefault="00967A5F" w:rsidP="002B2AFE">
      <w:pPr>
        <w:numPr>
          <w:ilvl w:val="0"/>
          <w:numId w:val="3"/>
        </w:numPr>
        <w:ind w:left="709" w:hanging="567"/>
        <w:jc w:val="both"/>
        <w:rPr>
          <w:rFonts w:ascii="Book Antiqua" w:hAnsi="Book Antiqua" w:cs="Arial"/>
        </w:rPr>
      </w:pPr>
      <w:r>
        <w:rPr>
          <w:rFonts w:ascii="Book Antiqua" w:hAnsi="Book Antiqua" w:cs="Arial"/>
        </w:rPr>
        <w:t>He said the older child continues to receive phone call</w:t>
      </w:r>
      <w:r w:rsidR="001F7EF0">
        <w:rPr>
          <w:rFonts w:ascii="Book Antiqua" w:hAnsi="Book Antiqua" w:cs="Arial"/>
        </w:rPr>
        <w:t>s</w:t>
      </w:r>
      <w:r>
        <w:rPr>
          <w:rFonts w:ascii="Book Antiqua" w:hAnsi="Book Antiqua" w:cs="Arial"/>
        </w:rPr>
        <w:t xml:space="preserve"> from his birth father every month or two.</w:t>
      </w:r>
    </w:p>
    <w:p w:rsidR="00967A5F" w:rsidRDefault="00967A5F" w:rsidP="00967A5F">
      <w:pPr>
        <w:pStyle w:val="ListParagraph"/>
        <w:rPr>
          <w:rFonts w:ascii="Book Antiqua" w:hAnsi="Book Antiqua" w:cs="Arial"/>
        </w:rPr>
      </w:pPr>
    </w:p>
    <w:p w:rsidR="00967A5F" w:rsidRDefault="00C67EFD" w:rsidP="002B2AFE">
      <w:pPr>
        <w:numPr>
          <w:ilvl w:val="0"/>
          <w:numId w:val="3"/>
        </w:numPr>
        <w:ind w:left="709" w:hanging="567"/>
        <w:jc w:val="both"/>
        <w:rPr>
          <w:rFonts w:ascii="Book Antiqua" w:hAnsi="Book Antiqua" w:cs="Arial"/>
        </w:rPr>
      </w:pPr>
      <w:r>
        <w:rPr>
          <w:rFonts w:ascii="Book Antiqua" w:hAnsi="Book Antiqua" w:cs="Arial"/>
        </w:rPr>
        <w:t>His wife</w:t>
      </w:r>
      <w:r w:rsidR="00967A5F">
        <w:rPr>
          <w:rFonts w:ascii="Book Antiqua" w:hAnsi="Book Antiqua" w:cs="Arial"/>
        </w:rPr>
        <w:t xml:space="preserve"> also gave evidence.  She too adopted her statement.  Asked if she would be prepared to go and live in Uganda with her husband she said it would be hard.  She has made her family here.  With young children she would prefer them to grow up here.  Asked if the children speak </w:t>
      </w:r>
      <w:proofErr w:type="spellStart"/>
      <w:r w:rsidR="00967A5F">
        <w:rPr>
          <w:rFonts w:ascii="Book Antiqua" w:hAnsi="Book Antiqua" w:cs="Arial"/>
        </w:rPr>
        <w:t>Lugandan</w:t>
      </w:r>
      <w:proofErr w:type="spellEnd"/>
      <w:r w:rsidR="00967A5F">
        <w:rPr>
          <w:rFonts w:ascii="Book Antiqua" w:hAnsi="Book Antiqua" w:cs="Arial"/>
        </w:rPr>
        <w:t xml:space="preserve"> she said only a few words, nothing substantial.</w:t>
      </w:r>
    </w:p>
    <w:p w:rsidR="00967A5F" w:rsidRDefault="00967A5F" w:rsidP="00967A5F">
      <w:pPr>
        <w:pStyle w:val="ListParagraph"/>
        <w:rPr>
          <w:rFonts w:ascii="Book Antiqua" w:hAnsi="Book Antiqua" w:cs="Arial"/>
        </w:rPr>
      </w:pPr>
    </w:p>
    <w:p w:rsidR="00967A5F" w:rsidRDefault="00967A5F" w:rsidP="002B2AFE">
      <w:pPr>
        <w:numPr>
          <w:ilvl w:val="0"/>
          <w:numId w:val="3"/>
        </w:numPr>
        <w:ind w:left="709" w:hanging="567"/>
        <w:jc w:val="both"/>
        <w:rPr>
          <w:rFonts w:ascii="Book Antiqua" w:hAnsi="Book Antiqua" w:cs="Arial"/>
        </w:rPr>
      </w:pPr>
      <w:r>
        <w:rPr>
          <w:rFonts w:ascii="Book Antiqua" w:hAnsi="Book Antiqua" w:cs="Arial"/>
        </w:rPr>
        <w:t>Asked if they relied on support from family and friends she said they particularly used to rely on an aunt but no longer as she is now in Sweden.  It is not an issue now as she herself is working in health and social care and is able to support the family.</w:t>
      </w:r>
    </w:p>
    <w:p w:rsidR="00967A5F" w:rsidRDefault="00967A5F" w:rsidP="00967A5F">
      <w:pPr>
        <w:pStyle w:val="ListParagraph"/>
        <w:rPr>
          <w:rFonts w:ascii="Book Antiqua" w:hAnsi="Book Antiqua" w:cs="Arial"/>
        </w:rPr>
      </w:pPr>
    </w:p>
    <w:p w:rsidR="00BB6B2E" w:rsidRPr="001F4510" w:rsidRDefault="00967A5F" w:rsidP="001F4510">
      <w:pPr>
        <w:numPr>
          <w:ilvl w:val="0"/>
          <w:numId w:val="3"/>
        </w:numPr>
        <w:ind w:left="709" w:hanging="567"/>
        <w:jc w:val="both"/>
        <w:rPr>
          <w:rFonts w:ascii="Book Antiqua" w:hAnsi="Book Antiqua" w:cs="Arial"/>
        </w:rPr>
      </w:pPr>
      <w:r>
        <w:rPr>
          <w:rFonts w:ascii="Book Antiqua" w:hAnsi="Book Antiqua" w:cs="Arial"/>
        </w:rPr>
        <w:t>In submissions, Ms Willocks-Briscoe</w:t>
      </w:r>
      <w:r w:rsidR="00DF3502">
        <w:rPr>
          <w:rFonts w:ascii="Book Antiqua" w:hAnsi="Book Antiqua" w:cs="Arial"/>
        </w:rPr>
        <w:t>, who made no challenge to the oral evidence,</w:t>
      </w:r>
      <w:r>
        <w:rPr>
          <w:rFonts w:ascii="Book Antiqua" w:hAnsi="Book Antiqua" w:cs="Arial"/>
        </w:rPr>
        <w:t xml:space="preserve"> said the appellant cannot meet the Rules.  The issue is proportionality.  The appellant has a poor immigration history.  Significant weight should be given to the public interest.  Whilst the best interests of the children may well be for them to remain in the UK the appellant</w:t>
      </w:r>
      <w:r w:rsidR="001F7EF0">
        <w:rPr>
          <w:rFonts w:ascii="Book Antiqua" w:hAnsi="Book Antiqua" w:cs="Arial"/>
        </w:rPr>
        <w:t>’</w:t>
      </w:r>
      <w:r>
        <w:rPr>
          <w:rFonts w:ascii="Book Antiqua" w:hAnsi="Book Antiqua" w:cs="Arial"/>
        </w:rPr>
        <w:t xml:space="preserve">s </w:t>
      </w:r>
      <w:r w:rsidR="000864A6">
        <w:rPr>
          <w:rFonts w:ascii="Book Antiqua" w:hAnsi="Book Antiqua" w:cs="Arial"/>
        </w:rPr>
        <w:t>removal would not be disproportionate.  Whilst there would doubtless be some effect on the children there was no medical or social work evidence to indicate that such would be especially significant.</w:t>
      </w:r>
      <w:r w:rsidR="001F4510">
        <w:rPr>
          <w:rFonts w:ascii="Book Antiqua" w:hAnsi="Book Antiqua" w:cs="Arial"/>
        </w:rPr>
        <w:t xml:space="preserve"> He has work skills which he could </w:t>
      </w:r>
      <w:proofErr w:type="gramStart"/>
      <w:r w:rsidR="001F4510">
        <w:rPr>
          <w:rFonts w:ascii="Book Antiqua" w:hAnsi="Book Antiqua" w:cs="Arial"/>
        </w:rPr>
        <w:t>put to use</w:t>
      </w:r>
      <w:proofErr w:type="gramEnd"/>
      <w:r w:rsidR="001F4510">
        <w:rPr>
          <w:rFonts w:ascii="Book Antiqua" w:hAnsi="Book Antiqua" w:cs="Arial"/>
        </w:rPr>
        <w:t xml:space="preserve"> in Uganda.</w:t>
      </w:r>
      <w:r w:rsidR="001F4510" w:rsidRPr="001F4510">
        <w:rPr>
          <w:rFonts w:ascii="Book Antiqua" w:hAnsi="Book Antiqua" w:cs="Arial"/>
        </w:rPr>
        <w:t xml:space="preserve">  </w:t>
      </w:r>
    </w:p>
    <w:p w:rsidR="000864A6" w:rsidRDefault="000864A6" w:rsidP="000864A6">
      <w:pPr>
        <w:pStyle w:val="ListParagraph"/>
        <w:rPr>
          <w:rFonts w:ascii="Book Antiqua" w:hAnsi="Book Antiqua" w:cs="Arial"/>
        </w:rPr>
      </w:pPr>
    </w:p>
    <w:p w:rsidR="000864A6" w:rsidRDefault="000864A6" w:rsidP="002B2AFE">
      <w:pPr>
        <w:numPr>
          <w:ilvl w:val="0"/>
          <w:numId w:val="3"/>
        </w:numPr>
        <w:ind w:left="709" w:hanging="567"/>
        <w:jc w:val="both"/>
        <w:rPr>
          <w:rFonts w:ascii="Book Antiqua" w:hAnsi="Book Antiqua" w:cs="Arial"/>
        </w:rPr>
      </w:pPr>
      <w:r>
        <w:rPr>
          <w:rFonts w:ascii="Book Antiqua" w:hAnsi="Book Antiqua" w:cs="Arial"/>
        </w:rPr>
        <w:lastRenderedPageBreak/>
        <w:t>Mr Bartram’s response was</w:t>
      </w:r>
      <w:r w:rsidR="00BF6DEE">
        <w:rPr>
          <w:rFonts w:ascii="Book Antiqua" w:hAnsi="Book Antiqua" w:cs="Arial"/>
        </w:rPr>
        <w:t xml:space="preserve"> if he returned to Uganda</w:t>
      </w:r>
      <w:r>
        <w:rPr>
          <w:rFonts w:ascii="Book Antiqua" w:hAnsi="Book Antiqua" w:cs="Arial"/>
        </w:rPr>
        <w:t xml:space="preserve"> the appellant would have no opportunity to make an entry clearance application unti</w:t>
      </w:r>
      <w:r w:rsidR="00BB6B2E">
        <w:rPr>
          <w:rFonts w:ascii="Book Antiqua" w:hAnsi="Book Antiqua" w:cs="Arial"/>
        </w:rPr>
        <w:t>l his wife got settlement in 202</w:t>
      </w:r>
      <w:r>
        <w:rPr>
          <w:rFonts w:ascii="Book Antiqua" w:hAnsi="Book Antiqua" w:cs="Arial"/>
        </w:rPr>
        <w:t>4.  The only other option was for the whole family to relocate to Uganda.  It was not reasonable for the two young children both settled at school, and</w:t>
      </w:r>
      <w:r w:rsidR="00BF6DEE">
        <w:rPr>
          <w:rFonts w:ascii="Book Antiqua" w:hAnsi="Book Antiqua" w:cs="Arial"/>
        </w:rPr>
        <w:t xml:space="preserve"> one</w:t>
      </w:r>
      <w:r>
        <w:rPr>
          <w:rFonts w:ascii="Book Antiqua" w:hAnsi="Book Antiqua" w:cs="Arial"/>
        </w:rPr>
        <w:t xml:space="preserve"> a British citizen </w:t>
      </w:r>
      <w:r w:rsidR="00BF6DEE">
        <w:rPr>
          <w:rFonts w:ascii="Book Antiqua" w:hAnsi="Book Antiqua" w:cs="Arial"/>
        </w:rPr>
        <w:t>to be expected to leave</w:t>
      </w:r>
      <w:r>
        <w:rPr>
          <w:rFonts w:ascii="Book Antiqua" w:hAnsi="Book Antiqua" w:cs="Arial"/>
        </w:rPr>
        <w:t>.  Such was,</w:t>
      </w:r>
      <w:r w:rsidR="00967A5F">
        <w:rPr>
          <w:rFonts w:ascii="Book Antiqua" w:hAnsi="Book Antiqua" w:cs="Arial"/>
        </w:rPr>
        <w:t xml:space="preserve"> </w:t>
      </w:r>
      <w:r>
        <w:rPr>
          <w:rFonts w:ascii="Book Antiqua" w:hAnsi="Book Antiqua" w:cs="Arial"/>
        </w:rPr>
        <w:t>indeed</w:t>
      </w:r>
      <w:r w:rsidR="009B32D8">
        <w:rPr>
          <w:rFonts w:ascii="Book Antiqua" w:hAnsi="Book Antiqua" w:cs="Arial"/>
        </w:rPr>
        <w:t>, still the position under the R</w:t>
      </w:r>
      <w:r>
        <w:rPr>
          <w:rFonts w:ascii="Book Antiqua" w:hAnsi="Book Antiqua" w:cs="Arial"/>
        </w:rPr>
        <w:t>espondent’s policy.  Mr Bar</w:t>
      </w:r>
      <w:r w:rsidR="00BF6DEE">
        <w:rPr>
          <w:rFonts w:ascii="Book Antiqua" w:hAnsi="Book Antiqua" w:cs="Arial"/>
        </w:rPr>
        <w:t>tram added that it was clear his partner, who is now his wife,</w:t>
      </w:r>
      <w:r>
        <w:rPr>
          <w:rFonts w:ascii="Book Antiqua" w:hAnsi="Book Antiqua" w:cs="Arial"/>
        </w:rPr>
        <w:t xml:space="preserve"> is in work, her income is more than £22,000.  Both speak English.  He has the skills to work.</w:t>
      </w:r>
    </w:p>
    <w:p w:rsidR="00BB6B2E" w:rsidRDefault="00BB6B2E" w:rsidP="00BB6B2E">
      <w:pPr>
        <w:pStyle w:val="ListParagraph"/>
        <w:rPr>
          <w:rFonts w:ascii="Book Antiqua" w:hAnsi="Book Antiqua" w:cs="Arial"/>
        </w:rPr>
      </w:pPr>
    </w:p>
    <w:p w:rsidR="00BB6B2E" w:rsidRPr="00BB6B2E" w:rsidRDefault="00BB6B2E" w:rsidP="00BB6B2E">
      <w:pPr>
        <w:ind w:left="709"/>
        <w:jc w:val="both"/>
        <w:rPr>
          <w:rFonts w:ascii="Book Antiqua" w:hAnsi="Book Antiqua" w:cs="Arial"/>
          <w:b/>
        </w:rPr>
      </w:pPr>
      <w:r w:rsidRPr="00BB6B2E">
        <w:rPr>
          <w:rFonts w:ascii="Book Antiqua" w:hAnsi="Book Antiqua" w:cs="Arial"/>
          <w:b/>
        </w:rPr>
        <w:t>Consideration</w:t>
      </w:r>
    </w:p>
    <w:p w:rsidR="000864A6" w:rsidRDefault="000864A6" w:rsidP="000864A6">
      <w:pPr>
        <w:pStyle w:val="ListParagraph"/>
        <w:rPr>
          <w:rFonts w:ascii="Book Antiqua" w:hAnsi="Book Antiqua" w:cs="Arial"/>
        </w:rPr>
      </w:pPr>
    </w:p>
    <w:p w:rsidR="000864A6" w:rsidRDefault="000864A6" w:rsidP="002B2AFE">
      <w:pPr>
        <w:numPr>
          <w:ilvl w:val="0"/>
          <w:numId w:val="3"/>
        </w:numPr>
        <w:ind w:left="709" w:hanging="567"/>
        <w:jc w:val="both"/>
        <w:rPr>
          <w:rFonts w:ascii="Book Antiqua" w:hAnsi="Book Antiqua" w:cs="Arial"/>
        </w:rPr>
      </w:pPr>
      <w:r>
        <w:rPr>
          <w:rFonts w:ascii="Book Antiqua" w:hAnsi="Book Antiqua" w:cs="Arial"/>
        </w:rPr>
        <w:t xml:space="preserve">In considering this matter </w:t>
      </w:r>
      <w:proofErr w:type="gramStart"/>
      <w:r>
        <w:rPr>
          <w:rFonts w:ascii="Book Antiqua" w:hAnsi="Book Antiqua" w:cs="Arial"/>
        </w:rPr>
        <w:t>it is clear that this</w:t>
      </w:r>
      <w:proofErr w:type="gramEnd"/>
      <w:r>
        <w:rPr>
          <w:rFonts w:ascii="Book Antiqua" w:hAnsi="Book Antiqua" w:cs="Arial"/>
        </w:rPr>
        <w:t xml:space="preserve"> case shows family life.  Such includes between the appellant and his now wife and between them and their two children.  I am entirely satisfied, and indeed it was not challenged, that the appellant has a genuine and subsisting </w:t>
      </w:r>
      <w:r w:rsidR="00BF6DEE">
        <w:rPr>
          <w:rFonts w:ascii="Book Antiqua" w:hAnsi="Book Antiqua" w:cs="Arial"/>
        </w:rPr>
        <w:t>parental relationship with the e</w:t>
      </w:r>
      <w:r>
        <w:rPr>
          <w:rFonts w:ascii="Book Antiqua" w:hAnsi="Book Antiqua" w:cs="Arial"/>
        </w:rPr>
        <w:t>lder child.  They have been able to live together since his wife received her residence card in 2013.</w:t>
      </w:r>
    </w:p>
    <w:p w:rsidR="000864A6" w:rsidRDefault="000864A6" w:rsidP="000864A6">
      <w:pPr>
        <w:pStyle w:val="ListParagraph"/>
        <w:rPr>
          <w:rFonts w:ascii="Book Antiqua" w:hAnsi="Book Antiqua" w:cs="Arial"/>
        </w:rPr>
      </w:pPr>
    </w:p>
    <w:p w:rsidR="000864A6" w:rsidRDefault="000864A6" w:rsidP="002B2AFE">
      <w:pPr>
        <w:numPr>
          <w:ilvl w:val="0"/>
          <w:numId w:val="3"/>
        </w:numPr>
        <w:ind w:left="709" w:hanging="567"/>
        <w:jc w:val="both"/>
        <w:rPr>
          <w:rFonts w:ascii="Book Antiqua" w:hAnsi="Book Antiqua" w:cs="Arial"/>
        </w:rPr>
      </w:pPr>
      <w:proofErr w:type="gramStart"/>
      <w:r>
        <w:rPr>
          <w:rFonts w:ascii="Book Antiqua" w:hAnsi="Book Antiqua" w:cs="Arial"/>
        </w:rPr>
        <w:t>It is clear that the</w:t>
      </w:r>
      <w:proofErr w:type="gramEnd"/>
      <w:r>
        <w:rPr>
          <w:rFonts w:ascii="Book Antiqua" w:hAnsi="Book Antiqua" w:cs="Arial"/>
        </w:rPr>
        <w:t xml:space="preserve"> removal of the appellant would have consequences of significant gravity as to engage Article 8.  Such would be in accordance with the law and in pursuit of a legitimate aim of immigration control.</w:t>
      </w:r>
    </w:p>
    <w:p w:rsidR="000864A6" w:rsidRDefault="000864A6" w:rsidP="000864A6">
      <w:pPr>
        <w:pStyle w:val="ListParagraph"/>
        <w:rPr>
          <w:rFonts w:ascii="Book Antiqua" w:hAnsi="Book Antiqua" w:cs="Arial"/>
        </w:rPr>
      </w:pPr>
    </w:p>
    <w:p w:rsidR="0074595D" w:rsidRDefault="00C67EFD" w:rsidP="002B2AFE">
      <w:pPr>
        <w:numPr>
          <w:ilvl w:val="0"/>
          <w:numId w:val="3"/>
        </w:numPr>
        <w:ind w:left="709" w:hanging="567"/>
        <w:jc w:val="both"/>
        <w:rPr>
          <w:rFonts w:ascii="Book Antiqua" w:hAnsi="Book Antiqua" w:cs="Arial"/>
        </w:rPr>
      </w:pPr>
      <w:r>
        <w:rPr>
          <w:rFonts w:ascii="Book Antiqua" w:hAnsi="Book Antiqua" w:cs="Arial"/>
        </w:rPr>
        <w:t>I note the R</w:t>
      </w:r>
      <w:r w:rsidR="003A6BCA">
        <w:rPr>
          <w:rFonts w:ascii="Book Antiqua" w:hAnsi="Book Antiqua" w:cs="Arial"/>
        </w:rPr>
        <w:t>espondent’s guidance, Family Life (as a Partner or Parent) and Private Life:</w:t>
      </w:r>
      <w:r w:rsidR="007E13A8">
        <w:rPr>
          <w:rFonts w:ascii="Book Antiqua" w:hAnsi="Book Antiqua" w:cs="Arial"/>
        </w:rPr>
        <w:t xml:space="preserve"> </w:t>
      </w:r>
      <w:r w:rsidR="003A6BCA">
        <w:rPr>
          <w:rFonts w:ascii="Book Antiqua" w:hAnsi="Book Antiqua" w:cs="Arial"/>
        </w:rPr>
        <w:t>10 Year Routes (February 2018)</w:t>
      </w:r>
      <w:r w:rsidR="000B4637">
        <w:rPr>
          <w:rFonts w:ascii="Book Antiqua" w:hAnsi="Book Antiqua" w:cs="Arial"/>
        </w:rPr>
        <w:t xml:space="preserve"> which updated the previous guidance dated August 2015. It is to the same effect</w:t>
      </w:r>
      <w:r w:rsidR="000864A6">
        <w:rPr>
          <w:rFonts w:ascii="Book Antiqua" w:hAnsi="Book Antiqua" w:cs="Arial"/>
        </w:rPr>
        <w:t>:</w:t>
      </w:r>
    </w:p>
    <w:p w:rsidR="0074595D" w:rsidRDefault="0074595D" w:rsidP="0074595D">
      <w:pPr>
        <w:pStyle w:val="ListParagraph"/>
        <w:rPr>
          <w:rFonts w:ascii="Book Antiqua" w:hAnsi="Book Antiqua" w:cs="Arial"/>
        </w:rPr>
      </w:pPr>
    </w:p>
    <w:p w:rsidR="0074595D" w:rsidRPr="000B4637" w:rsidRDefault="0074595D" w:rsidP="00AD64DB">
      <w:pPr>
        <w:ind w:left="1440"/>
        <w:jc w:val="both"/>
        <w:rPr>
          <w:rFonts w:ascii="Book Antiqua" w:hAnsi="Book Antiqua" w:cs="Arial"/>
          <w:i/>
        </w:rPr>
      </w:pPr>
      <w:r w:rsidRPr="000B4637">
        <w:rPr>
          <w:rFonts w:ascii="Book Antiqua" w:hAnsi="Book Antiqua" w:cs="Arial"/>
          <w:i/>
        </w:rPr>
        <w:t>“Where the child is a British citizen, it will not be reasonable to expect them to leave the UK with the applicant parent or primary carer fa</w:t>
      </w:r>
      <w:r w:rsidR="001F7EF0" w:rsidRPr="000B4637">
        <w:rPr>
          <w:rFonts w:ascii="Book Antiqua" w:hAnsi="Book Antiqua" w:cs="Arial"/>
          <w:i/>
        </w:rPr>
        <w:t>c</w:t>
      </w:r>
      <w:r w:rsidR="00AD64DB" w:rsidRPr="000B4637">
        <w:rPr>
          <w:rFonts w:ascii="Book Antiqua" w:hAnsi="Book Antiqua" w:cs="Arial"/>
          <w:i/>
        </w:rPr>
        <w:t>ing removal. Accordingly, where this means that the child would have to leave the UK because, in practice, the child will not, or is not likely to</w:t>
      </w:r>
      <w:r w:rsidR="003A6BCA" w:rsidRPr="000B4637">
        <w:rPr>
          <w:rFonts w:ascii="Book Antiqua" w:hAnsi="Book Antiqua" w:cs="Arial"/>
          <w:i/>
        </w:rPr>
        <w:t>, continue to live in the UK with another parent or primary care</w:t>
      </w:r>
      <w:r w:rsidR="00876A02">
        <w:rPr>
          <w:rFonts w:ascii="Book Antiqua" w:hAnsi="Book Antiqua" w:cs="Arial"/>
          <w:i/>
        </w:rPr>
        <w:t>r</w:t>
      </w:r>
      <w:r w:rsidR="003A6BCA" w:rsidRPr="000B4637">
        <w:rPr>
          <w:rFonts w:ascii="Book Antiqua" w:hAnsi="Book Antiqua" w:cs="Arial"/>
          <w:i/>
        </w:rPr>
        <w:t>, EX.</w:t>
      </w:r>
      <w:proofErr w:type="gramStart"/>
      <w:r w:rsidR="003A6BCA" w:rsidRPr="000B4637">
        <w:rPr>
          <w:rFonts w:ascii="Book Antiqua" w:hAnsi="Book Antiqua" w:cs="Arial"/>
          <w:i/>
        </w:rPr>
        <w:t>1.(</w:t>
      </w:r>
      <w:proofErr w:type="gramEnd"/>
      <w:r w:rsidR="003A6BCA" w:rsidRPr="000B4637">
        <w:rPr>
          <w:rFonts w:ascii="Book Antiqua" w:hAnsi="Book Antiqua" w:cs="Arial"/>
          <w:i/>
        </w:rPr>
        <w:t>a) is likely to apply.</w:t>
      </w:r>
    </w:p>
    <w:p w:rsidR="003A6BCA" w:rsidRPr="000B4637" w:rsidRDefault="003A6BCA" w:rsidP="00AD64DB">
      <w:pPr>
        <w:ind w:left="1440"/>
        <w:jc w:val="both"/>
        <w:rPr>
          <w:rFonts w:ascii="Book Antiqua" w:hAnsi="Book Antiqua" w:cs="Arial"/>
          <w:i/>
        </w:rPr>
      </w:pPr>
    </w:p>
    <w:p w:rsidR="003A6BCA" w:rsidRPr="000B4637" w:rsidRDefault="003A6BCA" w:rsidP="00AD64DB">
      <w:pPr>
        <w:ind w:left="1440"/>
        <w:jc w:val="both"/>
        <w:rPr>
          <w:rFonts w:ascii="Book Antiqua" w:hAnsi="Book Antiqua" w:cs="Arial"/>
          <w:i/>
        </w:rPr>
      </w:pPr>
      <w:proofErr w:type="gramStart"/>
      <w:r w:rsidRPr="000B4637">
        <w:rPr>
          <w:rFonts w:ascii="Book Antiqua" w:hAnsi="Book Antiqua" w:cs="Arial"/>
          <w:i/>
        </w:rPr>
        <w:t>In particular circumstances</w:t>
      </w:r>
      <w:proofErr w:type="gramEnd"/>
      <w:r w:rsidRPr="000B4637">
        <w:rPr>
          <w:rFonts w:ascii="Book Antiqua" w:hAnsi="Book Antiqua" w:cs="Arial"/>
          <w:i/>
        </w:rPr>
        <w:t>, it may be appropriate to refuse to grant leave to a parent or primary carer where their conduct gives rise to public interest considerations of such weight as to justify their removal, where the British citizen child could remain in the UK with another parent or alternative primary carer, who is a British citizen</w:t>
      </w:r>
      <w:r w:rsidR="002F0B2B" w:rsidRPr="000B4637">
        <w:rPr>
          <w:rFonts w:ascii="Book Antiqua" w:hAnsi="Book Antiqua" w:cs="Arial"/>
          <w:i/>
        </w:rPr>
        <w:t xml:space="preserve"> or settled in the UK or who has or is</w:t>
      </w:r>
      <w:r w:rsidR="002F0B2B">
        <w:rPr>
          <w:rFonts w:ascii="Book Antiqua" w:hAnsi="Book Antiqua" w:cs="Arial"/>
        </w:rPr>
        <w:t xml:space="preserve"> </w:t>
      </w:r>
      <w:r w:rsidR="002F0B2B" w:rsidRPr="000B4637">
        <w:rPr>
          <w:rFonts w:ascii="Book Antiqua" w:hAnsi="Book Antiqua" w:cs="Arial"/>
          <w:i/>
        </w:rPr>
        <w:t>being granted leave to remain. The circumstances envisaged include those in which to grant leave</w:t>
      </w:r>
      <w:r w:rsidR="002F0B2B">
        <w:rPr>
          <w:rFonts w:ascii="Book Antiqua" w:hAnsi="Book Antiqua" w:cs="Arial"/>
        </w:rPr>
        <w:t xml:space="preserve"> </w:t>
      </w:r>
      <w:r w:rsidR="002F0B2B" w:rsidRPr="000B4637">
        <w:rPr>
          <w:rFonts w:ascii="Book Antiqua" w:hAnsi="Book Antiqua" w:cs="Arial"/>
          <w:i/>
        </w:rPr>
        <w:t>could undermine our immigration controls, for example the applicant has committed significant or persistent criminal offences…or has a very poor immigration history, having repeatedly and deliberately breached the Immigration Rules</w:t>
      </w:r>
      <w:r w:rsidR="00607367">
        <w:rPr>
          <w:rFonts w:ascii="Book Antiqua" w:hAnsi="Book Antiqua" w:cs="Arial"/>
          <w:i/>
        </w:rPr>
        <w:t>.”</w:t>
      </w:r>
    </w:p>
    <w:p w:rsidR="00A11F18" w:rsidRDefault="00A11F18" w:rsidP="0074595D">
      <w:pPr>
        <w:ind w:left="1440"/>
        <w:jc w:val="both"/>
        <w:rPr>
          <w:rFonts w:ascii="Book Antiqua" w:hAnsi="Book Antiqua" w:cs="Arial"/>
        </w:rPr>
      </w:pPr>
    </w:p>
    <w:p w:rsidR="00FC5541" w:rsidRDefault="0074595D" w:rsidP="002B2AFE">
      <w:pPr>
        <w:numPr>
          <w:ilvl w:val="0"/>
          <w:numId w:val="3"/>
        </w:numPr>
        <w:ind w:left="709" w:hanging="567"/>
        <w:jc w:val="both"/>
        <w:rPr>
          <w:rFonts w:ascii="Book Antiqua" w:hAnsi="Book Antiqua" w:cs="Arial"/>
        </w:rPr>
      </w:pPr>
      <w:r>
        <w:rPr>
          <w:rFonts w:ascii="Book Antiqua" w:hAnsi="Book Antiqua" w:cs="Arial"/>
        </w:rPr>
        <w:t>In looking at the best interests of the children as indicated the elder born in 2011 is a British citizen, the younger born in 2013 is a Ugandan citizen.</w:t>
      </w:r>
    </w:p>
    <w:p w:rsidR="0074595D" w:rsidRDefault="0074595D" w:rsidP="0074595D">
      <w:pPr>
        <w:jc w:val="both"/>
        <w:rPr>
          <w:rFonts w:ascii="Book Antiqua" w:hAnsi="Book Antiqua" w:cs="Arial"/>
        </w:rPr>
      </w:pPr>
    </w:p>
    <w:p w:rsidR="0074595D" w:rsidRDefault="00371AA6" w:rsidP="002B2AFE">
      <w:pPr>
        <w:numPr>
          <w:ilvl w:val="0"/>
          <w:numId w:val="3"/>
        </w:numPr>
        <w:ind w:left="709" w:hanging="567"/>
        <w:jc w:val="both"/>
        <w:rPr>
          <w:rFonts w:ascii="Book Antiqua" w:hAnsi="Book Antiqua" w:cs="Arial"/>
        </w:rPr>
      </w:pPr>
      <w:r>
        <w:rPr>
          <w:rFonts w:ascii="Book Antiqua" w:hAnsi="Book Antiqua" w:cs="Arial"/>
        </w:rPr>
        <w:t>It is indisputable that it is in the best interests of both children to remain in the UK, the country where they were born and the only country of which they have knowledge.  Both are now settled into school life.</w:t>
      </w:r>
    </w:p>
    <w:p w:rsidR="00FB635E" w:rsidRDefault="00FB635E" w:rsidP="00FB635E">
      <w:pPr>
        <w:pStyle w:val="ListParagraph"/>
        <w:rPr>
          <w:rFonts w:ascii="Book Antiqua" w:hAnsi="Book Antiqua" w:cs="Arial"/>
        </w:rPr>
      </w:pPr>
    </w:p>
    <w:p w:rsidR="00FB635E" w:rsidRDefault="00FB635E" w:rsidP="002B2AFE">
      <w:pPr>
        <w:numPr>
          <w:ilvl w:val="0"/>
          <w:numId w:val="3"/>
        </w:numPr>
        <w:ind w:left="709" w:hanging="567"/>
        <w:jc w:val="both"/>
        <w:rPr>
          <w:rFonts w:ascii="Book Antiqua" w:hAnsi="Book Antiqua" w:cs="Arial"/>
        </w:rPr>
      </w:pPr>
      <w:r>
        <w:rPr>
          <w:rFonts w:ascii="Book Antiqua" w:hAnsi="Book Antiqua" w:cs="Arial"/>
        </w:rPr>
        <w:lastRenderedPageBreak/>
        <w:t>I disagree with Ms Willocks-Briscoe that there is no good reason why the children could not remain even if the appellant left.  The result would be at the very least to disrupt the relationship between him and the children.  Such cannot be in the children’s best interests.</w:t>
      </w:r>
    </w:p>
    <w:p w:rsidR="00FB635E" w:rsidRDefault="00FB635E" w:rsidP="00FB635E">
      <w:pPr>
        <w:pStyle w:val="ListParagraph"/>
        <w:rPr>
          <w:rFonts w:ascii="Book Antiqua" w:hAnsi="Book Antiqua" w:cs="Arial"/>
        </w:rPr>
      </w:pPr>
    </w:p>
    <w:p w:rsidR="00FB635E" w:rsidRDefault="007E13A8" w:rsidP="002B2AFE">
      <w:pPr>
        <w:numPr>
          <w:ilvl w:val="0"/>
          <w:numId w:val="3"/>
        </w:numPr>
        <w:ind w:left="709" w:hanging="567"/>
        <w:jc w:val="both"/>
        <w:rPr>
          <w:rFonts w:ascii="Book Antiqua" w:hAnsi="Book Antiqua" w:cs="Arial"/>
        </w:rPr>
      </w:pPr>
      <w:r>
        <w:rPr>
          <w:rFonts w:ascii="Book Antiqua" w:hAnsi="Book Antiqua" w:cs="Arial"/>
        </w:rPr>
        <w:t>Both mother and son</w:t>
      </w:r>
      <w:r w:rsidR="00FB635E">
        <w:rPr>
          <w:rFonts w:ascii="Book Antiqua" w:hAnsi="Book Antiqua" w:cs="Arial"/>
        </w:rPr>
        <w:t xml:space="preserve"> have discretionary leave.  The circumstan</w:t>
      </w:r>
      <w:r w:rsidR="00BF6DEE">
        <w:rPr>
          <w:rFonts w:ascii="Book Antiqua" w:hAnsi="Book Antiqua" w:cs="Arial"/>
        </w:rPr>
        <w:t>ces in which such was granted are</w:t>
      </w:r>
      <w:r w:rsidR="00FB635E">
        <w:rPr>
          <w:rFonts w:ascii="Book Antiqua" w:hAnsi="Book Antiqua" w:cs="Arial"/>
        </w:rPr>
        <w:t xml:space="preserve"> unexplained.  The mother’s immigration history is not greatly better than that of the appellant.  The fact that the younger child has been granted leave is a further indication that his best interests are to remain here. </w:t>
      </w:r>
      <w:r w:rsidR="00BF6DEE">
        <w:rPr>
          <w:rFonts w:ascii="Book Antiqua" w:hAnsi="Book Antiqua" w:cs="Arial"/>
        </w:rPr>
        <w:t xml:space="preserve"> I would add in respect of the e</w:t>
      </w:r>
      <w:r w:rsidR="00FB635E">
        <w:rPr>
          <w:rFonts w:ascii="Book Antiqua" w:hAnsi="Book Antiqua" w:cs="Arial"/>
        </w:rPr>
        <w:t>lder child that were he to leave the limited contact he has with his birth father would be endangered.  Such also cannot be in his best interests.</w:t>
      </w:r>
    </w:p>
    <w:p w:rsidR="00FB635E" w:rsidRDefault="00FB635E" w:rsidP="00FB635E">
      <w:pPr>
        <w:pStyle w:val="ListParagraph"/>
        <w:rPr>
          <w:rFonts w:ascii="Book Antiqua" w:hAnsi="Book Antiqua" w:cs="Arial"/>
        </w:rPr>
      </w:pPr>
    </w:p>
    <w:p w:rsidR="00FB635E" w:rsidRDefault="00FB635E" w:rsidP="002B2AFE">
      <w:pPr>
        <w:numPr>
          <w:ilvl w:val="0"/>
          <w:numId w:val="3"/>
        </w:numPr>
        <w:ind w:left="709" w:hanging="567"/>
        <w:jc w:val="both"/>
        <w:rPr>
          <w:rFonts w:ascii="Book Antiqua" w:hAnsi="Book Antiqua" w:cs="Arial"/>
        </w:rPr>
      </w:pPr>
      <w:r>
        <w:rPr>
          <w:rFonts w:ascii="Book Antiqua" w:hAnsi="Book Antiqua" w:cs="Arial"/>
        </w:rPr>
        <w:t xml:space="preserve">This case involves the family life of a husband, wife and two young </w:t>
      </w:r>
      <w:r w:rsidR="009B1C87">
        <w:rPr>
          <w:rFonts w:ascii="Book Antiqua" w:hAnsi="Book Antiqua" w:cs="Arial"/>
        </w:rPr>
        <w:t>children, one a British citizen, the other with limited leave.</w:t>
      </w:r>
      <w:r>
        <w:rPr>
          <w:rFonts w:ascii="Book Antiqua" w:hAnsi="Book Antiqua" w:cs="Arial"/>
        </w:rPr>
        <w:t xml:space="preserve">  I find it would plainly be contrary to the best interes</w:t>
      </w:r>
      <w:r w:rsidR="0007151F">
        <w:rPr>
          <w:rFonts w:ascii="Book Antiqua" w:hAnsi="Book Antiqua" w:cs="Arial"/>
        </w:rPr>
        <w:t>ts of the children</w:t>
      </w:r>
      <w:r>
        <w:rPr>
          <w:rFonts w:ascii="Book Antiqua" w:hAnsi="Book Antiqua" w:cs="Arial"/>
        </w:rPr>
        <w:t xml:space="preserve"> t</w:t>
      </w:r>
      <w:r w:rsidR="00876A02">
        <w:rPr>
          <w:rFonts w:ascii="Book Antiqua" w:hAnsi="Book Antiqua" w:cs="Arial"/>
        </w:rPr>
        <w:t xml:space="preserve">o separate that family unit. </w:t>
      </w:r>
      <w:r>
        <w:rPr>
          <w:rFonts w:ascii="Book Antiqua" w:hAnsi="Book Antiqua" w:cs="Arial"/>
        </w:rPr>
        <w:t>Realistically there are therefore only two options; expect mother and children to go to Uganda with the appellant or allow him to remain in accordance with the principles in s</w:t>
      </w:r>
      <w:r w:rsidR="00876A02">
        <w:rPr>
          <w:rFonts w:ascii="Book Antiqua" w:hAnsi="Book Antiqua" w:cs="Arial"/>
        </w:rPr>
        <w:t xml:space="preserve">ection </w:t>
      </w:r>
      <w:r>
        <w:rPr>
          <w:rFonts w:ascii="Book Antiqua" w:hAnsi="Book Antiqua" w:cs="Arial"/>
        </w:rPr>
        <w:t>117</w:t>
      </w:r>
      <w:proofErr w:type="gramStart"/>
      <w:r>
        <w:rPr>
          <w:rFonts w:ascii="Book Antiqua" w:hAnsi="Book Antiqua" w:cs="Arial"/>
        </w:rPr>
        <w:t>B(</w:t>
      </w:r>
      <w:proofErr w:type="gramEnd"/>
      <w:r>
        <w:rPr>
          <w:rFonts w:ascii="Book Antiqua" w:hAnsi="Book Antiqua" w:cs="Arial"/>
        </w:rPr>
        <w:t xml:space="preserve">6). </w:t>
      </w:r>
      <w:r w:rsidR="00876A02">
        <w:rPr>
          <w:rFonts w:ascii="Book Antiqua" w:hAnsi="Book Antiqua" w:cs="Arial"/>
        </w:rPr>
        <w:t>This is a case which must be assessed on the basis that it would be unreasonable to expect the children to leave with their mother. There is no history of criminality</w:t>
      </w:r>
      <w:r w:rsidR="00665870">
        <w:rPr>
          <w:rFonts w:ascii="Book Antiqua" w:hAnsi="Book Antiqua" w:cs="Arial"/>
        </w:rPr>
        <w:t xml:space="preserve"> by the appellant</w:t>
      </w:r>
      <w:r w:rsidR="00876A02">
        <w:rPr>
          <w:rFonts w:ascii="Book Antiqua" w:hAnsi="Book Antiqua" w:cs="Arial"/>
        </w:rPr>
        <w:t>. The immigration history is poor, in that the appellant overstayed on a visit visa, which was a deliberate breach of the rules, but it could not reasonably be said to be “very poor.”</w:t>
      </w:r>
      <w:r>
        <w:rPr>
          <w:rFonts w:ascii="Book Antiqua" w:hAnsi="Book Antiqua" w:cs="Arial"/>
        </w:rPr>
        <w:t xml:space="preserve"> Applying the terms of the policy,</w:t>
      </w:r>
      <w:r w:rsidR="00FA53A3">
        <w:rPr>
          <w:rFonts w:ascii="Book Antiqua" w:hAnsi="Book Antiqua" w:cs="Arial"/>
        </w:rPr>
        <w:t xml:space="preserve"> which I take to represent the R</w:t>
      </w:r>
      <w:r>
        <w:rPr>
          <w:rFonts w:ascii="Book Antiqua" w:hAnsi="Book Antiqua" w:cs="Arial"/>
        </w:rPr>
        <w:t xml:space="preserve">espondent’s case on where the balance should be struck, I find that it would not be reasonable to expect the children </w:t>
      </w:r>
      <w:r w:rsidR="009621AD">
        <w:rPr>
          <w:rFonts w:ascii="Book Antiqua" w:hAnsi="Book Antiqua" w:cs="Arial"/>
        </w:rPr>
        <w:t>to leave this country.  There is accordingly no public interest in the appellant’s removal and his appeal must be allowed.</w:t>
      </w:r>
    </w:p>
    <w:p w:rsidR="009621AD" w:rsidRDefault="009621AD" w:rsidP="009621AD">
      <w:pPr>
        <w:pStyle w:val="ListParagraph"/>
        <w:rPr>
          <w:rFonts w:ascii="Book Antiqua" w:hAnsi="Book Antiqua" w:cs="Arial"/>
        </w:rPr>
      </w:pPr>
    </w:p>
    <w:p w:rsidR="009621AD" w:rsidRPr="009621AD" w:rsidRDefault="009621AD" w:rsidP="009621AD">
      <w:pPr>
        <w:jc w:val="both"/>
        <w:rPr>
          <w:rFonts w:ascii="Book Antiqua" w:hAnsi="Book Antiqua" w:cs="Arial"/>
          <w:b/>
          <w:u w:val="single"/>
        </w:rPr>
      </w:pPr>
      <w:r w:rsidRPr="009621AD">
        <w:rPr>
          <w:rFonts w:ascii="Book Antiqua" w:hAnsi="Book Antiqua" w:cs="Arial"/>
          <w:b/>
          <w:u w:val="single"/>
        </w:rPr>
        <w:t>Decision</w:t>
      </w:r>
    </w:p>
    <w:p w:rsidR="00FC5541" w:rsidRDefault="00FC5541" w:rsidP="00FC5541">
      <w:pPr>
        <w:pStyle w:val="ListParagraph"/>
        <w:rPr>
          <w:rFonts w:ascii="Book Antiqua" w:hAnsi="Book Antiqua" w:cs="Arial"/>
        </w:rPr>
      </w:pPr>
    </w:p>
    <w:p w:rsidR="00FC5541" w:rsidRDefault="009621AD" w:rsidP="002B2AFE">
      <w:pPr>
        <w:numPr>
          <w:ilvl w:val="0"/>
          <w:numId w:val="3"/>
        </w:numPr>
        <w:ind w:left="709" w:hanging="567"/>
        <w:jc w:val="both"/>
        <w:rPr>
          <w:rFonts w:ascii="Book Antiqua" w:hAnsi="Book Antiqua" w:cs="Arial"/>
        </w:rPr>
      </w:pPr>
      <w:r>
        <w:rPr>
          <w:rFonts w:ascii="Book Antiqua" w:hAnsi="Book Antiqua" w:cs="Arial"/>
        </w:rPr>
        <w:t>For the reasons I have given I am satisfied the decision of the First-tier Tribunal involved the making of a material error of law.</w:t>
      </w:r>
    </w:p>
    <w:p w:rsidR="009621AD" w:rsidRDefault="009621AD" w:rsidP="009621AD">
      <w:pPr>
        <w:jc w:val="both"/>
        <w:rPr>
          <w:rFonts w:ascii="Book Antiqua" w:hAnsi="Book Antiqua" w:cs="Arial"/>
        </w:rPr>
      </w:pPr>
    </w:p>
    <w:p w:rsidR="00386EE0" w:rsidRDefault="009621AD" w:rsidP="002B2AFE">
      <w:pPr>
        <w:numPr>
          <w:ilvl w:val="0"/>
          <w:numId w:val="3"/>
        </w:numPr>
        <w:ind w:left="709" w:hanging="567"/>
        <w:jc w:val="both"/>
        <w:rPr>
          <w:rFonts w:ascii="Book Antiqua" w:hAnsi="Book Antiqua" w:cs="Arial"/>
        </w:rPr>
      </w:pPr>
      <w:r>
        <w:rPr>
          <w:rFonts w:ascii="Book Antiqua" w:hAnsi="Book Antiqua" w:cs="Arial"/>
        </w:rPr>
        <w:t xml:space="preserve">It is set aside and remade as follows: </w:t>
      </w:r>
      <w:r w:rsidR="00BB6B2E">
        <w:rPr>
          <w:rFonts w:ascii="Book Antiqua" w:hAnsi="Book Antiqua" w:cs="Arial"/>
        </w:rPr>
        <w:t>the appeal is allowed.</w:t>
      </w:r>
    </w:p>
    <w:p w:rsidR="009621AD" w:rsidRDefault="009621AD" w:rsidP="00BB6B2E">
      <w:pPr>
        <w:jc w:val="both"/>
        <w:rPr>
          <w:rFonts w:ascii="Book Antiqua" w:hAnsi="Book Antiqua" w:cs="Arial"/>
        </w:rPr>
      </w:pPr>
    </w:p>
    <w:p w:rsidR="00933B65" w:rsidRDefault="00933B65" w:rsidP="00933B65">
      <w:pPr>
        <w:ind w:left="540" w:hanging="540"/>
        <w:jc w:val="both"/>
        <w:rPr>
          <w:rFonts w:ascii="Book Antiqua" w:hAnsi="Book Antiqua" w:cs="Arial"/>
        </w:rPr>
      </w:pPr>
    </w:p>
    <w:p w:rsidR="00933B65" w:rsidRPr="00F97703" w:rsidRDefault="00933B65" w:rsidP="0034540B">
      <w:pPr>
        <w:rPr>
          <w:rFonts w:ascii="Book Antiqua" w:hAnsi="Book Antiqua" w:cs="Arial"/>
        </w:rPr>
      </w:pPr>
      <w:r w:rsidRPr="00F97703">
        <w:rPr>
          <w:rFonts w:ascii="Book Antiqua" w:hAnsi="Book Antiqua" w:cs="Arial"/>
        </w:rPr>
        <w:t>Signed</w:t>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t>Date</w:t>
      </w:r>
      <w:r w:rsidR="00385AE2">
        <w:rPr>
          <w:rFonts w:ascii="Book Antiqua" w:hAnsi="Book Antiqua" w:cs="Arial"/>
        </w:rPr>
        <w:t>: 01 June 2018</w:t>
      </w:r>
    </w:p>
    <w:p w:rsidR="0034540B" w:rsidRDefault="0034540B" w:rsidP="0034540B">
      <w:pPr>
        <w:tabs>
          <w:tab w:val="left" w:pos="2520"/>
        </w:tabs>
        <w:rPr>
          <w:rFonts w:ascii="Book Antiqua" w:hAnsi="Book Antiqua" w:cs="Arial"/>
          <w:color w:val="000000"/>
        </w:rPr>
      </w:pPr>
    </w:p>
    <w:p w:rsidR="00933B65" w:rsidRDefault="00933B65" w:rsidP="0034540B">
      <w:pPr>
        <w:tabs>
          <w:tab w:val="left" w:pos="2520"/>
        </w:tabs>
        <w:rPr>
          <w:rFonts w:ascii="Book Antiqua" w:hAnsi="Book Antiqua" w:cs="Arial"/>
          <w:color w:val="000000"/>
        </w:rPr>
      </w:pPr>
      <w:r>
        <w:rPr>
          <w:rFonts w:ascii="Book Antiqua" w:hAnsi="Book Antiqua" w:cs="Arial"/>
          <w:color w:val="000000"/>
        </w:rPr>
        <w:t xml:space="preserve">Upper Tribunal </w:t>
      </w:r>
      <w:r w:rsidR="00025F0F">
        <w:rPr>
          <w:rFonts w:ascii="Book Antiqua" w:hAnsi="Book Antiqua" w:cs="Arial"/>
          <w:color w:val="000000"/>
        </w:rPr>
        <w:t>Judge Conway</w:t>
      </w:r>
    </w:p>
    <w:p w:rsidR="00386EE0" w:rsidRDefault="00386EE0" w:rsidP="0034540B">
      <w:pPr>
        <w:tabs>
          <w:tab w:val="left" w:pos="2520"/>
        </w:tabs>
        <w:rPr>
          <w:rFonts w:ascii="Book Antiqua" w:hAnsi="Book Antiqua" w:cs="Arial"/>
          <w:color w:val="000000"/>
        </w:rPr>
      </w:pPr>
    </w:p>
    <w:p w:rsidR="00386EE0" w:rsidRDefault="00386EE0" w:rsidP="00386EE0">
      <w:pPr>
        <w:jc w:val="both"/>
        <w:rPr>
          <w:rFonts w:ascii="Book Antiqua" w:hAnsi="Book Antiqua" w:cs="Arial"/>
          <w:b/>
          <w:u w:val="single"/>
        </w:rPr>
      </w:pPr>
    </w:p>
    <w:p w:rsidR="00386EE0" w:rsidRDefault="00386EE0" w:rsidP="00386EE0">
      <w:pPr>
        <w:jc w:val="both"/>
        <w:rPr>
          <w:rFonts w:ascii="Book Antiqua" w:hAnsi="Book Antiqua" w:cs="Arial"/>
          <w:b/>
          <w:u w:val="single"/>
        </w:rPr>
      </w:pPr>
      <w:bookmarkStart w:id="0" w:name="_GoBack"/>
      <w:bookmarkEnd w:id="0"/>
    </w:p>
    <w:p w:rsidR="00386EE0" w:rsidRDefault="00386EE0" w:rsidP="00386EE0">
      <w:pPr>
        <w:jc w:val="both"/>
        <w:rPr>
          <w:rFonts w:ascii="Book Antiqua" w:hAnsi="Book Antiqua"/>
        </w:rPr>
      </w:pPr>
      <w:r w:rsidRPr="00314941">
        <w:rPr>
          <w:rFonts w:ascii="Book Antiqua" w:hAnsi="Book Antiqua"/>
          <w:b/>
          <w:u w:val="single"/>
        </w:rPr>
        <w:t xml:space="preserve">Direction Regarding Anonymity – </w:t>
      </w:r>
      <w:r w:rsidRPr="00604367">
        <w:rPr>
          <w:rFonts w:ascii="Book Antiqua" w:hAnsi="Book Antiqua" w:cs="Arial"/>
          <w:b/>
          <w:u w:val="single"/>
        </w:rPr>
        <w:t>rule</w:t>
      </w:r>
      <w:r w:rsidR="00574E6F">
        <w:rPr>
          <w:rFonts w:ascii="Book Antiqua" w:hAnsi="Book Antiqua" w:cs="Arial"/>
          <w:b/>
          <w:u w:val="single"/>
        </w:rPr>
        <w:t xml:space="preserve"> 14</w:t>
      </w:r>
      <w:r w:rsidRPr="00604367">
        <w:rPr>
          <w:rFonts w:ascii="Book Antiqua" w:hAnsi="Book Antiqua" w:cs="Arial"/>
          <w:b/>
          <w:u w:val="single"/>
        </w:rPr>
        <w:t xml:space="preserve"> of the </w:t>
      </w:r>
      <w:r w:rsidR="00574E6F">
        <w:rPr>
          <w:rFonts w:ascii="Book Antiqua" w:hAnsi="Book Antiqua" w:cs="Arial"/>
          <w:b/>
          <w:u w:val="single"/>
        </w:rPr>
        <w:t>Tribunal Procedure (Upper Tribunal Rules 2008</w:t>
      </w:r>
    </w:p>
    <w:p w:rsidR="00386EE0" w:rsidRDefault="00386EE0" w:rsidP="00386EE0">
      <w:pPr>
        <w:jc w:val="both"/>
        <w:rPr>
          <w:rFonts w:ascii="Book Antiqua" w:hAnsi="Book Antiqua"/>
        </w:rPr>
      </w:pPr>
    </w:p>
    <w:p w:rsidR="00BF2ED8" w:rsidRPr="000619F9" w:rsidRDefault="00386EE0" w:rsidP="00D95B7E">
      <w:pPr>
        <w:jc w:val="both"/>
        <w:rPr>
          <w:rFonts w:ascii="Book Antiqua" w:hAnsi="Book Antiqua" w:cs="Arial"/>
          <w:color w:val="000000"/>
        </w:rPr>
      </w:pPr>
      <w:r>
        <w:rPr>
          <w:rFonts w:ascii="Book Antiqua" w:hAnsi="Book Antiqua"/>
        </w:rPr>
        <w:t>Unless and 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r w:rsidR="00D95B7E" w:rsidRPr="000619F9">
        <w:rPr>
          <w:rFonts w:ascii="Book Antiqua" w:hAnsi="Book Antiqua" w:cs="Arial"/>
          <w:color w:val="000000"/>
        </w:rPr>
        <w:t xml:space="preserve"> </w:t>
      </w:r>
    </w:p>
    <w:p w:rsidR="00266FFE" w:rsidRDefault="00266FFE"/>
    <w:sectPr w:rsidR="00266FFE" w:rsidSect="00D64561">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A83" w:rsidRDefault="001E6A83">
      <w:r>
        <w:separator/>
      </w:r>
    </w:p>
  </w:endnote>
  <w:endnote w:type="continuationSeparator" w:id="0">
    <w:p w:rsidR="001E6A83" w:rsidRDefault="001E6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E82" w:rsidRPr="00D64561" w:rsidRDefault="00631E82" w:rsidP="00614E94">
    <w:pPr>
      <w:pStyle w:val="Footer"/>
      <w:jc w:val="center"/>
      <w:rPr>
        <w:rFonts w:ascii="Book Antiqua" w:hAnsi="Book Antiqua" w:cs="Arial"/>
      </w:rPr>
    </w:pPr>
    <w:r w:rsidRPr="00D64561">
      <w:rPr>
        <w:rStyle w:val="PageNumber"/>
        <w:rFonts w:ascii="Book Antiqua" w:hAnsi="Book Antiqua" w:cs="Arial"/>
      </w:rPr>
      <w:fldChar w:fldCharType="begin"/>
    </w:r>
    <w:r w:rsidRPr="00D64561">
      <w:rPr>
        <w:rStyle w:val="PageNumber"/>
        <w:rFonts w:ascii="Book Antiqua" w:hAnsi="Book Antiqua" w:cs="Arial"/>
      </w:rPr>
      <w:instrText xml:space="preserve"> PAGE </w:instrText>
    </w:r>
    <w:r w:rsidRPr="00D64561">
      <w:rPr>
        <w:rStyle w:val="PageNumber"/>
        <w:rFonts w:ascii="Book Antiqua" w:hAnsi="Book Antiqua" w:cs="Arial"/>
      </w:rPr>
      <w:fldChar w:fldCharType="separate"/>
    </w:r>
    <w:r w:rsidR="00C96DA7">
      <w:rPr>
        <w:rStyle w:val="PageNumber"/>
        <w:rFonts w:ascii="Book Antiqua" w:hAnsi="Book Antiqua" w:cs="Arial"/>
        <w:noProof/>
      </w:rPr>
      <w:t>7</w:t>
    </w:r>
    <w:r w:rsidRPr="00D6456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E82" w:rsidRPr="00D64561" w:rsidRDefault="00631E82" w:rsidP="00614E94">
    <w:pPr>
      <w:jc w:val="center"/>
      <w:rPr>
        <w:rFonts w:ascii="Book Antiqua" w:hAnsi="Book Antiqua" w:cs="Arial"/>
        <w:b/>
      </w:rPr>
    </w:pPr>
    <w:r w:rsidRPr="00D64561">
      <w:rPr>
        <w:rFonts w:ascii="Book Antiqua" w:hAnsi="Book Antiqua" w:cs="Arial"/>
        <w:b/>
        <w:spacing w:val="-6"/>
      </w:rPr>
      <w:t>©</w:t>
    </w:r>
    <w:r w:rsidR="00601191" w:rsidRPr="00D6456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A83" w:rsidRDefault="001E6A83">
      <w:r>
        <w:separator/>
      </w:r>
    </w:p>
  </w:footnote>
  <w:footnote w:type="continuationSeparator" w:id="0">
    <w:p w:rsidR="001E6A83" w:rsidRDefault="001E6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E82" w:rsidRDefault="00631E82" w:rsidP="00614E94">
    <w:pPr>
      <w:pStyle w:val="Header"/>
      <w:jc w:val="right"/>
      <w:rPr>
        <w:rFonts w:ascii="Book Antiqua" w:hAnsi="Book Antiqua" w:cs="Arial"/>
        <w:sz w:val="16"/>
        <w:szCs w:val="16"/>
      </w:rPr>
    </w:pPr>
    <w:r w:rsidRPr="00475C04">
      <w:rPr>
        <w:rFonts w:ascii="Book Antiqua" w:hAnsi="Book Antiqua" w:cs="Arial"/>
        <w:sz w:val="16"/>
        <w:szCs w:val="16"/>
      </w:rPr>
      <w:t xml:space="preserve">Appeal Number: </w:t>
    </w:r>
    <w:r w:rsidR="00475C04" w:rsidRPr="00475C04">
      <w:rPr>
        <w:rFonts w:ascii="Book Antiqua" w:hAnsi="Book Antiqua" w:cs="Arial"/>
        <w:sz w:val="16"/>
        <w:szCs w:val="16"/>
      </w:rPr>
      <w:t>IA/52381/2013</w:t>
    </w:r>
  </w:p>
  <w:p w:rsidR="00D64561" w:rsidRPr="00475C04" w:rsidRDefault="00D6456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5532C"/>
    <w:multiLevelType w:val="hybridMultilevel"/>
    <w:tmpl w:val="8B3E5846"/>
    <w:lvl w:ilvl="0" w:tplc="A64660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50FA3C9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6768481F"/>
    <w:multiLevelType w:val="hybridMultilevel"/>
    <w:tmpl w:val="5BF2BBE4"/>
    <w:lvl w:ilvl="0" w:tplc="430EDB9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6CE257D2"/>
    <w:multiLevelType w:val="hybridMultilevel"/>
    <w:tmpl w:val="98CEAF8E"/>
    <w:lvl w:ilvl="0" w:tplc="A29010AA">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4E35"/>
    <w:rsid w:val="00025F0F"/>
    <w:rsid w:val="00042283"/>
    <w:rsid w:val="0007151F"/>
    <w:rsid w:val="000864A6"/>
    <w:rsid w:val="00091185"/>
    <w:rsid w:val="000B4637"/>
    <w:rsid w:val="000B5D22"/>
    <w:rsid w:val="00112B05"/>
    <w:rsid w:val="00126DF1"/>
    <w:rsid w:val="0017612F"/>
    <w:rsid w:val="00181DDC"/>
    <w:rsid w:val="001832F8"/>
    <w:rsid w:val="001D4C33"/>
    <w:rsid w:val="001E6A83"/>
    <w:rsid w:val="001F4510"/>
    <w:rsid w:val="001F7EF0"/>
    <w:rsid w:val="002137C8"/>
    <w:rsid w:val="0022452C"/>
    <w:rsid w:val="00240EA0"/>
    <w:rsid w:val="002425D6"/>
    <w:rsid w:val="00245419"/>
    <w:rsid w:val="00252175"/>
    <w:rsid w:val="00266FFE"/>
    <w:rsid w:val="00274590"/>
    <w:rsid w:val="00285654"/>
    <w:rsid w:val="0029079C"/>
    <w:rsid w:val="002B11E8"/>
    <w:rsid w:val="002B2AFE"/>
    <w:rsid w:val="002B3AC8"/>
    <w:rsid w:val="002C35A6"/>
    <w:rsid w:val="002F0B2B"/>
    <w:rsid w:val="002F3BEB"/>
    <w:rsid w:val="00310818"/>
    <w:rsid w:val="00332DFB"/>
    <w:rsid w:val="0034540B"/>
    <w:rsid w:val="00371AA6"/>
    <w:rsid w:val="00385AE2"/>
    <w:rsid w:val="00386EE0"/>
    <w:rsid w:val="00392E2C"/>
    <w:rsid w:val="003A6BCA"/>
    <w:rsid w:val="003C2CB5"/>
    <w:rsid w:val="003C3634"/>
    <w:rsid w:val="003D7DC1"/>
    <w:rsid w:val="003F6C7F"/>
    <w:rsid w:val="00402FF4"/>
    <w:rsid w:val="00404806"/>
    <w:rsid w:val="004171D0"/>
    <w:rsid w:val="00433BB9"/>
    <w:rsid w:val="00434BE9"/>
    <w:rsid w:val="0047063F"/>
    <w:rsid w:val="00470937"/>
    <w:rsid w:val="00475C04"/>
    <w:rsid w:val="00491912"/>
    <w:rsid w:val="00492015"/>
    <w:rsid w:val="00493783"/>
    <w:rsid w:val="004A012D"/>
    <w:rsid w:val="004A289F"/>
    <w:rsid w:val="004B38C3"/>
    <w:rsid w:val="004B3977"/>
    <w:rsid w:val="004C5989"/>
    <w:rsid w:val="004D7243"/>
    <w:rsid w:val="004F3024"/>
    <w:rsid w:val="00534906"/>
    <w:rsid w:val="00554364"/>
    <w:rsid w:val="0057020B"/>
    <w:rsid w:val="00574E6F"/>
    <w:rsid w:val="005D16E3"/>
    <w:rsid w:val="005D590F"/>
    <w:rsid w:val="005F7D99"/>
    <w:rsid w:val="00601191"/>
    <w:rsid w:val="00607367"/>
    <w:rsid w:val="0061365A"/>
    <w:rsid w:val="00614E94"/>
    <w:rsid w:val="00621214"/>
    <w:rsid w:val="00624187"/>
    <w:rsid w:val="00631E82"/>
    <w:rsid w:val="0063712E"/>
    <w:rsid w:val="00665870"/>
    <w:rsid w:val="006748D6"/>
    <w:rsid w:val="00674BC9"/>
    <w:rsid w:val="00680A32"/>
    <w:rsid w:val="006A28D6"/>
    <w:rsid w:val="006B3731"/>
    <w:rsid w:val="006C495F"/>
    <w:rsid w:val="006C73CE"/>
    <w:rsid w:val="00714BC3"/>
    <w:rsid w:val="007260DE"/>
    <w:rsid w:val="0074595D"/>
    <w:rsid w:val="0076419F"/>
    <w:rsid w:val="00780919"/>
    <w:rsid w:val="007936FD"/>
    <w:rsid w:val="007A7333"/>
    <w:rsid w:val="007E13A8"/>
    <w:rsid w:val="007E4478"/>
    <w:rsid w:val="007F0995"/>
    <w:rsid w:val="007F2D17"/>
    <w:rsid w:val="0080288E"/>
    <w:rsid w:val="00841BE5"/>
    <w:rsid w:val="00876A02"/>
    <w:rsid w:val="00877127"/>
    <w:rsid w:val="008832E8"/>
    <w:rsid w:val="008A34D6"/>
    <w:rsid w:val="008A5EA5"/>
    <w:rsid w:val="008A7DAF"/>
    <w:rsid w:val="009067F6"/>
    <w:rsid w:val="00933B65"/>
    <w:rsid w:val="00942951"/>
    <w:rsid w:val="009621AD"/>
    <w:rsid w:val="009628D1"/>
    <w:rsid w:val="00967A5F"/>
    <w:rsid w:val="009701EB"/>
    <w:rsid w:val="00982AF2"/>
    <w:rsid w:val="009A7216"/>
    <w:rsid w:val="009B1C87"/>
    <w:rsid w:val="009B2262"/>
    <w:rsid w:val="009B32D8"/>
    <w:rsid w:val="009D328D"/>
    <w:rsid w:val="00A11F18"/>
    <w:rsid w:val="00A42B65"/>
    <w:rsid w:val="00A76AD0"/>
    <w:rsid w:val="00A86A8D"/>
    <w:rsid w:val="00A86B80"/>
    <w:rsid w:val="00AC5C04"/>
    <w:rsid w:val="00AD64DB"/>
    <w:rsid w:val="00AF37C0"/>
    <w:rsid w:val="00B042DD"/>
    <w:rsid w:val="00B10800"/>
    <w:rsid w:val="00B402A2"/>
    <w:rsid w:val="00B50AD4"/>
    <w:rsid w:val="00B50C2E"/>
    <w:rsid w:val="00B94499"/>
    <w:rsid w:val="00BA19C3"/>
    <w:rsid w:val="00BA6440"/>
    <w:rsid w:val="00BB6B2E"/>
    <w:rsid w:val="00BC0D55"/>
    <w:rsid w:val="00BE796B"/>
    <w:rsid w:val="00BF2ED8"/>
    <w:rsid w:val="00BF6DEE"/>
    <w:rsid w:val="00C31AFF"/>
    <w:rsid w:val="00C52169"/>
    <w:rsid w:val="00C62330"/>
    <w:rsid w:val="00C67EFD"/>
    <w:rsid w:val="00C96DA7"/>
    <w:rsid w:val="00D05DAF"/>
    <w:rsid w:val="00D44A14"/>
    <w:rsid w:val="00D64561"/>
    <w:rsid w:val="00D95B7E"/>
    <w:rsid w:val="00DA75F5"/>
    <w:rsid w:val="00DB32D9"/>
    <w:rsid w:val="00DC016E"/>
    <w:rsid w:val="00DE58CA"/>
    <w:rsid w:val="00DE7A61"/>
    <w:rsid w:val="00DF3502"/>
    <w:rsid w:val="00E35D85"/>
    <w:rsid w:val="00E73E98"/>
    <w:rsid w:val="00EA7CAC"/>
    <w:rsid w:val="00EC285E"/>
    <w:rsid w:val="00EF0FBA"/>
    <w:rsid w:val="00F04665"/>
    <w:rsid w:val="00F5730A"/>
    <w:rsid w:val="00F648C0"/>
    <w:rsid w:val="00F7667D"/>
    <w:rsid w:val="00F84F76"/>
    <w:rsid w:val="00F907A2"/>
    <w:rsid w:val="00F90A7D"/>
    <w:rsid w:val="00F954A5"/>
    <w:rsid w:val="00FA0A2E"/>
    <w:rsid w:val="00FA53A3"/>
    <w:rsid w:val="00FA7B9F"/>
    <w:rsid w:val="00FB0516"/>
    <w:rsid w:val="00FB635E"/>
    <w:rsid w:val="00FC5541"/>
    <w:rsid w:val="00FD2407"/>
    <w:rsid w:val="00FD5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B8399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F2ED8"/>
    <w:rPr>
      <w:color w:val="0000FF"/>
      <w:u w:val="single"/>
    </w:rPr>
  </w:style>
  <w:style w:type="paragraph" w:styleId="ListParagraph">
    <w:name w:val="List Paragraph"/>
    <w:basedOn w:val="Normal"/>
    <w:uiPriority w:val="34"/>
    <w:qFormat/>
    <w:rsid w:val="002B2AFE"/>
    <w:pPr>
      <w:ind w:left="720"/>
    </w:pPr>
  </w:style>
  <w:style w:type="paragraph" w:styleId="BalloonText">
    <w:name w:val="Balloon Text"/>
    <w:basedOn w:val="Normal"/>
    <w:link w:val="BalloonTextChar"/>
    <w:rsid w:val="005F7D99"/>
    <w:rPr>
      <w:rFonts w:ascii="Segoe UI" w:hAnsi="Segoe UI" w:cs="Segoe UI"/>
      <w:sz w:val="18"/>
      <w:szCs w:val="18"/>
    </w:rPr>
  </w:style>
  <w:style w:type="character" w:customStyle="1" w:styleId="BalloonTextChar">
    <w:name w:val="Balloon Text Char"/>
    <w:link w:val="BalloonText"/>
    <w:rsid w:val="005F7D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F5433-8C1C-4CB6-AA98-0EAABCA8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3006</Words>
  <Characters>14319</Characters>
  <Application>Microsoft Office Word</Application>
  <DocSecurity>0</DocSecurity>
  <Lines>119</Lines>
  <Paragraphs>34</Paragraphs>
  <ScaleCrop>false</ScaleCrop>
  <Company/>
  <LinksUpToDate>false</LinksUpToDate>
  <CharactersWithSpaces>17291</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2018-06-22T11:02:00Z</dcterms:created>
  <dcterms:modified xsi:type="dcterms:W3CDTF">2018-06-22T11:02:00Z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