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E42032" w:rsidP="00C321B5">
      <w:pPr>
        <w:jc w:val="center"/>
        <w:rPr>
          <w:rFonts w:ascii="Book Antiqua" w:hAnsi="Book Antiqua" w:cs="Arial"/>
          <w:sz w:val="16"/>
          <w:szCs w:val="16"/>
        </w:rPr>
      </w:pPr>
      <w:r>
        <w:rPr>
          <w:noProof/>
        </w:rPr>
        <w:drawing>
          <wp:inline distT="0" distB="0" distL="0" distR="0" wp14:anchorId="0A15E575" wp14:editId="05106FAE">
            <wp:extent cx="1198800" cy="1036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88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5F6ECF"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5F6ECF">
        <w:rPr>
          <w:rFonts w:ascii="Book Antiqua" w:hAnsi="Book Antiqua" w:cs="Arial"/>
          <w:b/>
        </w:rPr>
        <w:t xml:space="preserve">   </w:t>
      </w:r>
      <w:proofErr w:type="gramEnd"/>
      <w:r w:rsidR="005F6ECF">
        <w:rPr>
          <w:rFonts w:ascii="Book Antiqua" w:hAnsi="Book Antiqua" w:cs="Arial"/>
          <w:b/>
        </w:rPr>
        <w:t xml:space="preserve">                 </w:t>
      </w:r>
      <w:r w:rsidR="00B3524D" w:rsidRPr="005F6ECF">
        <w:rPr>
          <w:rFonts w:ascii="Book Antiqua" w:hAnsi="Book Antiqua" w:cs="Arial"/>
          <w:b/>
        </w:rPr>
        <w:t>Appeal Number</w:t>
      </w:r>
      <w:r w:rsidR="00D53769" w:rsidRPr="005F6ECF">
        <w:rPr>
          <w:rFonts w:ascii="Book Antiqua" w:hAnsi="Book Antiqua" w:cs="Arial"/>
          <w:b/>
        </w:rPr>
        <w:t>:</w:t>
      </w:r>
      <w:r w:rsidR="00B3524D" w:rsidRPr="005F6ECF">
        <w:rPr>
          <w:rFonts w:ascii="Book Antiqua" w:hAnsi="Book Antiqua" w:cs="Arial"/>
          <w:b/>
        </w:rPr>
        <w:t xml:space="preserve"> </w:t>
      </w:r>
      <w:r w:rsidR="00C4362D" w:rsidRPr="005F6ECF">
        <w:rPr>
          <w:rFonts w:ascii="Book Antiqua" w:hAnsi="Book Antiqua" w:cs="Arial"/>
          <w:b/>
          <w:caps/>
        </w:rPr>
        <w:t>OA/00055/2016</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103"/>
        <w:gridCol w:w="945"/>
        <w:gridCol w:w="3960"/>
      </w:tblGrid>
      <w:tr w:rsidR="00D22636" w:rsidRPr="00F5664C" w:rsidTr="005F6ECF">
        <w:tc>
          <w:tcPr>
            <w:tcW w:w="5103"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C4362D">
              <w:rPr>
                <w:rFonts w:ascii="Book Antiqua" w:hAnsi="Book Antiqua" w:cs="Arial"/>
                <w:b/>
              </w:rPr>
              <w:t xml:space="preserve">Field House </w:t>
            </w:r>
          </w:p>
        </w:tc>
        <w:tc>
          <w:tcPr>
            <w:tcW w:w="4905" w:type="dxa"/>
            <w:gridSpan w:val="2"/>
          </w:tcPr>
          <w:p w:rsidR="00D22636" w:rsidRPr="00F5664C" w:rsidRDefault="009F518E"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5F6ECF">
        <w:tc>
          <w:tcPr>
            <w:tcW w:w="5103"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C4362D">
              <w:rPr>
                <w:rFonts w:ascii="Book Antiqua" w:hAnsi="Book Antiqua" w:cs="Arial"/>
                <w:b/>
              </w:rPr>
              <w:t>11</w:t>
            </w:r>
            <w:bookmarkStart w:id="0" w:name="_GoBack"/>
            <w:bookmarkEnd w:id="0"/>
            <w:r w:rsidR="00C4362D">
              <w:rPr>
                <w:rFonts w:ascii="Book Antiqua" w:hAnsi="Book Antiqua" w:cs="Arial"/>
                <w:b/>
              </w:rPr>
              <w:t xml:space="preserve"> September 2018 </w:t>
            </w:r>
          </w:p>
        </w:tc>
        <w:tc>
          <w:tcPr>
            <w:tcW w:w="4905" w:type="dxa"/>
            <w:gridSpan w:val="2"/>
          </w:tcPr>
          <w:p w:rsidR="00D22636" w:rsidRPr="00F5664C" w:rsidRDefault="00D425EB" w:rsidP="004A1848">
            <w:pPr>
              <w:jc w:val="both"/>
              <w:rPr>
                <w:rFonts w:ascii="Book Antiqua" w:hAnsi="Book Antiqua" w:cs="Arial"/>
                <w:b/>
              </w:rPr>
            </w:pPr>
            <w:r>
              <w:rPr>
                <w:rFonts w:ascii="Book Antiqua" w:hAnsi="Book Antiqua" w:cs="Arial"/>
                <w:b/>
              </w:rPr>
              <w:t xml:space="preserve">On 21 September 2018 </w:t>
            </w:r>
          </w:p>
        </w:tc>
      </w:tr>
      <w:tr w:rsidR="00D22636" w:rsidRPr="00F5664C" w:rsidTr="00D425EB">
        <w:tc>
          <w:tcPr>
            <w:tcW w:w="6048" w:type="dxa"/>
            <w:gridSpan w:val="2"/>
          </w:tcPr>
          <w:p w:rsidR="00D22636" w:rsidRPr="00F5664C" w:rsidRDefault="00D22636" w:rsidP="004A1848">
            <w:pPr>
              <w:jc w:val="both"/>
              <w:rPr>
                <w:rFonts w:ascii="Book Antiqua" w:hAnsi="Book Antiqua" w:cs="Arial"/>
                <w:b/>
              </w:rPr>
            </w:pPr>
          </w:p>
        </w:tc>
        <w:tc>
          <w:tcPr>
            <w:tcW w:w="3960" w:type="dxa"/>
          </w:tcPr>
          <w:p w:rsidR="00D22636" w:rsidRPr="00F5664C" w:rsidRDefault="00D22636" w:rsidP="004A1848">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 xml:space="preserve">JUDGE </w:t>
      </w:r>
      <w:r w:rsidR="0093333B">
        <w:rPr>
          <w:rFonts w:ascii="Book Antiqua" w:hAnsi="Book Antiqua" w:cs="Arial"/>
          <w:b/>
        </w:rPr>
        <w:t>J G MACDONALD</w:t>
      </w:r>
    </w:p>
    <w:p w:rsidR="001A1E2C" w:rsidRDefault="001A1E2C"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C4362D" w:rsidP="00742A8D">
      <w:pPr>
        <w:jc w:val="center"/>
        <w:rPr>
          <w:rFonts w:ascii="Book Antiqua" w:hAnsi="Book Antiqua" w:cs="Arial"/>
          <w:b/>
          <w:caps/>
        </w:rPr>
      </w:pPr>
      <w:r>
        <w:rPr>
          <w:rFonts w:ascii="Book Antiqua" w:hAnsi="Book Antiqua" w:cs="Arial"/>
          <w:b/>
          <w:caps/>
        </w:rPr>
        <w:t xml:space="preserve">mrs </w:t>
      </w:r>
      <w:r w:rsidRPr="00C4362D">
        <w:rPr>
          <w:rFonts w:ascii="Book Antiqua" w:hAnsi="Book Antiqua" w:cs="Arial"/>
          <w:b/>
          <w:caps/>
        </w:rPr>
        <w:t>Senani Neranjali Kumari Palle</w:t>
      </w:r>
      <w:r>
        <w:rPr>
          <w:rFonts w:ascii="Book Antiqua" w:hAnsi="Book Antiqua" w:cs="Arial"/>
          <w:b/>
          <w:caps/>
        </w:rPr>
        <w:t xml:space="preserve"> </w:t>
      </w:r>
      <w:r w:rsidRPr="00C4362D">
        <w:rPr>
          <w:rFonts w:ascii="Book Antiqua" w:hAnsi="Book Antiqua" w:cs="Arial"/>
          <w:b/>
          <w:caps/>
        </w:rPr>
        <w:t>Gedara</w:t>
      </w:r>
    </w:p>
    <w:p w:rsidR="009F518E" w:rsidRPr="005F6ECF" w:rsidRDefault="009F518E" w:rsidP="009F518E">
      <w:pPr>
        <w:jc w:val="center"/>
        <w:rPr>
          <w:rFonts w:ascii="Book Antiqua" w:hAnsi="Book Antiqua" w:cs="Arial"/>
          <w:caps/>
        </w:rPr>
      </w:pPr>
      <w:r w:rsidRPr="005F6ECF">
        <w:rPr>
          <w:rFonts w:ascii="Book Antiqua" w:hAnsi="Book Antiqua" w:cs="Arial"/>
          <w:caps/>
        </w:rPr>
        <w:t xml:space="preserve">(ANONYMITY </w:t>
      </w:r>
      <w:r w:rsidR="00532E7D" w:rsidRPr="005F6ECF">
        <w:rPr>
          <w:rFonts w:ascii="Book Antiqua" w:hAnsi="Book Antiqua" w:cs="Arial"/>
          <w:caps/>
        </w:rPr>
        <w:t>order</w:t>
      </w:r>
      <w:r w:rsidRPr="005F6ECF">
        <w:rPr>
          <w:rFonts w:ascii="Book Antiqua" w:hAnsi="Book Antiqua" w:cs="Arial"/>
          <w:caps/>
        </w:rPr>
        <w:t xml:space="preserve"> </w:t>
      </w:r>
      <w:r w:rsidR="00C4362D" w:rsidRPr="005F6ECF">
        <w:rPr>
          <w:rFonts w:ascii="Book Antiqua" w:hAnsi="Book Antiqua" w:cs="Arial"/>
          <w:caps/>
        </w:rPr>
        <w:t>not made</w:t>
      </w:r>
      <w:r w:rsidRPr="005F6ECF">
        <w:rPr>
          <w:rFonts w:ascii="Book Antiqua" w:hAnsi="Book Antiqua" w:cs="Arial"/>
          <w:caps/>
        </w:rPr>
        <w:t>)</w:t>
      </w:r>
    </w:p>
    <w:p w:rsidR="00704B61" w:rsidRPr="00F5664C" w:rsidRDefault="00FD0FBB" w:rsidP="00704B61">
      <w:pPr>
        <w:jc w:val="right"/>
        <w:rPr>
          <w:rFonts w:ascii="Book Antiqua" w:hAnsi="Book Antiqua" w:cs="Arial"/>
          <w:u w:val="single"/>
        </w:rPr>
      </w:pPr>
      <w:r>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5F6ECF" w:rsidRPr="00F5664C" w:rsidRDefault="005F6ECF"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FD0FBB" w:rsidP="00DD5071">
      <w:pPr>
        <w:jc w:val="right"/>
        <w:rPr>
          <w:rFonts w:ascii="Book Antiqua" w:hAnsi="Book Antiqua" w:cs="Arial"/>
          <w:u w:val="single"/>
        </w:rPr>
      </w:pPr>
      <w:r>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FD0FBB">
        <w:rPr>
          <w:rFonts w:ascii="Book Antiqua" w:hAnsi="Book Antiqua" w:cs="Arial"/>
        </w:rPr>
        <w:t>Appellant</w:t>
      </w:r>
      <w:r w:rsidRPr="00F5664C">
        <w:rPr>
          <w:rFonts w:ascii="Book Antiqua" w:hAnsi="Book Antiqua" w:cs="Arial"/>
        </w:rPr>
        <w:t>:</w:t>
      </w:r>
      <w:r w:rsidRPr="00F5664C">
        <w:rPr>
          <w:rFonts w:ascii="Book Antiqua" w:hAnsi="Book Antiqua" w:cs="Arial"/>
        </w:rPr>
        <w:tab/>
      </w:r>
      <w:r w:rsidR="00C4362D">
        <w:rPr>
          <w:rFonts w:ascii="Book Antiqua" w:hAnsi="Book Antiqua" w:cs="Arial"/>
        </w:rPr>
        <w:t xml:space="preserve">Mr F Junior, Legal Representative instructed by </w:t>
      </w:r>
      <w:proofErr w:type="spellStart"/>
      <w:r w:rsidR="00C4362D">
        <w:rPr>
          <w:rFonts w:ascii="Book Antiqua" w:hAnsi="Book Antiqua" w:cs="Arial"/>
        </w:rPr>
        <w:t>Lawland</w:t>
      </w:r>
      <w:proofErr w:type="spellEnd"/>
      <w:r w:rsidR="00C4362D">
        <w:rPr>
          <w:rFonts w:ascii="Book Antiqua" w:hAnsi="Book Antiqua" w:cs="Arial"/>
        </w:rPr>
        <w:t xml:space="preserve"> Solicitors </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FD0FBB">
        <w:rPr>
          <w:rFonts w:ascii="Book Antiqua" w:hAnsi="Book Antiqua" w:cs="Arial"/>
        </w:rPr>
        <w:t>Respondent</w:t>
      </w:r>
      <w:r w:rsidRPr="00F5664C">
        <w:rPr>
          <w:rFonts w:ascii="Book Antiqua" w:hAnsi="Book Antiqua" w:cs="Arial"/>
        </w:rPr>
        <w:t>:</w:t>
      </w:r>
      <w:r w:rsidRPr="00F5664C">
        <w:rPr>
          <w:rFonts w:ascii="Book Antiqua" w:hAnsi="Book Antiqua" w:cs="Arial"/>
        </w:rPr>
        <w:tab/>
      </w:r>
      <w:r w:rsidR="00712A7E">
        <w:rPr>
          <w:rFonts w:ascii="Book Antiqua" w:hAnsi="Book Antiqua" w:cs="Arial"/>
        </w:rPr>
        <w:t>M</w:t>
      </w:r>
      <w:r w:rsidR="00C4362D">
        <w:rPr>
          <w:rFonts w:ascii="Book Antiqua" w:hAnsi="Book Antiqua" w:cs="Arial"/>
        </w:rPr>
        <w:t xml:space="preserve">s A Everett, Senior Home Office Presenting Officer </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9F518E"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Default="00B626FA" w:rsidP="00402B9E">
      <w:pPr>
        <w:tabs>
          <w:tab w:val="left" w:pos="2520"/>
        </w:tabs>
        <w:jc w:val="both"/>
        <w:rPr>
          <w:rFonts w:ascii="Book Antiqua" w:hAnsi="Book Antiqua" w:cs="Arial"/>
        </w:rPr>
      </w:pPr>
    </w:p>
    <w:p w:rsidR="00B52A42" w:rsidRDefault="00C4362D" w:rsidP="00B52A42">
      <w:pPr>
        <w:numPr>
          <w:ilvl w:val="0"/>
          <w:numId w:val="3"/>
        </w:numPr>
        <w:spacing w:before="240"/>
        <w:jc w:val="both"/>
        <w:rPr>
          <w:rFonts w:ascii="Book Antiqua" w:hAnsi="Book Antiqua" w:cs="Arial"/>
        </w:rPr>
      </w:pPr>
      <w:r>
        <w:rPr>
          <w:rFonts w:ascii="Book Antiqua" w:hAnsi="Book Antiqua" w:cs="Arial"/>
        </w:rPr>
        <w:t xml:space="preserve">The </w:t>
      </w:r>
      <w:r w:rsidR="00FD0FBB">
        <w:rPr>
          <w:rFonts w:ascii="Book Antiqua" w:hAnsi="Book Antiqua" w:cs="Arial"/>
        </w:rPr>
        <w:t>Appellant</w:t>
      </w:r>
      <w:r>
        <w:rPr>
          <w:rFonts w:ascii="Book Antiqua" w:hAnsi="Book Antiqua" w:cs="Arial"/>
        </w:rPr>
        <w:t xml:space="preserve"> is a citizen of Sri Lanka who appealed against the </w:t>
      </w:r>
      <w:r w:rsidR="00FD0FBB">
        <w:rPr>
          <w:rFonts w:ascii="Book Antiqua" w:hAnsi="Book Antiqua" w:cs="Arial"/>
        </w:rPr>
        <w:t>Respondent</w:t>
      </w:r>
      <w:r>
        <w:rPr>
          <w:rFonts w:ascii="Book Antiqua" w:hAnsi="Book Antiqua" w:cs="Arial"/>
        </w:rPr>
        <w:t>’s decision dated 28</w:t>
      </w:r>
      <w:r w:rsidRPr="00C4362D">
        <w:rPr>
          <w:rFonts w:ascii="Book Antiqua" w:hAnsi="Book Antiqua" w:cs="Arial"/>
          <w:vertAlign w:val="superscript"/>
        </w:rPr>
        <w:t>th</w:t>
      </w:r>
      <w:r>
        <w:rPr>
          <w:rFonts w:ascii="Book Antiqua" w:hAnsi="Book Antiqua" w:cs="Arial"/>
        </w:rPr>
        <w:t xml:space="preserve"> April 2014 to refuse her application </w:t>
      </w:r>
      <w:r w:rsidR="00FD61EE">
        <w:rPr>
          <w:rFonts w:ascii="Book Antiqua" w:hAnsi="Book Antiqua" w:cs="Arial"/>
        </w:rPr>
        <w:t xml:space="preserve">for leave to enter the United Kingdom as a partner under Appendix </w:t>
      </w:r>
      <w:r w:rsidR="006429BE">
        <w:rPr>
          <w:rFonts w:ascii="Book Antiqua" w:hAnsi="Book Antiqua" w:cs="Arial"/>
        </w:rPr>
        <w:t>FM</w:t>
      </w:r>
      <w:r w:rsidR="00FD61EE">
        <w:rPr>
          <w:rFonts w:ascii="Book Antiqua" w:hAnsi="Book Antiqua" w:cs="Arial"/>
        </w:rPr>
        <w:t xml:space="preserve"> of the Immigration Rules</w:t>
      </w:r>
      <w:r w:rsidR="006429BE">
        <w:rPr>
          <w:rFonts w:ascii="Book Antiqua" w:hAnsi="Book Antiqua" w:cs="Arial"/>
        </w:rPr>
        <w:t>.  Her appeal was heard by First-tier Tribunal Judge O’Keeffe who dismissed the appeal under the Immigration Rules and on human rights grounds in a decision promulgated on 17</w:t>
      </w:r>
      <w:r w:rsidR="006429BE" w:rsidRPr="006429BE">
        <w:rPr>
          <w:rFonts w:ascii="Book Antiqua" w:hAnsi="Book Antiqua" w:cs="Arial"/>
          <w:vertAlign w:val="superscript"/>
        </w:rPr>
        <w:t>th</w:t>
      </w:r>
      <w:r w:rsidR="006429BE">
        <w:rPr>
          <w:rFonts w:ascii="Book Antiqua" w:hAnsi="Book Antiqua" w:cs="Arial"/>
        </w:rPr>
        <w:t xml:space="preserve"> July 2017.  </w:t>
      </w:r>
    </w:p>
    <w:p w:rsidR="00712A7E" w:rsidRDefault="006429BE" w:rsidP="00B52A42">
      <w:pPr>
        <w:numPr>
          <w:ilvl w:val="0"/>
          <w:numId w:val="3"/>
        </w:numPr>
        <w:spacing w:before="240"/>
        <w:jc w:val="both"/>
        <w:rPr>
          <w:rFonts w:ascii="Book Antiqua" w:hAnsi="Book Antiqua" w:cs="Arial"/>
        </w:rPr>
      </w:pPr>
      <w:r>
        <w:rPr>
          <w:rFonts w:ascii="Book Antiqua" w:hAnsi="Book Antiqua" w:cs="Arial"/>
        </w:rPr>
        <w:t xml:space="preserve">The judge noted (paragraph 22) that </w:t>
      </w:r>
      <w:proofErr w:type="gramStart"/>
      <w:r>
        <w:rPr>
          <w:rFonts w:ascii="Book Antiqua" w:hAnsi="Book Antiqua" w:cs="Arial"/>
        </w:rPr>
        <w:t>in order to</w:t>
      </w:r>
      <w:proofErr w:type="gramEnd"/>
      <w:r>
        <w:rPr>
          <w:rFonts w:ascii="Book Antiqua" w:hAnsi="Book Antiqua" w:cs="Arial"/>
        </w:rPr>
        <w:t xml:space="preserve"> meet the requirements of Appendix FM for leave to </w:t>
      </w:r>
      <w:r w:rsidR="00256C0D">
        <w:rPr>
          <w:rFonts w:ascii="Book Antiqua" w:hAnsi="Book Antiqua" w:cs="Arial"/>
        </w:rPr>
        <w:t xml:space="preserve">enter </w:t>
      </w:r>
      <w:r>
        <w:rPr>
          <w:rFonts w:ascii="Book Antiqua" w:hAnsi="Book Antiqua" w:cs="Arial"/>
        </w:rPr>
        <w:t xml:space="preserve">here as a partner the </w:t>
      </w:r>
      <w:r w:rsidR="00FD0FBB">
        <w:rPr>
          <w:rFonts w:ascii="Book Antiqua" w:hAnsi="Book Antiqua" w:cs="Arial"/>
        </w:rPr>
        <w:t>Appellant</w:t>
      </w:r>
      <w:r>
        <w:rPr>
          <w:rFonts w:ascii="Book Antiqua" w:hAnsi="Book Antiqua" w:cs="Arial"/>
        </w:rPr>
        <w:t xml:space="preserve"> must provide evidence as </w:t>
      </w:r>
      <w:r>
        <w:rPr>
          <w:rFonts w:ascii="Book Antiqua" w:hAnsi="Book Antiqua" w:cs="Arial"/>
        </w:rPr>
        <w:lastRenderedPageBreak/>
        <w:t xml:space="preserve">specified in Appendix FM-SE.  The burden of proof was on the </w:t>
      </w:r>
      <w:r w:rsidR="00FD0FBB">
        <w:rPr>
          <w:rFonts w:ascii="Book Antiqua" w:hAnsi="Book Antiqua" w:cs="Arial"/>
        </w:rPr>
        <w:t>Appellant</w:t>
      </w:r>
      <w:r>
        <w:rPr>
          <w:rFonts w:ascii="Book Antiqua" w:hAnsi="Book Antiqua" w:cs="Arial"/>
        </w:rPr>
        <w:t xml:space="preserve">.  On the evidence before her the judge found that the </w:t>
      </w:r>
      <w:r w:rsidR="00FD0FBB">
        <w:rPr>
          <w:rFonts w:ascii="Book Antiqua" w:hAnsi="Book Antiqua" w:cs="Arial"/>
        </w:rPr>
        <w:t>Appellant</w:t>
      </w:r>
      <w:r>
        <w:rPr>
          <w:rFonts w:ascii="Book Antiqua" w:hAnsi="Book Antiqua" w:cs="Arial"/>
        </w:rPr>
        <w:t xml:space="preserve"> had not provided the specified evidence in relation to the financial requirements and the English language requiremen</w:t>
      </w:r>
      <w:r w:rsidR="007D517E">
        <w:rPr>
          <w:rFonts w:ascii="Book Antiqua" w:hAnsi="Book Antiqua" w:cs="Arial"/>
        </w:rPr>
        <w:t>ts</w:t>
      </w:r>
      <w:r>
        <w:rPr>
          <w:rFonts w:ascii="Book Antiqua" w:hAnsi="Book Antiqua" w:cs="Arial"/>
        </w:rPr>
        <w:t xml:space="preserve">.  </w:t>
      </w:r>
      <w:r w:rsidR="00BB4728">
        <w:rPr>
          <w:rFonts w:ascii="Book Antiqua" w:hAnsi="Book Antiqua" w:cs="Arial"/>
        </w:rPr>
        <w:t>She went on to consider</w:t>
      </w:r>
      <w:r w:rsidR="00D569E1">
        <w:rPr>
          <w:rFonts w:ascii="Book Antiqua" w:hAnsi="Book Antiqua" w:cs="Arial"/>
        </w:rPr>
        <w:t xml:space="preserve"> whether</w:t>
      </w:r>
      <w:r w:rsidR="00BB4728">
        <w:rPr>
          <w:rFonts w:ascii="Book Antiqua" w:hAnsi="Book Antiqua" w:cs="Arial"/>
        </w:rPr>
        <w:t xml:space="preserve"> there were compelling circumstances not </w:t>
      </w:r>
      <w:r w:rsidR="00712A7E">
        <w:rPr>
          <w:rFonts w:ascii="Book Antiqua" w:hAnsi="Book Antiqua" w:cs="Arial"/>
        </w:rPr>
        <w:t>envisaged</w:t>
      </w:r>
      <w:r w:rsidR="00CF2A3A">
        <w:rPr>
          <w:rFonts w:ascii="Book Antiqua" w:hAnsi="Book Antiqua" w:cs="Arial"/>
        </w:rPr>
        <w:t xml:space="preserve"> </w:t>
      </w:r>
      <w:r w:rsidR="00BB4728">
        <w:rPr>
          <w:rFonts w:ascii="Book Antiqua" w:hAnsi="Book Antiqua" w:cs="Arial"/>
        </w:rPr>
        <w:t xml:space="preserve">in the Immigration Rules </w:t>
      </w:r>
      <w:proofErr w:type="gramStart"/>
      <w:r w:rsidR="00BB4728">
        <w:rPr>
          <w:rFonts w:ascii="Book Antiqua" w:hAnsi="Book Antiqua" w:cs="Arial"/>
        </w:rPr>
        <w:t>in order to</w:t>
      </w:r>
      <w:proofErr w:type="gramEnd"/>
      <w:r w:rsidR="00BB4728">
        <w:rPr>
          <w:rFonts w:ascii="Book Antiqua" w:hAnsi="Book Antiqua" w:cs="Arial"/>
        </w:rPr>
        <w:t xml:space="preserve"> justify a grant of leave to remain outside the Rules and with reference to </w:t>
      </w:r>
      <w:proofErr w:type="spellStart"/>
      <w:r w:rsidR="00BB4728" w:rsidRPr="00BB4728">
        <w:rPr>
          <w:rFonts w:ascii="Book Antiqua" w:hAnsi="Book Antiqua" w:cs="Arial"/>
          <w:b/>
          <w:u w:val="single"/>
        </w:rPr>
        <w:t>Razgar</w:t>
      </w:r>
      <w:proofErr w:type="spellEnd"/>
      <w:r w:rsidR="00BB4728" w:rsidRPr="00BB4728">
        <w:rPr>
          <w:rFonts w:ascii="Book Antiqua" w:hAnsi="Book Antiqua" w:cs="Arial"/>
          <w:b/>
        </w:rPr>
        <w:t xml:space="preserve"> [2004] UKHL 27</w:t>
      </w:r>
      <w:r w:rsidR="00BB4728">
        <w:rPr>
          <w:rFonts w:ascii="Book Antiqua" w:hAnsi="Book Antiqua" w:cs="Arial"/>
        </w:rPr>
        <w:t xml:space="preserve"> concluded that there were no such grounds and hence she dismissed the appeal.  </w:t>
      </w:r>
    </w:p>
    <w:p w:rsidR="006429BE" w:rsidRDefault="00BB4728" w:rsidP="00B52A42">
      <w:pPr>
        <w:numPr>
          <w:ilvl w:val="0"/>
          <w:numId w:val="3"/>
        </w:numPr>
        <w:spacing w:before="240"/>
        <w:jc w:val="both"/>
        <w:rPr>
          <w:rFonts w:ascii="Book Antiqua" w:hAnsi="Book Antiqua" w:cs="Arial"/>
        </w:rPr>
      </w:pPr>
      <w:r>
        <w:rPr>
          <w:rFonts w:ascii="Book Antiqua" w:hAnsi="Book Antiqua" w:cs="Arial"/>
        </w:rPr>
        <w:t xml:space="preserve">Grounds of application were lodged.  It was said that the </w:t>
      </w:r>
      <w:r w:rsidR="00297A48">
        <w:rPr>
          <w:rFonts w:ascii="Book Antiqua" w:hAnsi="Book Antiqua" w:cs="Arial"/>
        </w:rPr>
        <w:t>Sponsor</w:t>
      </w:r>
      <w:r>
        <w:rPr>
          <w:rFonts w:ascii="Book Antiqua" w:hAnsi="Book Antiqua" w:cs="Arial"/>
        </w:rPr>
        <w:t xml:space="preserve"> gave plausible explanations for any inconsistencies in his bank statements from the transactions and the judge had failed to give weight to this evidence.  The judge had further erred in saying that the further documents required by Appendix O were not provided in</w:t>
      </w:r>
      <w:r w:rsidR="00712A7E">
        <w:rPr>
          <w:rFonts w:ascii="Book Antiqua" w:hAnsi="Book Antiqua" w:cs="Arial"/>
        </w:rPr>
        <w:t xml:space="preserve"> evidence; this</w:t>
      </w:r>
      <w:r>
        <w:rPr>
          <w:rFonts w:ascii="Book Antiqua" w:hAnsi="Book Antiqua" w:cs="Arial"/>
        </w:rPr>
        <w:t xml:space="preserve"> showed that the judge had completely ignored the evidence that was contained in the </w:t>
      </w:r>
      <w:r w:rsidR="00FD0FBB">
        <w:rPr>
          <w:rFonts w:ascii="Book Antiqua" w:hAnsi="Book Antiqua" w:cs="Arial"/>
        </w:rPr>
        <w:t>Appellant</w:t>
      </w:r>
      <w:r>
        <w:rPr>
          <w:rFonts w:ascii="Book Antiqua" w:hAnsi="Book Antiqua" w:cs="Arial"/>
        </w:rPr>
        <w:t xml:space="preserve">’s bundle from pages 16 to 20.  In terms of Article 8 it was said that the judge had failed to acknowledge that the application was made four years previously in May 2013 and the delay must have affected the Article 8 rights that the </w:t>
      </w:r>
      <w:r w:rsidR="00FD0FBB">
        <w:rPr>
          <w:rFonts w:ascii="Book Antiqua" w:hAnsi="Book Antiqua" w:cs="Arial"/>
        </w:rPr>
        <w:t>Appellant</w:t>
      </w:r>
      <w:r>
        <w:rPr>
          <w:rFonts w:ascii="Book Antiqua" w:hAnsi="Book Antiqua" w:cs="Arial"/>
        </w:rPr>
        <w:t xml:space="preserve"> and </w:t>
      </w:r>
      <w:r w:rsidR="00FD0FBB">
        <w:rPr>
          <w:rFonts w:ascii="Book Antiqua" w:hAnsi="Book Antiqua" w:cs="Arial"/>
        </w:rPr>
        <w:t>Sponsor</w:t>
      </w:r>
      <w:r>
        <w:rPr>
          <w:rFonts w:ascii="Book Antiqua" w:hAnsi="Book Antiqua" w:cs="Arial"/>
        </w:rPr>
        <w:t xml:space="preserve"> enjoyed.  </w:t>
      </w:r>
    </w:p>
    <w:p w:rsidR="00BB4728" w:rsidRDefault="00FD0FBB" w:rsidP="00B52A42">
      <w:pPr>
        <w:numPr>
          <w:ilvl w:val="0"/>
          <w:numId w:val="3"/>
        </w:numPr>
        <w:spacing w:before="240"/>
        <w:jc w:val="both"/>
        <w:rPr>
          <w:rFonts w:ascii="Book Antiqua" w:hAnsi="Book Antiqua" w:cs="Arial"/>
        </w:rPr>
      </w:pPr>
      <w:r>
        <w:rPr>
          <w:rFonts w:ascii="Book Antiqua" w:hAnsi="Book Antiqua" w:cs="Arial"/>
        </w:rPr>
        <w:t>Permission</w:t>
      </w:r>
      <w:r w:rsidR="00BB4728">
        <w:rPr>
          <w:rFonts w:ascii="Book Antiqua" w:hAnsi="Book Antiqua" w:cs="Arial"/>
        </w:rPr>
        <w:t xml:space="preserve"> to appeal was refused by First-tier Tribunal Judge Pickup in a decision dated 19</w:t>
      </w:r>
      <w:r w:rsidR="00BB4728" w:rsidRPr="00BB4728">
        <w:rPr>
          <w:rFonts w:ascii="Book Antiqua" w:hAnsi="Book Antiqua" w:cs="Arial"/>
          <w:vertAlign w:val="superscript"/>
        </w:rPr>
        <w:t>th</w:t>
      </w:r>
      <w:r w:rsidR="00BB4728">
        <w:rPr>
          <w:rFonts w:ascii="Book Antiqua" w:hAnsi="Book Antiqua" w:cs="Arial"/>
        </w:rPr>
        <w:t xml:space="preserve"> January 2018, it being said that all findings were open to the judge for which cogent reasons were provided.  </w:t>
      </w:r>
      <w:r w:rsidR="00CF2A3A">
        <w:rPr>
          <w:rFonts w:ascii="Book Antiqua" w:hAnsi="Book Antiqua" w:cs="Arial"/>
        </w:rPr>
        <w:t>The grounds were renewed</w:t>
      </w:r>
      <w:r w:rsidR="00712A7E">
        <w:rPr>
          <w:rFonts w:ascii="Book Antiqua" w:hAnsi="Book Antiqua" w:cs="Arial"/>
        </w:rPr>
        <w:t xml:space="preserve"> to the Upper Tribunal</w:t>
      </w:r>
      <w:r w:rsidR="00CF2A3A">
        <w:rPr>
          <w:rFonts w:ascii="Book Antiqua" w:hAnsi="Book Antiqua" w:cs="Arial"/>
        </w:rPr>
        <w:t xml:space="preserve"> and </w:t>
      </w:r>
      <w:r w:rsidR="00BB4728">
        <w:rPr>
          <w:rFonts w:ascii="Book Antiqua" w:hAnsi="Book Antiqua" w:cs="Arial"/>
        </w:rPr>
        <w:t xml:space="preserve">Upper Tribunal Judge Bruce concluded that if the error in law was made out it would be material to the outcome of the appeal and therefore permission was granted.  </w:t>
      </w:r>
    </w:p>
    <w:p w:rsidR="00712A7E" w:rsidRDefault="00712A7E" w:rsidP="00B52A42">
      <w:pPr>
        <w:numPr>
          <w:ilvl w:val="0"/>
          <w:numId w:val="3"/>
        </w:numPr>
        <w:spacing w:before="240"/>
        <w:jc w:val="both"/>
        <w:rPr>
          <w:rFonts w:ascii="Book Antiqua" w:hAnsi="Book Antiqua" w:cs="Arial"/>
        </w:rPr>
      </w:pPr>
      <w:r>
        <w:rPr>
          <w:rFonts w:ascii="Book Antiqua" w:hAnsi="Book Antiqua" w:cs="Arial"/>
        </w:rPr>
        <w:t>Thus,</w:t>
      </w:r>
      <w:r w:rsidR="00BB4728">
        <w:rPr>
          <w:rFonts w:ascii="Book Antiqua" w:hAnsi="Book Antiqua" w:cs="Arial"/>
        </w:rPr>
        <w:t xml:space="preserve"> the matter </w:t>
      </w:r>
      <w:r w:rsidR="00FD0FBB">
        <w:rPr>
          <w:rFonts w:ascii="Book Antiqua" w:hAnsi="Book Antiqua" w:cs="Arial"/>
        </w:rPr>
        <w:t>came</w:t>
      </w:r>
      <w:r w:rsidR="00BB4728">
        <w:rPr>
          <w:rFonts w:ascii="Book Antiqua" w:hAnsi="Book Antiqua" w:cs="Arial"/>
        </w:rPr>
        <w:t xml:space="preserve"> before me on the above date.  </w:t>
      </w:r>
    </w:p>
    <w:p w:rsidR="00BB4728" w:rsidRDefault="00BB4728" w:rsidP="00B52A42">
      <w:pPr>
        <w:numPr>
          <w:ilvl w:val="0"/>
          <w:numId w:val="3"/>
        </w:numPr>
        <w:spacing w:before="240"/>
        <w:jc w:val="both"/>
        <w:rPr>
          <w:rFonts w:ascii="Book Antiqua" w:hAnsi="Book Antiqua" w:cs="Arial"/>
        </w:rPr>
      </w:pPr>
      <w:r>
        <w:rPr>
          <w:rFonts w:ascii="Book Antiqua" w:hAnsi="Book Antiqua" w:cs="Arial"/>
        </w:rPr>
        <w:t xml:space="preserve">Before me Mr Junior accepted that the bank statements etc. did not comply with the specified evidence required and he also accepted that the material required to be lodged with the application.  His argument focused on the best interests of the </w:t>
      </w:r>
      <w:r w:rsidR="00FD0FBB">
        <w:rPr>
          <w:rFonts w:ascii="Book Antiqua" w:hAnsi="Book Antiqua" w:cs="Arial"/>
        </w:rPr>
        <w:t>child</w:t>
      </w:r>
      <w:r>
        <w:rPr>
          <w:rFonts w:ascii="Book Antiqua" w:hAnsi="Book Antiqua" w:cs="Arial"/>
        </w:rPr>
        <w:t xml:space="preserve">.  This required a more detailed assessment than the judge had given it.  The best interests of the child required to be looked after by both parents and not just the </w:t>
      </w:r>
      <w:r w:rsidR="00FD0FBB">
        <w:rPr>
          <w:rFonts w:ascii="Book Antiqua" w:hAnsi="Book Antiqua" w:cs="Arial"/>
        </w:rPr>
        <w:t>Appellant</w:t>
      </w:r>
      <w:r>
        <w:rPr>
          <w:rFonts w:ascii="Book Antiqua" w:hAnsi="Book Antiqua" w:cs="Arial"/>
        </w:rPr>
        <w:t xml:space="preserve"> in Sri Lanka.  </w:t>
      </w:r>
    </w:p>
    <w:p w:rsidR="00BB4728" w:rsidRDefault="00712A7E" w:rsidP="00B52A42">
      <w:pPr>
        <w:numPr>
          <w:ilvl w:val="0"/>
          <w:numId w:val="3"/>
        </w:numPr>
        <w:spacing w:before="240"/>
        <w:jc w:val="both"/>
        <w:rPr>
          <w:rFonts w:ascii="Book Antiqua" w:hAnsi="Book Antiqua" w:cs="Arial"/>
        </w:rPr>
      </w:pPr>
      <w:r>
        <w:rPr>
          <w:rFonts w:ascii="Book Antiqua" w:hAnsi="Book Antiqua" w:cs="Arial"/>
        </w:rPr>
        <w:t>For the Home Office M</w:t>
      </w:r>
      <w:r w:rsidR="00BB4728">
        <w:rPr>
          <w:rFonts w:ascii="Book Antiqua" w:hAnsi="Book Antiqua" w:cs="Arial"/>
        </w:rPr>
        <w:t xml:space="preserve">s Everett said there was no error in law in the judge’s reasoning.   She had made clear why the </w:t>
      </w:r>
      <w:r w:rsidR="00FD0FBB">
        <w:rPr>
          <w:rFonts w:ascii="Book Antiqua" w:hAnsi="Book Antiqua" w:cs="Arial"/>
        </w:rPr>
        <w:t>Appellant</w:t>
      </w:r>
      <w:r w:rsidR="00BB4728">
        <w:rPr>
          <w:rFonts w:ascii="Book Antiqua" w:hAnsi="Book Antiqua" w:cs="Arial"/>
        </w:rPr>
        <w:t xml:space="preserve"> did not satisfy the requirement of Appendix FM under the specified evidence rule.  She had considered Article 8 as at the date of decision.  </w:t>
      </w:r>
      <w:r w:rsidR="006A3697">
        <w:rPr>
          <w:rFonts w:ascii="Book Antiqua" w:hAnsi="Book Antiqua" w:cs="Arial"/>
        </w:rPr>
        <w:t>The decision</w:t>
      </w:r>
      <w:r w:rsidR="00BB4728">
        <w:rPr>
          <w:rFonts w:ascii="Book Antiqua" w:hAnsi="Book Antiqua" w:cs="Arial"/>
        </w:rPr>
        <w:t xml:space="preserve"> should stand.</w:t>
      </w:r>
    </w:p>
    <w:p w:rsidR="00BB4728" w:rsidRPr="00BB4728" w:rsidRDefault="00BB4728" w:rsidP="00BB4728">
      <w:pPr>
        <w:spacing w:before="240"/>
        <w:jc w:val="both"/>
        <w:rPr>
          <w:rFonts w:ascii="Book Antiqua" w:hAnsi="Book Antiqua" w:cs="Arial"/>
          <w:b/>
          <w:u w:val="single"/>
        </w:rPr>
      </w:pPr>
      <w:r w:rsidRPr="00BB4728">
        <w:rPr>
          <w:rFonts w:ascii="Book Antiqua" w:hAnsi="Book Antiqua" w:cs="Arial"/>
          <w:b/>
          <w:u w:val="single"/>
        </w:rPr>
        <w:t xml:space="preserve">Conclusions </w:t>
      </w:r>
    </w:p>
    <w:p w:rsidR="00BB4728" w:rsidRDefault="00BB4728" w:rsidP="00B52A42">
      <w:pPr>
        <w:numPr>
          <w:ilvl w:val="0"/>
          <w:numId w:val="3"/>
        </w:numPr>
        <w:spacing w:before="240"/>
        <w:jc w:val="both"/>
        <w:rPr>
          <w:rFonts w:ascii="Book Antiqua" w:hAnsi="Book Antiqua" w:cs="Arial"/>
        </w:rPr>
      </w:pPr>
      <w:r>
        <w:rPr>
          <w:rFonts w:ascii="Book Antiqua" w:hAnsi="Book Antiqua" w:cs="Arial"/>
        </w:rPr>
        <w:t xml:space="preserve">Appendix FM-SE in relation to family members and specified evidence is quite clear under “D” (a) </w:t>
      </w:r>
      <w:r w:rsidR="00FD0FBB">
        <w:rPr>
          <w:rFonts w:ascii="Book Antiqua" w:hAnsi="Book Antiqua" w:cs="Arial"/>
        </w:rPr>
        <w:t>that</w:t>
      </w:r>
      <w:r>
        <w:rPr>
          <w:rFonts w:ascii="Book Antiqua" w:hAnsi="Book Antiqua" w:cs="Arial"/>
        </w:rPr>
        <w:t xml:space="preserve"> in deciding an application the Entry Clearance Officer or Secretary of State will consider documents that have been submitted with the application and will only consider documents submitted after the application where sub-paragraphs (b) or (e) or (f) applies. </w:t>
      </w:r>
      <w:r w:rsidR="005C1562">
        <w:rPr>
          <w:rFonts w:ascii="Book Antiqua" w:hAnsi="Book Antiqua" w:cs="Arial"/>
        </w:rPr>
        <w:t>It could not be argued, and was not, that any of the exceptions apply</w:t>
      </w:r>
      <w:r w:rsidR="00C232CA">
        <w:rPr>
          <w:rFonts w:ascii="Book Antiqua" w:hAnsi="Book Antiqua" w:cs="Arial"/>
        </w:rPr>
        <w:t xml:space="preserve">. </w:t>
      </w:r>
      <w:r>
        <w:rPr>
          <w:rFonts w:ascii="Book Antiqua" w:hAnsi="Book Antiqua" w:cs="Arial"/>
        </w:rPr>
        <w:t xml:space="preserve"> It is not disputed here that the documents which it is said the judge should have considered were lodged post the application and are therefore </w:t>
      </w:r>
      <w:r w:rsidR="00C232CA">
        <w:rPr>
          <w:rFonts w:ascii="Book Antiqua" w:hAnsi="Book Antiqua" w:cs="Arial"/>
        </w:rPr>
        <w:t>not documents which the judge could consider under the immigration rules</w:t>
      </w:r>
      <w:r>
        <w:rPr>
          <w:rFonts w:ascii="Book Antiqua" w:hAnsi="Book Antiqua" w:cs="Arial"/>
        </w:rPr>
        <w:t xml:space="preserve">. </w:t>
      </w:r>
      <w:r w:rsidR="00FD0FBB">
        <w:rPr>
          <w:rFonts w:ascii="Book Antiqua" w:hAnsi="Book Antiqua" w:cs="Arial"/>
        </w:rPr>
        <w:t xml:space="preserve">  </w:t>
      </w:r>
    </w:p>
    <w:p w:rsidR="00FD0FBB" w:rsidRDefault="00FD0FBB" w:rsidP="00B52A42">
      <w:pPr>
        <w:numPr>
          <w:ilvl w:val="0"/>
          <w:numId w:val="3"/>
        </w:numPr>
        <w:spacing w:before="240"/>
        <w:jc w:val="both"/>
        <w:rPr>
          <w:rFonts w:ascii="Book Antiqua" w:hAnsi="Book Antiqua" w:cs="Arial"/>
        </w:rPr>
      </w:pPr>
      <w:r>
        <w:rPr>
          <w:rFonts w:ascii="Book Antiqua" w:hAnsi="Book Antiqua" w:cs="Arial"/>
        </w:rPr>
        <w:lastRenderedPageBreak/>
        <w:t xml:space="preserve">Mr Junior acknowledged this and his argument was confined to the fact that there was an error by the judge in relation to the judge considering the best interests of the child.  </w:t>
      </w:r>
      <w:r w:rsidR="00C232CA">
        <w:rPr>
          <w:rFonts w:ascii="Book Antiqua" w:hAnsi="Book Antiqua" w:cs="Arial"/>
        </w:rPr>
        <w:t>However, t</w:t>
      </w:r>
      <w:r>
        <w:rPr>
          <w:rFonts w:ascii="Book Antiqua" w:hAnsi="Book Antiqua" w:cs="Arial"/>
        </w:rPr>
        <w:t xml:space="preserve">he judge </w:t>
      </w:r>
      <w:proofErr w:type="gramStart"/>
      <w:r>
        <w:rPr>
          <w:rFonts w:ascii="Book Antiqua" w:hAnsi="Book Antiqua" w:cs="Arial"/>
        </w:rPr>
        <w:t>took into account</w:t>
      </w:r>
      <w:proofErr w:type="gramEnd"/>
      <w:r>
        <w:rPr>
          <w:rFonts w:ascii="Book Antiqua" w:hAnsi="Book Antiqua" w:cs="Arial"/>
        </w:rPr>
        <w:t xml:space="preserve"> the best interests of the child as a primary consideration in her decision (paragraph 11) referring to </w:t>
      </w:r>
      <w:r w:rsidRPr="00FD0FBB">
        <w:rPr>
          <w:rFonts w:ascii="Book Antiqua" w:hAnsi="Book Antiqua" w:cs="Arial"/>
          <w:b/>
          <w:u w:val="single"/>
        </w:rPr>
        <w:t>ZH (Tanzania) v SSHD</w:t>
      </w:r>
      <w:r w:rsidRPr="00FD0FBB">
        <w:rPr>
          <w:rFonts w:ascii="Book Antiqua" w:hAnsi="Book Antiqua" w:cs="Arial"/>
          <w:b/>
        </w:rPr>
        <w:t xml:space="preserve"> [2011] UKSC 4</w:t>
      </w:r>
      <w:r>
        <w:rPr>
          <w:rFonts w:ascii="Book Antiqua" w:hAnsi="Book Antiqua" w:cs="Arial"/>
        </w:rPr>
        <w:t xml:space="preserve">.  The judge noted that the child was born in Sri Lanka and had lived there with the Appellant from birth.  The child had been brought up by his mother and she was not told of any health or wellbeing concerns with his current living arrangements.  He was still a relatively young child who was some way off compulsory school age.  The judge had no hesitation in concluding the child’s best interests are met by him continuing to remain with his mother wherever she might be.  </w:t>
      </w:r>
    </w:p>
    <w:p w:rsidR="00FD0FBB" w:rsidRDefault="00FD0FBB" w:rsidP="00B52A42">
      <w:pPr>
        <w:numPr>
          <w:ilvl w:val="0"/>
          <w:numId w:val="3"/>
        </w:numPr>
        <w:spacing w:before="240"/>
        <w:jc w:val="both"/>
        <w:rPr>
          <w:rFonts w:ascii="Book Antiqua" w:hAnsi="Book Antiqua" w:cs="Arial"/>
        </w:rPr>
      </w:pPr>
      <w:r>
        <w:rPr>
          <w:rFonts w:ascii="Book Antiqua" w:hAnsi="Book Antiqua" w:cs="Arial"/>
        </w:rPr>
        <w:t>That reasoning is clear and cogent.  The judge further noted (paragraph 27) that there was nothing to suggest that the child’s welfare would be harmed if he continued to live with the Appellant in Sri Lanka.  The judge went on to conclude that the decision to refuse the Appellant entry clearance was proportionate to the legitimate public aim for firm and fair immigration control.  In balancing the private interest of the Appellant against the public interest she found the decision to refuse entry clearance was a proportionate measure and a fair balan</w:t>
      </w:r>
      <w:r w:rsidR="00C232CA">
        <w:rPr>
          <w:rFonts w:ascii="Book Antiqua" w:hAnsi="Book Antiqua" w:cs="Arial"/>
        </w:rPr>
        <w:t>ce between the competing interests.</w:t>
      </w:r>
    </w:p>
    <w:p w:rsidR="00FD0FBB" w:rsidRDefault="00FD0FBB" w:rsidP="00B52A42">
      <w:pPr>
        <w:numPr>
          <w:ilvl w:val="0"/>
          <w:numId w:val="3"/>
        </w:numPr>
        <w:spacing w:before="240"/>
        <w:jc w:val="both"/>
        <w:rPr>
          <w:rFonts w:ascii="Book Antiqua" w:hAnsi="Book Antiqua" w:cs="Arial"/>
        </w:rPr>
      </w:pPr>
      <w:r>
        <w:rPr>
          <w:rFonts w:ascii="Book Antiqua" w:hAnsi="Book Antiqua" w:cs="Arial"/>
        </w:rPr>
        <w:t xml:space="preserve">There is no error of law in the reasoning of the judge.  The conclusions that the judge came to are entirely reasonable and proportionate.  As such it follows that the </w:t>
      </w:r>
      <w:r w:rsidR="00297A48">
        <w:rPr>
          <w:rFonts w:ascii="Book Antiqua" w:hAnsi="Book Antiqua" w:cs="Arial"/>
        </w:rPr>
        <w:t>decision must stand.</w:t>
      </w:r>
    </w:p>
    <w:p w:rsidR="00FD0FBB" w:rsidRPr="00FD0FBB" w:rsidRDefault="00FD0FBB" w:rsidP="00FD0FBB">
      <w:pPr>
        <w:spacing w:before="240"/>
        <w:jc w:val="both"/>
        <w:rPr>
          <w:rFonts w:ascii="Book Antiqua" w:hAnsi="Book Antiqua" w:cs="Arial"/>
          <w:b/>
          <w:u w:val="single"/>
        </w:rPr>
      </w:pPr>
      <w:r w:rsidRPr="00FD0FBB">
        <w:rPr>
          <w:rFonts w:ascii="Book Antiqua" w:hAnsi="Book Antiqua" w:cs="Arial"/>
          <w:b/>
          <w:u w:val="single"/>
        </w:rPr>
        <w:t xml:space="preserve">Notice of Decision </w:t>
      </w:r>
    </w:p>
    <w:p w:rsidR="00297A48" w:rsidRDefault="00FD0FBB" w:rsidP="009F518E">
      <w:pPr>
        <w:numPr>
          <w:ilvl w:val="0"/>
          <w:numId w:val="3"/>
        </w:numPr>
        <w:spacing w:before="240"/>
        <w:jc w:val="both"/>
        <w:rPr>
          <w:rFonts w:ascii="Book Antiqua" w:hAnsi="Book Antiqua" w:cs="Arial"/>
        </w:rPr>
      </w:pPr>
      <w:r w:rsidRPr="00297A48">
        <w:rPr>
          <w:rFonts w:ascii="Book Antiqua" w:hAnsi="Book Antiqua" w:cs="Arial"/>
        </w:rPr>
        <w:t>The</w:t>
      </w:r>
      <w:r w:rsidR="00C232CA" w:rsidRPr="00297A48">
        <w:rPr>
          <w:rFonts w:ascii="Book Antiqua" w:hAnsi="Book Antiqua" w:cs="Arial"/>
        </w:rPr>
        <w:t xml:space="preserve"> making of the decision of the First-tier Tribunal did not involve</w:t>
      </w:r>
      <w:r w:rsidR="00297A48">
        <w:rPr>
          <w:rFonts w:ascii="Book Antiqua" w:hAnsi="Book Antiqua" w:cs="Arial"/>
        </w:rPr>
        <w:t xml:space="preserve"> </w:t>
      </w:r>
      <w:r w:rsidR="00C232CA" w:rsidRPr="00297A48">
        <w:rPr>
          <w:rFonts w:ascii="Book Antiqua" w:hAnsi="Book Antiqua" w:cs="Arial"/>
        </w:rPr>
        <w:t>the making of an error on a point of law.</w:t>
      </w:r>
    </w:p>
    <w:p w:rsidR="00297A48" w:rsidRDefault="00297A48" w:rsidP="009F518E">
      <w:pPr>
        <w:numPr>
          <w:ilvl w:val="0"/>
          <w:numId w:val="3"/>
        </w:numPr>
        <w:spacing w:before="240"/>
        <w:jc w:val="both"/>
        <w:rPr>
          <w:rFonts w:ascii="Book Antiqua" w:hAnsi="Book Antiqua" w:cs="Arial"/>
        </w:rPr>
      </w:pPr>
      <w:r>
        <w:rPr>
          <w:rFonts w:ascii="Book Antiqua" w:hAnsi="Book Antiqua" w:cs="Arial"/>
        </w:rPr>
        <w:t>I do not set aside the decision.</w:t>
      </w:r>
    </w:p>
    <w:p w:rsidR="009F518E" w:rsidRPr="00297A48" w:rsidRDefault="00297A48" w:rsidP="009F518E">
      <w:pPr>
        <w:numPr>
          <w:ilvl w:val="0"/>
          <w:numId w:val="3"/>
        </w:numPr>
        <w:spacing w:before="240"/>
        <w:jc w:val="both"/>
        <w:rPr>
          <w:rFonts w:ascii="Book Antiqua" w:hAnsi="Book Antiqua" w:cs="Arial"/>
        </w:rPr>
      </w:pPr>
      <w:r>
        <w:rPr>
          <w:rFonts w:ascii="Book Antiqua" w:hAnsi="Book Antiqua" w:cs="Arial"/>
        </w:rPr>
        <w:t>N</w:t>
      </w:r>
      <w:r w:rsidR="00FD0FBB" w:rsidRPr="00297A48">
        <w:rPr>
          <w:rFonts w:ascii="Book Antiqua" w:hAnsi="Book Antiqua" w:cs="Arial"/>
        </w:rPr>
        <w:t xml:space="preserve">o </w:t>
      </w:r>
      <w:r w:rsidR="009F518E" w:rsidRPr="00297A48">
        <w:rPr>
          <w:rFonts w:ascii="Book Antiqua" w:hAnsi="Book Antiqua" w:cs="Arial"/>
        </w:rPr>
        <w:t xml:space="preserve">anonymity </w:t>
      </w:r>
      <w:r w:rsidR="00532E7D" w:rsidRPr="00297A48">
        <w:rPr>
          <w:rFonts w:ascii="Book Antiqua" w:hAnsi="Book Antiqua" w:cs="Arial"/>
        </w:rPr>
        <w:t>order</w:t>
      </w:r>
      <w:r w:rsidR="009F518E" w:rsidRPr="00297A48">
        <w:rPr>
          <w:rFonts w:ascii="Book Antiqua" w:hAnsi="Book Antiqua" w:cs="Arial"/>
        </w:rPr>
        <w:t xml:space="preserve"> is made.</w:t>
      </w:r>
    </w:p>
    <w:p w:rsidR="009F518E" w:rsidRPr="009F518E" w:rsidRDefault="009F518E" w:rsidP="009F518E">
      <w:pPr>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006A3697">
        <w:rPr>
          <w:rFonts w:ascii="Book Antiqua" w:hAnsi="Book Antiqua" w:cs="Arial"/>
        </w:rPr>
        <w:t xml:space="preserve">   </w:t>
      </w:r>
      <w:r w:rsidR="006A3697" w:rsidRPr="006A3697">
        <w:rPr>
          <w:rFonts w:ascii="Book Antiqua" w:hAnsi="Book Antiqua" w:cs="Arial"/>
          <w:i/>
        </w:rPr>
        <w:t>JG Macdonald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6A3697">
        <w:rPr>
          <w:rFonts w:ascii="Book Antiqua" w:hAnsi="Book Antiqua" w:cs="Arial"/>
        </w:rPr>
        <w:t xml:space="preserve">   19</w:t>
      </w:r>
      <w:r w:rsidR="006A3697" w:rsidRPr="006A3697">
        <w:rPr>
          <w:rFonts w:ascii="Book Antiqua" w:hAnsi="Book Antiqua" w:cs="Arial"/>
          <w:vertAlign w:val="superscript"/>
        </w:rPr>
        <w:t>th</w:t>
      </w:r>
      <w:r w:rsidR="006A3697">
        <w:rPr>
          <w:rFonts w:ascii="Book Antiqua" w:hAnsi="Book Antiqua" w:cs="Arial"/>
        </w:rPr>
        <w:t xml:space="preserve"> September 2018</w:t>
      </w:r>
    </w:p>
    <w:p w:rsidR="005F6ECF" w:rsidRDefault="005F6ECF" w:rsidP="000369F5">
      <w:pPr>
        <w:tabs>
          <w:tab w:val="left" w:pos="2520"/>
        </w:tabs>
        <w:jc w:val="both"/>
        <w:rPr>
          <w:rFonts w:ascii="Book Antiqua" w:hAnsi="Book Antiqua" w:cs="Arial"/>
        </w:rPr>
      </w:pPr>
    </w:p>
    <w:p w:rsidR="005B7789" w:rsidRPr="00F5664C" w:rsidRDefault="00255071" w:rsidP="000369F5">
      <w:pPr>
        <w:tabs>
          <w:tab w:val="left" w:pos="2520"/>
        </w:tabs>
        <w:jc w:val="both"/>
        <w:rPr>
          <w:rFonts w:ascii="Book Antiqua" w:hAnsi="Book Antiqua" w:cs="Arial"/>
        </w:rPr>
      </w:pPr>
      <w:r>
        <w:rPr>
          <w:rFonts w:ascii="Book Antiqua" w:hAnsi="Book Antiqua" w:cs="Arial"/>
        </w:rPr>
        <w:t xml:space="preserve">Deputy Upper Tribunal Judge </w:t>
      </w:r>
      <w:r w:rsidR="0093333B">
        <w:rPr>
          <w:rFonts w:ascii="Book Antiqua" w:hAnsi="Book Antiqua" w:cs="Arial"/>
        </w:rPr>
        <w:t>J G Macdonald</w:t>
      </w:r>
    </w:p>
    <w:p w:rsidR="00C321B5" w:rsidRDefault="00C321B5" w:rsidP="000369F5">
      <w:pPr>
        <w:tabs>
          <w:tab w:val="left" w:pos="2520"/>
        </w:tabs>
        <w:jc w:val="both"/>
        <w:rPr>
          <w:rFonts w:ascii="Book Antiqua" w:hAnsi="Book Antiqua" w:cs="Arial"/>
        </w:rPr>
      </w:pPr>
    </w:p>
    <w:p w:rsidR="009F518E" w:rsidRPr="009F518E" w:rsidRDefault="009F518E" w:rsidP="009F518E">
      <w:pPr>
        <w:jc w:val="both"/>
        <w:rPr>
          <w:rFonts w:ascii="Book Antiqua" w:hAnsi="Book Antiqua" w:cs="Arial"/>
          <w:b/>
          <w:u w:val="single"/>
        </w:rPr>
      </w:pPr>
      <w:r w:rsidRPr="009F518E">
        <w:rPr>
          <w:rFonts w:ascii="Book Antiqua" w:hAnsi="Book Antiqua" w:cs="Arial"/>
          <w:b/>
          <w:u w:val="single"/>
        </w:rPr>
        <w:t xml:space="preserve">TO THE </w:t>
      </w:r>
      <w:r w:rsidR="00FD0FBB">
        <w:rPr>
          <w:rFonts w:ascii="Book Antiqua" w:hAnsi="Book Antiqua" w:cs="Arial"/>
          <w:b/>
          <w:u w:val="single"/>
        </w:rPr>
        <w:t>RESPONDENT</w:t>
      </w:r>
    </w:p>
    <w:p w:rsidR="009F518E" w:rsidRPr="009F518E" w:rsidRDefault="009F518E" w:rsidP="009F518E">
      <w:pPr>
        <w:ind w:left="567" w:hanging="567"/>
        <w:jc w:val="both"/>
        <w:rPr>
          <w:rFonts w:ascii="Book Antiqua" w:hAnsi="Book Antiqua" w:cs="Arial"/>
        </w:rPr>
      </w:pPr>
      <w:r w:rsidRPr="009F518E">
        <w:rPr>
          <w:rFonts w:ascii="Book Antiqua" w:hAnsi="Book Antiqua" w:cs="Arial"/>
          <w:b/>
          <w:u w:val="single"/>
        </w:rPr>
        <w:t>FEE AWARD</w:t>
      </w:r>
    </w:p>
    <w:p w:rsidR="009F518E" w:rsidRPr="009F518E" w:rsidRDefault="009F518E" w:rsidP="009F518E">
      <w:pPr>
        <w:ind w:left="567" w:hanging="567"/>
        <w:jc w:val="both"/>
        <w:rPr>
          <w:rFonts w:ascii="Book Antiqua" w:hAnsi="Book Antiqua" w:cs="Arial"/>
        </w:rPr>
      </w:pPr>
    </w:p>
    <w:p w:rsidR="009F518E" w:rsidRDefault="00FD0FBB" w:rsidP="009F518E">
      <w:pPr>
        <w:jc w:val="both"/>
        <w:rPr>
          <w:rFonts w:ascii="Book Antiqua" w:hAnsi="Book Antiqua" w:cs="Arial"/>
        </w:rPr>
      </w:pPr>
      <w:r>
        <w:rPr>
          <w:rFonts w:ascii="Book Antiqua" w:hAnsi="Book Antiqua" w:cs="Arial"/>
        </w:rPr>
        <w:t xml:space="preserve">The appeal is </w:t>
      </w:r>
      <w:r w:rsidR="009F518E" w:rsidRPr="009F518E">
        <w:rPr>
          <w:rFonts w:ascii="Book Antiqua" w:hAnsi="Book Antiqua" w:cs="Arial"/>
        </w:rPr>
        <w:t xml:space="preserve">dismissed </w:t>
      </w:r>
      <w:r w:rsidR="006A3697">
        <w:rPr>
          <w:rFonts w:ascii="Book Antiqua" w:hAnsi="Book Antiqua" w:cs="Arial"/>
        </w:rPr>
        <w:t xml:space="preserve">and </w:t>
      </w:r>
      <w:r w:rsidR="009F518E" w:rsidRPr="009F518E">
        <w:rPr>
          <w:rFonts w:ascii="Book Antiqua" w:hAnsi="Book Antiqua" w:cs="Arial"/>
        </w:rPr>
        <w:t>therefore there can be no fee award.</w:t>
      </w:r>
    </w:p>
    <w:p w:rsidR="009F518E" w:rsidRDefault="009F518E" w:rsidP="009F518E">
      <w:pPr>
        <w:jc w:val="both"/>
        <w:rPr>
          <w:rFonts w:ascii="Book Antiqua" w:hAnsi="Book Antiqua" w:cs="Arial"/>
        </w:rPr>
      </w:pPr>
    </w:p>
    <w:p w:rsidR="009F518E" w:rsidRDefault="009F518E" w:rsidP="009F518E">
      <w:pPr>
        <w:jc w:val="both"/>
        <w:rPr>
          <w:rFonts w:ascii="Book Antiqua" w:hAnsi="Book Antiqua" w:cs="Arial"/>
        </w:rPr>
      </w:pPr>
    </w:p>
    <w:p w:rsidR="009F518E" w:rsidRPr="00F5664C" w:rsidRDefault="009F518E" w:rsidP="009F518E">
      <w:pPr>
        <w:tabs>
          <w:tab w:val="left" w:pos="2520"/>
        </w:tabs>
        <w:jc w:val="both"/>
        <w:rPr>
          <w:rFonts w:ascii="Book Antiqua" w:hAnsi="Book Antiqua" w:cs="Arial"/>
        </w:rPr>
      </w:pPr>
      <w:r w:rsidRPr="00F5664C">
        <w:rPr>
          <w:rFonts w:ascii="Book Antiqua" w:hAnsi="Book Antiqua" w:cs="Arial"/>
        </w:rPr>
        <w:t>Signed</w:t>
      </w:r>
      <w:r w:rsidR="00D73D5E">
        <w:rPr>
          <w:rFonts w:ascii="Book Antiqua" w:hAnsi="Book Antiqua" w:cs="Arial"/>
        </w:rPr>
        <w:t xml:space="preserve">   </w:t>
      </w:r>
      <w:r w:rsidR="00D73D5E" w:rsidRPr="00D73D5E">
        <w:rPr>
          <w:rFonts w:ascii="Book Antiqua" w:hAnsi="Book Antiqua" w:cs="Arial"/>
          <w:i/>
        </w:rPr>
        <w:t>JG Macdonald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D73D5E">
        <w:rPr>
          <w:rFonts w:ascii="Book Antiqua" w:hAnsi="Book Antiqua" w:cs="Arial"/>
        </w:rPr>
        <w:t xml:space="preserve"> 19</w:t>
      </w:r>
      <w:r w:rsidR="00D73D5E" w:rsidRPr="00D73D5E">
        <w:rPr>
          <w:rFonts w:ascii="Book Antiqua" w:hAnsi="Book Antiqua" w:cs="Arial"/>
          <w:vertAlign w:val="superscript"/>
        </w:rPr>
        <w:t>th</w:t>
      </w:r>
      <w:r w:rsidR="00D73D5E">
        <w:rPr>
          <w:rFonts w:ascii="Book Antiqua" w:hAnsi="Book Antiqua" w:cs="Arial"/>
        </w:rPr>
        <w:t xml:space="preserve"> September 2018</w:t>
      </w:r>
    </w:p>
    <w:p w:rsidR="009F518E" w:rsidRPr="00F5664C" w:rsidRDefault="009F518E" w:rsidP="009F518E">
      <w:pPr>
        <w:tabs>
          <w:tab w:val="left" w:pos="2520"/>
        </w:tabs>
        <w:jc w:val="both"/>
        <w:rPr>
          <w:rFonts w:ascii="Book Antiqua" w:hAnsi="Book Antiqua" w:cs="Arial"/>
        </w:rPr>
      </w:pPr>
    </w:p>
    <w:p w:rsidR="009F518E" w:rsidRDefault="009F518E" w:rsidP="009F518E">
      <w:pPr>
        <w:tabs>
          <w:tab w:val="left" w:pos="2520"/>
        </w:tabs>
        <w:jc w:val="both"/>
        <w:rPr>
          <w:rFonts w:ascii="Book Antiqua" w:hAnsi="Book Antiqua" w:cs="Arial"/>
        </w:rPr>
      </w:pPr>
      <w:r>
        <w:rPr>
          <w:rFonts w:ascii="Book Antiqua" w:hAnsi="Book Antiqua" w:cs="Arial"/>
        </w:rPr>
        <w:t>Deputy Upper Tribunal Judge J G Macdonald</w:t>
      </w:r>
    </w:p>
    <w:sectPr w:rsidR="009F518E" w:rsidSect="005F6ECF">
      <w:headerReference w:type="default" r:id="rId9"/>
      <w:footerReference w:type="default" r:id="rId10"/>
      <w:headerReference w:type="first" r:id="rId11"/>
      <w:footerReference w:type="first" r:id="rId12"/>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3E22" w:rsidRDefault="00CB3E22">
      <w:r>
        <w:separator/>
      </w:r>
    </w:p>
  </w:endnote>
  <w:endnote w:type="continuationSeparator" w:id="0">
    <w:p w:rsidR="00CB3E22" w:rsidRDefault="00CB3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5F6ECF" w:rsidRDefault="00CF253F" w:rsidP="00593795">
    <w:pPr>
      <w:pStyle w:val="Footer"/>
      <w:jc w:val="center"/>
      <w:rPr>
        <w:rFonts w:ascii="Book Antiqua" w:hAnsi="Book Antiqua" w:cs="Arial"/>
      </w:rPr>
    </w:pPr>
    <w:r w:rsidRPr="005F6ECF">
      <w:rPr>
        <w:rStyle w:val="PageNumber"/>
        <w:rFonts w:ascii="Book Antiqua" w:hAnsi="Book Antiqua" w:cs="Arial"/>
      </w:rPr>
      <w:fldChar w:fldCharType="begin"/>
    </w:r>
    <w:r w:rsidRPr="005F6ECF">
      <w:rPr>
        <w:rStyle w:val="PageNumber"/>
        <w:rFonts w:ascii="Book Antiqua" w:hAnsi="Book Antiqua" w:cs="Arial"/>
      </w:rPr>
      <w:instrText xml:space="preserve"> PAGE </w:instrText>
    </w:r>
    <w:r w:rsidRPr="005F6ECF">
      <w:rPr>
        <w:rStyle w:val="PageNumber"/>
        <w:rFonts w:ascii="Book Antiqua" w:hAnsi="Book Antiqua" w:cs="Arial"/>
      </w:rPr>
      <w:fldChar w:fldCharType="separate"/>
    </w:r>
    <w:r w:rsidR="005C2E3B">
      <w:rPr>
        <w:rStyle w:val="PageNumber"/>
        <w:rFonts w:ascii="Book Antiqua" w:hAnsi="Book Antiqua" w:cs="Arial"/>
        <w:noProof/>
      </w:rPr>
      <w:t>3</w:t>
    </w:r>
    <w:r w:rsidRPr="005F6ECF">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F541B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3E22" w:rsidRDefault="00CB3E22">
      <w:r>
        <w:separator/>
      </w:r>
    </w:p>
  </w:footnote>
  <w:footnote w:type="continuationSeparator" w:id="0">
    <w:p w:rsidR="00CB3E22" w:rsidRDefault="00CB3E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C4362D" w:rsidRPr="00C4362D">
      <w:rPr>
        <w:rFonts w:ascii="Book Antiqua" w:hAnsi="Book Antiqua" w:cs="Arial"/>
        <w:sz w:val="16"/>
        <w:szCs w:val="16"/>
      </w:rPr>
      <w:t>OA/00055/2016</w:t>
    </w:r>
  </w:p>
  <w:p w:rsidR="005F6ECF" w:rsidRPr="00F5664C" w:rsidRDefault="005F6ECF"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048F64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6D4402"/>
    <w:multiLevelType w:val="multilevel"/>
    <w:tmpl w:val="6032DAF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5A5D10"/>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032"/>
    <w:rsid w:val="00000621"/>
    <w:rsid w:val="000036C2"/>
    <w:rsid w:val="00033D3D"/>
    <w:rsid w:val="000369F5"/>
    <w:rsid w:val="00050CB1"/>
    <w:rsid w:val="00071A7E"/>
    <w:rsid w:val="000746C0"/>
    <w:rsid w:val="00074D1D"/>
    <w:rsid w:val="00077227"/>
    <w:rsid w:val="00092580"/>
    <w:rsid w:val="000A5ADA"/>
    <w:rsid w:val="000D01C9"/>
    <w:rsid w:val="000D5D94"/>
    <w:rsid w:val="000E0CD7"/>
    <w:rsid w:val="00114F8B"/>
    <w:rsid w:val="001165A7"/>
    <w:rsid w:val="00151BB7"/>
    <w:rsid w:val="00167D3A"/>
    <w:rsid w:val="00172A08"/>
    <w:rsid w:val="001A1E2C"/>
    <w:rsid w:val="001E6D6D"/>
    <w:rsid w:val="001F2716"/>
    <w:rsid w:val="0020133A"/>
    <w:rsid w:val="00207617"/>
    <w:rsid w:val="00255071"/>
    <w:rsid w:val="00256C0D"/>
    <w:rsid w:val="00283659"/>
    <w:rsid w:val="00297A48"/>
    <w:rsid w:val="002C4E73"/>
    <w:rsid w:val="002D5A7F"/>
    <w:rsid w:val="002D68BF"/>
    <w:rsid w:val="002E75DE"/>
    <w:rsid w:val="0030070F"/>
    <w:rsid w:val="00336CBF"/>
    <w:rsid w:val="003546C8"/>
    <w:rsid w:val="003A7CF2"/>
    <w:rsid w:val="003C5CE5"/>
    <w:rsid w:val="003E267B"/>
    <w:rsid w:val="003E7CD1"/>
    <w:rsid w:val="00402B9E"/>
    <w:rsid w:val="004061C2"/>
    <w:rsid w:val="0041360E"/>
    <w:rsid w:val="00423932"/>
    <w:rsid w:val="004249CB"/>
    <w:rsid w:val="0042571B"/>
    <w:rsid w:val="0044127D"/>
    <w:rsid w:val="004448DB"/>
    <w:rsid w:val="00446C9A"/>
    <w:rsid w:val="00477193"/>
    <w:rsid w:val="004A1848"/>
    <w:rsid w:val="00507FEC"/>
    <w:rsid w:val="00510F0E"/>
    <w:rsid w:val="00530B04"/>
    <w:rsid w:val="00532E7D"/>
    <w:rsid w:val="00542DB1"/>
    <w:rsid w:val="005466F7"/>
    <w:rsid w:val="005479E1"/>
    <w:rsid w:val="005570FD"/>
    <w:rsid w:val="005575EA"/>
    <w:rsid w:val="00560B40"/>
    <w:rsid w:val="0057790C"/>
    <w:rsid w:val="00593795"/>
    <w:rsid w:val="005A75FF"/>
    <w:rsid w:val="005B7789"/>
    <w:rsid w:val="005C1562"/>
    <w:rsid w:val="005C2E3B"/>
    <w:rsid w:val="005F6579"/>
    <w:rsid w:val="005F6ECF"/>
    <w:rsid w:val="006429BE"/>
    <w:rsid w:val="0065791C"/>
    <w:rsid w:val="006803E1"/>
    <w:rsid w:val="00690B8A"/>
    <w:rsid w:val="006A3697"/>
    <w:rsid w:val="006D1DFA"/>
    <w:rsid w:val="006D506B"/>
    <w:rsid w:val="006E3C90"/>
    <w:rsid w:val="00704B61"/>
    <w:rsid w:val="00707DB1"/>
    <w:rsid w:val="00712A7E"/>
    <w:rsid w:val="007353BB"/>
    <w:rsid w:val="00742A8D"/>
    <w:rsid w:val="007552A9"/>
    <w:rsid w:val="00761858"/>
    <w:rsid w:val="00767D59"/>
    <w:rsid w:val="00776E97"/>
    <w:rsid w:val="00780FD7"/>
    <w:rsid w:val="0078703A"/>
    <w:rsid w:val="007912AD"/>
    <w:rsid w:val="007A1F28"/>
    <w:rsid w:val="007B0824"/>
    <w:rsid w:val="007D517E"/>
    <w:rsid w:val="008303B8"/>
    <w:rsid w:val="00833DCE"/>
    <w:rsid w:val="00842418"/>
    <w:rsid w:val="008533CF"/>
    <w:rsid w:val="008634DB"/>
    <w:rsid w:val="00871D34"/>
    <w:rsid w:val="008B270C"/>
    <w:rsid w:val="008C3D3D"/>
    <w:rsid w:val="008D4131"/>
    <w:rsid w:val="008F1932"/>
    <w:rsid w:val="008F294D"/>
    <w:rsid w:val="00921062"/>
    <w:rsid w:val="0092618D"/>
    <w:rsid w:val="0093083E"/>
    <w:rsid w:val="0093333B"/>
    <w:rsid w:val="00944A4D"/>
    <w:rsid w:val="00966ECF"/>
    <w:rsid w:val="009727A3"/>
    <w:rsid w:val="00987774"/>
    <w:rsid w:val="009A11E8"/>
    <w:rsid w:val="009E4E62"/>
    <w:rsid w:val="009F518E"/>
    <w:rsid w:val="009F5220"/>
    <w:rsid w:val="009F7C4D"/>
    <w:rsid w:val="00A02B5B"/>
    <w:rsid w:val="00A15234"/>
    <w:rsid w:val="00A201AB"/>
    <w:rsid w:val="00A31C8B"/>
    <w:rsid w:val="00A66879"/>
    <w:rsid w:val="00A75965"/>
    <w:rsid w:val="00A845DC"/>
    <w:rsid w:val="00A94B63"/>
    <w:rsid w:val="00A97AEE"/>
    <w:rsid w:val="00AC5CF6"/>
    <w:rsid w:val="00B144FA"/>
    <w:rsid w:val="00B16F58"/>
    <w:rsid w:val="00B30648"/>
    <w:rsid w:val="00B3524D"/>
    <w:rsid w:val="00B35AF6"/>
    <w:rsid w:val="00B40F69"/>
    <w:rsid w:val="00B46616"/>
    <w:rsid w:val="00B52A42"/>
    <w:rsid w:val="00B610E3"/>
    <w:rsid w:val="00B61205"/>
    <w:rsid w:val="00B617C4"/>
    <w:rsid w:val="00B626FA"/>
    <w:rsid w:val="00B7040A"/>
    <w:rsid w:val="00B7579C"/>
    <w:rsid w:val="00B96FA0"/>
    <w:rsid w:val="00BB4728"/>
    <w:rsid w:val="00BC42D3"/>
    <w:rsid w:val="00BD4196"/>
    <w:rsid w:val="00BF22CA"/>
    <w:rsid w:val="00C232CA"/>
    <w:rsid w:val="00C26032"/>
    <w:rsid w:val="00C265B0"/>
    <w:rsid w:val="00C321B5"/>
    <w:rsid w:val="00C345E1"/>
    <w:rsid w:val="00C36A07"/>
    <w:rsid w:val="00C4362D"/>
    <w:rsid w:val="00C977BA"/>
    <w:rsid w:val="00CB3E22"/>
    <w:rsid w:val="00CB6E35"/>
    <w:rsid w:val="00CE1A46"/>
    <w:rsid w:val="00CE26B2"/>
    <w:rsid w:val="00CE6AFA"/>
    <w:rsid w:val="00CF01A8"/>
    <w:rsid w:val="00CF253F"/>
    <w:rsid w:val="00CF2A3A"/>
    <w:rsid w:val="00CF56B4"/>
    <w:rsid w:val="00D20F09"/>
    <w:rsid w:val="00D22636"/>
    <w:rsid w:val="00D22FA8"/>
    <w:rsid w:val="00D24A9C"/>
    <w:rsid w:val="00D40FD9"/>
    <w:rsid w:val="00D425EB"/>
    <w:rsid w:val="00D53769"/>
    <w:rsid w:val="00D562ED"/>
    <w:rsid w:val="00D569E1"/>
    <w:rsid w:val="00D63446"/>
    <w:rsid w:val="00D647F9"/>
    <w:rsid w:val="00D65912"/>
    <w:rsid w:val="00D73D5E"/>
    <w:rsid w:val="00D85C13"/>
    <w:rsid w:val="00D91BE3"/>
    <w:rsid w:val="00D94AFC"/>
    <w:rsid w:val="00DB70AE"/>
    <w:rsid w:val="00DB7231"/>
    <w:rsid w:val="00DD5071"/>
    <w:rsid w:val="00DD5C39"/>
    <w:rsid w:val="00DE26AF"/>
    <w:rsid w:val="00DE7DB7"/>
    <w:rsid w:val="00E00A0A"/>
    <w:rsid w:val="00E07F57"/>
    <w:rsid w:val="00E1040E"/>
    <w:rsid w:val="00E42032"/>
    <w:rsid w:val="00E50BCE"/>
    <w:rsid w:val="00E61292"/>
    <w:rsid w:val="00E76309"/>
    <w:rsid w:val="00E77C4D"/>
    <w:rsid w:val="00E81D01"/>
    <w:rsid w:val="00EA161D"/>
    <w:rsid w:val="00EE45D8"/>
    <w:rsid w:val="00F004CD"/>
    <w:rsid w:val="00F22A22"/>
    <w:rsid w:val="00F22EDA"/>
    <w:rsid w:val="00F3224D"/>
    <w:rsid w:val="00F33E0E"/>
    <w:rsid w:val="00F541B5"/>
    <w:rsid w:val="00F5664C"/>
    <w:rsid w:val="00FB7E80"/>
    <w:rsid w:val="00FD0FBB"/>
    <w:rsid w:val="00FD61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7FBABA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EFF29-253C-4881-B973-7EBB15354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1081</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2018-10-08T16:54:00Z</dcterms:created>
  <dcterms:modified xsi:type="dcterms:W3CDTF">2018-10-08T16:55:00Z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