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14C69" w:rsidRDefault="004F24AB" w:rsidP="00933B65">
      <w:pPr>
        <w:jc w:val="center"/>
        <w:rPr>
          <w:rFonts w:ascii="Book Antiqua" w:hAnsi="Book Antiqua" w:cs="Arial"/>
          <w:color w:val="000000"/>
          <w:sz w:val="16"/>
          <w:szCs w:val="16"/>
        </w:rPr>
      </w:pPr>
      <w:r w:rsidRPr="00014C69">
        <w:rPr>
          <w:noProof/>
          <w:sz w:val="16"/>
          <w:szCs w:val="16"/>
        </w:rPr>
        <w:drawing>
          <wp:inline distT="0" distB="0" distL="0" distR="0">
            <wp:extent cx="1501140" cy="1135380"/>
            <wp:effectExtent l="0" t="0" r="0" b="0"/>
            <wp:docPr id="5" name="Picture 5"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6748D6">
        <w:rPr>
          <w:rFonts w:ascii="Book Antiqua" w:hAnsi="Book Antiqua" w:cs="Arial"/>
          <w:color w:val="000000"/>
        </w:rPr>
        <w:t xml:space="preserve"> </w:t>
      </w:r>
      <w:bookmarkStart w:id="0" w:name="_Hlk523147674"/>
      <w:bookmarkStart w:id="1" w:name="_GoBack"/>
      <w:r w:rsidR="00E02322">
        <w:rPr>
          <w:rFonts w:ascii="Book Antiqua" w:hAnsi="Book Antiqua" w:cs="Arial"/>
          <w:color w:val="000000"/>
        </w:rPr>
        <w:t>OA/08664/2015</w:t>
      </w:r>
      <w:bookmarkEnd w:id="0"/>
      <w:bookmarkEnd w:id="1"/>
    </w:p>
    <w:p w:rsidR="00933B65" w:rsidRPr="00F97703" w:rsidRDefault="00933B65" w:rsidP="00933B65">
      <w:pPr>
        <w:jc w:val="center"/>
        <w:rPr>
          <w:rFonts w:ascii="Book Antiqua" w:hAnsi="Book Antiqua" w:cs="Arial"/>
          <w:color w:val="000000"/>
        </w:rPr>
      </w:pPr>
    </w:p>
    <w:p w:rsidR="00014C69" w:rsidRDefault="00014C69"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014C69" w:rsidRPr="00F97703" w:rsidRDefault="00014C69" w:rsidP="00933B65">
      <w:pPr>
        <w:jc w:val="center"/>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9D328D" w:rsidTr="00F86BD7">
        <w:tc>
          <w:tcPr>
            <w:tcW w:w="2500" w:type="pct"/>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E02322">
              <w:rPr>
                <w:rFonts w:ascii="Book Antiqua" w:hAnsi="Book Antiqua" w:cs="Arial"/>
                <w:b/>
              </w:rPr>
              <w:t>Field House</w:t>
            </w:r>
          </w:p>
        </w:tc>
        <w:tc>
          <w:tcPr>
            <w:tcW w:w="2500" w:type="pct"/>
            <w:shd w:val="clear" w:color="auto" w:fill="auto"/>
          </w:tcPr>
          <w:p w:rsidR="00933B65" w:rsidRPr="009D328D" w:rsidRDefault="006D712C" w:rsidP="00F86BD7">
            <w:pPr>
              <w:jc w:val="right"/>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933B65" w:rsidRPr="009D328D" w:rsidTr="00F86BD7">
        <w:tc>
          <w:tcPr>
            <w:tcW w:w="2500" w:type="pct"/>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E02322">
              <w:rPr>
                <w:rFonts w:ascii="Book Antiqua" w:hAnsi="Book Antiqua" w:cs="Arial"/>
                <w:b/>
              </w:rPr>
              <w:t>25 July 2018</w:t>
            </w:r>
          </w:p>
        </w:tc>
        <w:tc>
          <w:tcPr>
            <w:tcW w:w="2500" w:type="pct"/>
            <w:shd w:val="clear" w:color="auto" w:fill="auto"/>
          </w:tcPr>
          <w:p w:rsidR="00933B65" w:rsidRPr="009D328D" w:rsidRDefault="006D712C" w:rsidP="00F86BD7">
            <w:pPr>
              <w:jc w:val="right"/>
              <w:rPr>
                <w:rFonts w:ascii="Book Antiqua" w:hAnsi="Book Antiqua" w:cs="Arial"/>
                <w:b/>
              </w:rPr>
            </w:pPr>
            <w:r>
              <w:rPr>
                <w:rFonts w:ascii="Book Antiqua" w:hAnsi="Book Antiqua" w:cs="Arial"/>
                <w:b/>
              </w:rPr>
              <w:t>On 5 September 2018</w:t>
            </w:r>
          </w:p>
        </w:tc>
      </w:tr>
      <w:tr w:rsidR="00933B65" w:rsidRPr="009D328D" w:rsidTr="00F86BD7">
        <w:tc>
          <w:tcPr>
            <w:tcW w:w="2500" w:type="pct"/>
            <w:shd w:val="clear" w:color="auto" w:fill="auto"/>
          </w:tcPr>
          <w:p w:rsidR="00933B65" w:rsidRPr="009D328D" w:rsidRDefault="00933B65" w:rsidP="009D328D">
            <w:pPr>
              <w:jc w:val="both"/>
              <w:rPr>
                <w:rFonts w:ascii="Book Antiqua" w:hAnsi="Book Antiqua" w:cs="Arial"/>
                <w:b/>
              </w:rPr>
            </w:pPr>
          </w:p>
        </w:tc>
        <w:tc>
          <w:tcPr>
            <w:tcW w:w="2500" w:type="pct"/>
            <w:shd w:val="clear" w:color="auto" w:fill="auto"/>
          </w:tcPr>
          <w:p w:rsidR="00933B65" w:rsidRPr="009D328D" w:rsidRDefault="00933B65" w:rsidP="00F86BD7">
            <w:pPr>
              <w:jc w:val="right"/>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Default="00933B65" w:rsidP="00933B65">
      <w:pPr>
        <w:jc w:val="center"/>
        <w:rPr>
          <w:rFonts w:ascii="Book Antiqua" w:hAnsi="Book Antiqua" w:cs="Arial"/>
          <w:b/>
        </w:rPr>
      </w:pPr>
    </w:p>
    <w:p w:rsidR="00014C69" w:rsidRPr="00F97703" w:rsidRDefault="00014C69"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E02322" w:rsidRDefault="00E02322" w:rsidP="00933B65">
      <w:pPr>
        <w:jc w:val="center"/>
        <w:rPr>
          <w:rFonts w:ascii="Book Antiqua" w:hAnsi="Book Antiqua" w:cs="Arial"/>
          <w:b/>
        </w:rPr>
      </w:pPr>
      <w:r>
        <w:rPr>
          <w:rFonts w:ascii="Book Antiqua" w:hAnsi="Book Antiqua" w:cs="Arial"/>
          <w:b/>
        </w:rPr>
        <w:t>ENTRY CLEARANCE OFFICER - CHENNAI</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E02322" w:rsidP="00933B65">
      <w:pPr>
        <w:jc w:val="center"/>
        <w:rPr>
          <w:rFonts w:ascii="Book Antiqua" w:hAnsi="Book Antiqua" w:cs="Arial"/>
          <w:b/>
        </w:rPr>
      </w:pPr>
      <w:r>
        <w:rPr>
          <w:rFonts w:ascii="Book Antiqua" w:hAnsi="Book Antiqua" w:cs="Arial"/>
          <w:b/>
        </w:rPr>
        <w:t>MR PR</w:t>
      </w:r>
      <w:r w:rsidR="008C28CF">
        <w:rPr>
          <w:rFonts w:ascii="Book Antiqua" w:hAnsi="Book Antiqua" w:cs="Arial"/>
          <w:b/>
        </w:rPr>
        <w:t>E</w:t>
      </w:r>
      <w:r>
        <w:rPr>
          <w:rFonts w:ascii="Book Antiqua" w:hAnsi="Book Antiqua" w:cs="Arial"/>
          <w:b/>
        </w:rPr>
        <w:t>VEEN VEJANDLA</w:t>
      </w:r>
    </w:p>
    <w:p w:rsidR="00622287" w:rsidRDefault="00622287" w:rsidP="00933B65">
      <w:pPr>
        <w:jc w:val="center"/>
        <w:rPr>
          <w:rFonts w:ascii="Book Antiqua" w:hAnsi="Book Antiqua" w:cs="Arial"/>
          <w:b/>
        </w:rPr>
      </w:pPr>
      <w:r>
        <w:rPr>
          <w:rFonts w:ascii="Book Antiqua" w:hAnsi="Book Antiqua" w:cs="Arial"/>
          <w:b/>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014C69" w:rsidRPr="00F97703" w:rsidRDefault="00014C69"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E02322">
        <w:rPr>
          <w:rFonts w:ascii="Book Antiqua" w:hAnsi="Book Antiqua" w:cs="Arial"/>
        </w:rPr>
        <w:t>Mr Kotas</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E02322">
        <w:rPr>
          <w:rFonts w:ascii="Book Antiqua" w:hAnsi="Book Antiqua" w:cs="Arial"/>
        </w:rPr>
        <w:t>Mr Bellara (Counsel)</w:t>
      </w:r>
      <w:r w:rsidR="006748D6">
        <w:rPr>
          <w:rFonts w:ascii="Book Antiqua" w:hAnsi="Book Antiqua" w:cs="Arial"/>
        </w:rPr>
        <w:t xml:space="preserve"> </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071C11" w:rsidP="00071C11">
      <w:pPr>
        <w:numPr>
          <w:ilvl w:val="0"/>
          <w:numId w:val="3"/>
        </w:numPr>
        <w:ind w:left="567" w:hanging="567"/>
        <w:jc w:val="both"/>
        <w:rPr>
          <w:rFonts w:ascii="Book Antiqua" w:hAnsi="Book Antiqua" w:cs="Arial"/>
        </w:rPr>
      </w:pPr>
      <w:r>
        <w:rPr>
          <w:rFonts w:ascii="Book Antiqua" w:hAnsi="Book Antiqua" w:cs="Arial"/>
        </w:rPr>
        <w:t>For convenience I retain the designation</w:t>
      </w:r>
      <w:r w:rsidR="008C28CF">
        <w:rPr>
          <w:rFonts w:ascii="Book Antiqua" w:hAnsi="Book Antiqua" w:cs="Arial"/>
        </w:rPr>
        <w:t>s</w:t>
      </w:r>
      <w:r>
        <w:rPr>
          <w:rFonts w:ascii="Book Antiqua" w:hAnsi="Book Antiqua" w:cs="Arial"/>
        </w:rPr>
        <w:t xml:space="preserve"> as they were before the First-tier Tribunal, thus, Mr </w:t>
      </w:r>
      <w:proofErr w:type="spellStart"/>
      <w:r w:rsidR="008C28CF">
        <w:rPr>
          <w:rFonts w:ascii="Book Antiqua" w:hAnsi="Book Antiqua" w:cs="Arial"/>
        </w:rPr>
        <w:t>Vejandla</w:t>
      </w:r>
      <w:proofErr w:type="spellEnd"/>
      <w:r>
        <w:rPr>
          <w:rFonts w:ascii="Book Antiqua" w:hAnsi="Book Antiqua" w:cs="Arial"/>
        </w:rPr>
        <w:t xml:space="preserve"> is the appellant and the Entry Clearance Officer, the respondent.</w:t>
      </w:r>
    </w:p>
    <w:p w:rsidR="00071C11" w:rsidRDefault="00071C11" w:rsidP="00071C11">
      <w:pPr>
        <w:jc w:val="both"/>
        <w:rPr>
          <w:rFonts w:ascii="Book Antiqua" w:hAnsi="Book Antiqua" w:cs="Arial"/>
        </w:rPr>
      </w:pPr>
    </w:p>
    <w:p w:rsidR="00071C11" w:rsidRDefault="00071C11" w:rsidP="00071C11">
      <w:pPr>
        <w:numPr>
          <w:ilvl w:val="0"/>
          <w:numId w:val="3"/>
        </w:numPr>
        <w:ind w:left="567" w:hanging="567"/>
        <w:jc w:val="both"/>
        <w:rPr>
          <w:rFonts w:ascii="Book Antiqua" w:hAnsi="Book Antiqua" w:cs="Arial"/>
        </w:rPr>
      </w:pPr>
      <w:r>
        <w:rPr>
          <w:rFonts w:ascii="Book Antiqua" w:hAnsi="Book Antiqua" w:cs="Arial"/>
        </w:rPr>
        <w:t>The appellant is a</w:t>
      </w:r>
      <w:r w:rsidR="00FA23ED">
        <w:rPr>
          <w:rFonts w:ascii="Book Antiqua" w:hAnsi="Book Antiqua" w:cs="Arial"/>
        </w:rPr>
        <w:t xml:space="preserve"> citizen of India born in 1989.  He appealed against a decision of the respondent made on 23 April 2015 to refuse him entry clearance as a Tier 2 (Minister of Religion) Partner.  The application was refused under paragraph</w:t>
      </w:r>
      <w:r w:rsidR="00622287">
        <w:rPr>
          <w:rFonts w:ascii="Book Antiqua" w:hAnsi="Book Antiqua" w:cs="Arial"/>
        </w:rPr>
        <w:t>s 319C(f) and</w:t>
      </w:r>
      <w:r w:rsidR="00FA23ED">
        <w:rPr>
          <w:rFonts w:ascii="Book Antiqua" w:hAnsi="Book Antiqua" w:cs="Arial"/>
        </w:rPr>
        <w:t xml:space="preserve"> 320(</w:t>
      </w:r>
      <w:r w:rsidR="00C66629">
        <w:rPr>
          <w:rFonts w:ascii="Book Antiqua" w:hAnsi="Book Antiqua" w:cs="Arial"/>
        </w:rPr>
        <w:t>11</w:t>
      </w:r>
      <w:r w:rsidR="00FA23ED">
        <w:rPr>
          <w:rFonts w:ascii="Book Antiqua" w:hAnsi="Book Antiqua" w:cs="Arial"/>
        </w:rPr>
        <w:t>) of the Immigration Rules.</w:t>
      </w:r>
    </w:p>
    <w:p w:rsidR="00FA23ED" w:rsidRDefault="00FA23ED" w:rsidP="00FA23ED">
      <w:pPr>
        <w:pStyle w:val="ListParagraph"/>
        <w:rPr>
          <w:rFonts w:ascii="Book Antiqua" w:hAnsi="Book Antiqua" w:cs="Arial"/>
        </w:rPr>
      </w:pPr>
    </w:p>
    <w:p w:rsidR="008B3C83" w:rsidRDefault="00FA23ED" w:rsidP="00071C11">
      <w:pPr>
        <w:numPr>
          <w:ilvl w:val="0"/>
          <w:numId w:val="3"/>
        </w:numPr>
        <w:ind w:left="567" w:hanging="567"/>
        <w:jc w:val="both"/>
        <w:rPr>
          <w:rFonts w:ascii="Book Antiqua" w:hAnsi="Book Antiqua" w:cs="Arial"/>
        </w:rPr>
      </w:pPr>
      <w:r>
        <w:rPr>
          <w:rFonts w:ascii="Book Antiqua" w:hAnsi="Book Antiqua" w:cs="Arial"/>
        </w:rPr>
        <w:t>The reasons for refusal were that having entered the UK in 2009 as a student he</w:t>
      </w:r>
      <w:r w:rsidR="008B3C83">
        <w:rPr>
          <w:rFonts w:ascii="Book Antiqua" w:hAnsi="Book Antiqua" w:cs="Arial"/>
        </w:rPr>
        <w:t xml:space="preserve"> submitted an </w:t>
      </w:r>
      <w:proofErr w:type="gramStart"/>
      <w:r w:rsidR="008B3C83">
        <w:rPr>
          <w:rFonts w:ascii="Book Antiqua" w:hAnsi="Book Antiqua" w:cs="Arial"/>
        </w:rPr>
        <w:t>in time</w:t>
      </w:r>
      <w:proofErr w:type="gramEnd"/>
      <w:r w:rsidR="008B3C83">
        <w:rPr>
          <w:rFonts w:ascii="Book Antiqua" w:hAnsi="Book Antiqua" w:cs="Arial"/>
        </w:rPr>
        <w:t xml:space="preserve"> application for leave to remain which</w:t>
      </w:r>
      <w:r w:rsidR="00B76291">
        <w:rPr>
          <w:rFonts w:ascii="Book Antiqua" w:hAnsi="Book Antiqua" w:cs="Arial"/>
        </w:rPr>
        <w:t xml:space="preserve"> was refused in November 2011 because</w:t>
      </w:r>
      <w:r w:rsidR="008B3C83">
        <w:rPr>
          <w:rFonts w:ascii="Book Antiqua" w:hAnsi="Book Antiqua" w:cs="Arial"/>
        </w:rPr>
        <w:t xml:space="preserve"> he had submitted false documents in support of his application.</w:t>
      </w:r>
    </w:p>
    <w:p w:rsidR="008B3C83" w:rsidRDefault="008B3C83" w:rsidP="008B3C83">
      <w:pPr>
        <w:pStyle w:val="ListParagraph"/>
        <w:rPr>
          <w:rFonts w:ascii="Book Antiqua" w:hAnsi="Book Antiqua" w:cs="Arial"/>
        </w:rPr>
      </w:pPr>
    </w:p>
    <w:p w:rsidR="008B3C83" w:rsidRDefault="008B3C83" w:rsidP="00071C11">
      <w:pPr>
        <w:numPr>
          <w:ilvl w:val="0"/>
          <w:numId w:val="3"/>
        </w:numPr>
        <w:ind w:left="567" w:hanging="567"/>
        <w:jc w:val="both"/>
        <w:rPr>
          <w:rFonts w:ascii="Book Antiqua" w:hAnsi="Book Antiqua" w:cs="Arial"/>
        </w:rPr>
      </w:pPr>
      <w:r>
        <w:rPr>
          <w:rFonts w:ascii="Book Antiqua" w:hAnsi="Book Antiqua" w:cs="Arial"/>
        </w:rPr>
        <w:t>However, he did not leave after the application was refused.  Despite stating twice that he wished to return home he failed to maintain contact with the Home Office only leaving in August 2013, nineteen months after the refusal.</w:t>
      </w:r>
    </w:p>
    <w:p w:rsidR="008B3C83" w:rsidRDefault="008B3C83" w:rsidP="008B3C83">
      <w:pPr>
        <w:pStyle w:val="ListParagraph"/>
        <w:rPr>
          <w:rFonts w:ascii="Book Antiqua" w:hAnsi="Book Antiqua" w:cs="Arial"/>
        </w:rPr>
      </w:pPr>
    </w:p>
    <w:p w:rsidR="008B3C83" w:rsidRDefault="008B3C83" w:rsidP="00071C11">
      <w:pPr>
        <w:numPr>
          <w:ilvl w:val="0"/>
          <w:numId w:val="3"/>
        </w:numPr>
        <w:ind w:left="567" w:hanging="567"/>
        <w:jc w:val="both"/>
        <w:rPr>
          <w:rFonts w:ascii="Book Antiqua" w:hAnsi="Book Antiqua" w:cs="Arial"/>
        </w:rPr>
      </w:pPr>
      <w:r>
        <w:rPr>
          <w:rFonts w:ascii="Book Antiqua" w:hAnsi="Book Antiqua" w:cs="Arial"/>
        </w:rPr>
        <w:t>In a covering letter (30 March 2015) to the current application he confirmed that he had used false documents.</w:t>
      </w:r>
    </w:p>
    <w:p w:rsidR="008B3C83" w:rsidRDefault="008B3C83" w:rsidP="008B3C83">
      <w:pPr>
        <w:pStyle w:val="ListParagraph"/>
        <w:rPr>
          <w:rFonts w:ascii="Book Antiqua" w:hAnsi="Book Antiqua" w:cs="Arial"/>
        </w:rPr>
      </w:pPr>
    </w:p>
    <w:p w:rsidR="008B3C83" w:rsidRDefault="008B3C83" w:rsidP="00071C11">
      <w:pPr>
        <w:numPr>
          <w:ilvl w:val="0"/>
          <w:numId w:val="3"/>
        </w:numPr>
        <w:ind w:left="567" w:hanging="567"/>
        <w:jc w:val="both"/>
        <w:rPr>
          <w:rFonts w:ascii="Book Antiqua" w:hAnsi="Book Antiqua" w:cs="Arial"/>
        </w:rPr>
      </w:pPr>
      <w:r>
        <w:rPr>
          <w:rFonts w:ascii="Book Antiqua" w:hAnsi="Book Antiqua" w:cs="Arial"/>
        </w:rPr>
        <w:t>He appealed.</w:t>
      </w:r>
    </w:p>
    <w:p w:rsidR="00622287" w:rsidRDefault="00622287" w:rsidP="00622287">
      <w:pPr>
        <w:pStyle w:val="ListParagraph"/>
        <w:rPr>
          <w:rFonts w:ascii="Book Antiqua" w:hAnsi="Book Antiqua" w:cs="Arial"/>
        </w:rPr>
      </w:pPr>
    </w:p>
    <w:p w:rsidR="00622287" w:rsidRPr="00622287" w:rsidRDefault="00622287" w:rsidP="00622287">
      <w:pPr>
        <w:ind w:left="567"/>
        <w:jc w:val="both"/>
        <w:rPr>
          <w:rFonts w:ascii="Book Antiqua" w:hAnsi="Book Antiqua" w:cs="Arial"/>
          <w:b/>
        </w:rPr>
      </w:pPr>
      <w:r w:rsidRPr="00622287">
        <w:rPr>
          <w:rFonts w:ascii="Book Antiqua" w:hAnsi="Book Antiqua" w:cs="Arial"/>
          <w:b/>
        </w:rPr>
        <w:t>First tier proceedings</w:t>
      </w:r>
    </w:p>
    <w:p w:rsidR="008B3C83" w:rsidRDefault="008B3C83" w:rsidP="008B3C83">
      <w:pPr>
        <w:pStyle w:val="ListParagraph"/>
        <w:rPr>
          <w:rFonts w:ascii="Book Antiqua" w:hAnsi="Book Antiqua" w:cs="Arial"/>
        </w:rPr>
      </w:pPr>
    </w:p>
    <w:p w:rsidR="00C66629" w:rsidRDefault="008B3C83" w:rsidP="00071C11">
      <w:pPr>
        <w:numPr>
          <w:ilvl w:val="0"/>
          <w:numId w:val="3"/>
        </w:numPr>
        <w:ind w:left="567" w:hanging="567"/>
        <w:jc w:val="both"/>
        <w:rPr>
          <w:rFonts w:ascii="Book Antiqua" w:hAnsi="Book Antiqua" w:cs="Arial"/>
        </w:rPr>
      </w:pPr>
      <w:r>
        <w:rPr>
          <w:rFonts w:ascii="Book Antiqua" w:hAnsi="Book Antiqua" w:cs="Arial"/>
        </w:rPr>
        <w:t>Following a hearing at Hatton Cross on 19 August</w:t>
      </w:r>
      <w:r w:rsidR="00622287">
        <w:rPr>
          <w:rFonts w:ascii="Book Antiqua" w:hAnsi="Book Antiqua" w:cs="Arial"/>
        </w:rPr>
        <w:t xml:space="preserve"> 2016</w:t>
      </w:r>
      <w:r>
        <w:rPr>
          <w:rFonts w:ascii="Book Antiqua" w:hAnsi="Book Antiqua" w:cs="Arial"/>
        </w:rPr>
        <w:t xml:space="preserve"> Judge of the First-tier Fletcher-Hill allowed the appeal.  In a brief decision she centred on the appellant’s wife as an honest and credible witness and concluded </w:t>
      </w:r>
      <w:r w:rsidR="00C66629">
        <w:rPr>
          <w:rFonts w:ascii="Book Antiqua" w:hAnsi="Book Antiqua" w:cs="Arial"/>
        </w:rPr>
        <w:t>that they would comply by departing at the conclusion of her period of leave.</w:t>
      </w:r>
    </w:p>
    <w:p w:rsidR="00C66629" w:rsidRDefault="00C66629" w:rsidP="00C66629">
      <w:pPr>
        <w:pStyle w:val="ListParagraph"/>
        <w:rPr>
          <w:rFonts w:ascii="Book Antiqua" w:hAnsi="Book Antiqua" w:cs="Arial"/>
        </w:rPr>
      </w:pPr>
    </w:p>
    <w:p w:rsidR="00C66629" w:rsidRPr="00F72EF6" w:rsidRDefault="00C66629" w:rsidP="00071C11">
      <w:pPr>
        <w:numPr>
          <w:ilvl w:val="0"/>
          <w:numId w:val="3"/>
        </w:numPr>
        <w:ind w:left="567" w:hanging="567"/>
        <w:jc w:val="both"/>
        <w:rPr>
          <w:rFonts w:ascii="Book Antiqua" w:hAnsi="Book Antiqua" w:cs="Arial"/>
          <w:i/>
        </w:rPr>
      </w:pPr>
      <w:r>
        <w:rPr>
          <w:rFonts w:ascii="Book Antiqua" w:hAnsi="Book Antiqua" w:cs="Arial"/>
        </w:rPr>
        <w:t xml:space="preserve">The respondent sought permission to appeal which was granted on 27 January 2017.  Following an error of law hearing at </w:t>
      </w:r>
      <w:r w:rsidR="00622287">
        <w:rPr>
          <w:rFonts w:ascii="Book Antiqua" w:hAnsi="Book Antiqua" w:cs="Arial"/>
        </w:rPr>
        <w:t xml:space="preserve">Field House on 13 March 2017 a judge stated that the First </w:t>
      </w:r>
      <w:proofErr w:type="gramStart"/>
      <w:r w:rsidR="00622287">
        <w:rPr>
          <w:rFonts w:ascii="Book Antiqua" w:hAnsi="Book Antiqua" w:cs="Arial"/>
        </w:rPr>
        <w:t>tier</w:t>
      </w:r>
      <w:proofErr w:type="gramEnd"/>
      <w:r w:rsidR="00622287">
        <w:rPr>
          <w:rFonts w:ascii="Book Antiqua" w:hAnsi="Book Antiqua" w:cs="Arial"/>
        </w:rPr>
        <w:t xml:space="preserve"> Tribunal</w:t>
      </w:r>
      <w:r>
        <w:rPr>
          <w:rFonts w:ascii="Book Antiqua" w:hAnsi="Book Antiqua" w:cs="Arial"/>
        </w:rPr>
        <w:t xml:space="preserve"> did </w:t>
      </w:r>
      <w:r w:rsidRPr="00F72EF6">
        <w:rPr>
          <w:rFonts w:ascii="Book Antiqua" w:hAnsi="Book Antiqua" w:cs="Arial"/>
          <w:i/>
        </w:rPr>
        <w:t>“… not get to grips with the basis of the earlier refusal and the decision on deception”,</w:t>
      </w:r>
      <w:r>
        <w:rPr>
          <w:rFonts w:ascii="Book Antiqua" w:hAnsi="Book Antiqua" w:cs="Arial"/>
        </w:rPr>
        <w:t xml:space="preserve"> nor did she explain </w:t>
      </w:r>
      <w:r w:rsidRPr="00F72EF6">
        <w:rPr>
          <w:rFonts w:ascii="Book Antiqua" w:hAnsi="Book Antiqua" w:cs="Arial"/>
          <w:i/>
        </w:rPr>
        <w:t>“even allowing for an exercise of discretion, how she balances that issue with the positive finding she makes about the claimant’s wife.”</w:t>
      </w:r>
      <w:r>
        <w:rPr>
          <w:rFonts w:ascii="Book Antiqua" w:hAnsi="Book Antiqua" w:cs="Arial"/>
        </w:rPr>
        <w:t xml:space="preserve">  It was ultimately a </w:t>
      </w:r>
      <w:r w:rsidRPr="00F72EF6">
        <w:rPr>
          <w:rFonts w:ascii="Book Antiqua" w:hAnsi="Book Antiqua" w:cs="Arial"/>
          <w:i/>
        </w:rPr>
        <w:t>“lack of adequate and sufficient reasons to address the ECO’s basis of concern”.</w:t>
      </w:r>
    </w:p>
    <w:p w:rsidR="00C66629" w:rsidRDefault="00C66629" w:rsidP="00C66629">
      <w:pPr>
        <w:pStyle w:val="ListParagraph"/>
        <w:rPr>
          <w:rFonts w:ascii="Book Antiqua" w:hAnsi="Book Antiqua" w:cs="Arial"/>
        </w:rPr>
      </w:pPr>
    </w:p>
    <w:p w:rsidR="00C66629" w:rsidRDefault="00C66629" w:rsidP="00071C11">
      <w:pPr>
        <w:numPr>
          <w:ilvl w:val="0"/>
          <w:numId w:val="3"/>
        </w:numPr>
        <w:ind w:left="567" w:hanging="567"/>
        <w:jc w:val="both"/>
        <w:rPr>
          <w:rFonts w:ascii="Book Antiqua" w:hAnsi="Book Antiqua" w:cs="Arial"/>
        </w:rPr>
      </w:pPr>
      <w:r>
        <w:rPr>
          <w:rFonts w:ascii="Book Antiqua" w:hAnsi="Book Antiqua" w:cs="Arial"/>
        </w:rPr>
        <w:t>The decision was set aside and remitted to the First-tier Tribunal.</w:t>
      </w:r>
    </w:p>
    <w:p w:rsidR="00C66629" w:rsidRDefault="00C66629" w:rsidP="00C66629">
      <w:pPr>
        <w:pStyle w:val="ListParagraph"/>
        <w:rPr>
          <w:rFonts w:ascii="Book Antiqua" w:hAnsi="Book Antiqua" w:cs="Arial"/>
        </w:rPr>
      </w:pPr>
    </w:p>
    <w:p w:rsidR="00C66629" w:rsidRDefault="00C66629" w:rsidP="00071C11">
      <w:pPr>
        <w:numPr>
          <w:ilvl w:val="0"/>
          <w:numId w:val="3"/>
        </w:numPr>
        <w:ind w:left="567" w:hanging="567"/>
        <w:jc w:val="both"/>
        <w:rPr>
          <w:rFonts w:ascii="Book Antiqua" w:hAnsi="Book Antiqua" w:cs="Arial"/>
        </w:rPr>
      </w:pPr>
      <w:r>
        <w:rPr>
          <w:rFonts w:ascii="Book Antiqua" w:hAnsi="Book Antiqua" w:cs="Arial"/>
        </w:rPr>
        <w:t>It then came before Judge of the First-tier</w:t>
      </w:r>
      <w:r w:rsidR="00B76291">
        <w:rPr>
          <w:rFonts w:ascii="Book Antiqua" w:hAnsi="Book Antiqua" w:cs="Arial"/>
        </w:rPr>
        <w:t xml:space="preserve"> LK</w:t>
      </w:r>
      <w:r>
        <w:rPr>
          <w:rFonts w:ascii="Book Antiqua" w:hAnsi="Book Antiqua" w:cs="Arial"/>
        </w:rPr>
        <w:t xml:space="preserve"> Gibbs.  She, following a hearing at Hatton Cross on 17 November 2017</w:t>
      </w:r>
      <w:r w:rsidR="00F72EF6">
        <w:rPr>
          <w:rFonts w:ascii="Book Antiqua" w:hAnsi="Book Antiqua" w:cs="Arial"/>
        </w:rPr>
        <w:t>,</w:t>
      </w:r>
      <w:r>
        <w:rPr>
          <w:rFonts w:ascii="Book Antiqua" w:hAnsi="Book Antiqua" w:cs="Arial"/>
        </w:rPr>
        <w:t xml:space="preserve"> also allowed the appeal.</w:t>
      </w:r>
    </w:p>
    <w:p w:rsidR="00C66629" w:rsidRDefault="00C66629" w:rsidP="00C66629">
      <w:pPr>
        <w:pStyle w:val="ListParagraph"/>
        <w:rPr>
          <w:rFonts w:ascii="Book Antiqua" w:hAnsi="Book Antiqua" w:cs="Arial"/>
        </w:rPr>
      </w:pPr>
    </w:p>
    <w:p w:rsidR="00C66629" w:rsidRDefault="00C66629" w:rsidP="00071C11">
      <w:pPr>
        <w:numPr>
          <w:ilvl w:val="0"/>
          <w:numId w:val="3"/>
        </w:numPr>
        <w:ind w:left="567" w:hanging="567"/>
        <w:jc w:val="both"/>
        <w:rPr>
          <w:rFonts w:ascii="Book Antiqua" w:hAnsi="Book Antiqua" w:cs="Arial"/>
        </w:rPr>
      </w:pPr>
      <w:r>
        <w:rPr>
          <w:rFonts w:ascii="Book Antiqua" w:hAnsi="Book Antiqua" w:cs="Arial"/>
        </w:rPr>
        <w:t xml:space="preserve">The crux of her brief decision is at paragraph 10.  She </w:t>
      </w:r>
      <w:proofErr w:type="gramStart"/>
      <w:r>
        <w:rPr>
          <w:rFonts w:ascii="Book Antiqua" w:hAnsi="Book Antiqua" w:cs="Arial"/>
        </w:rPr>
        <w:t>states:-</w:t>
      </w:r>
      <w:proofErr w:type="gramEnd"/>
    </w:p>
    <w:p w:rsidR="00475554" w:rsidRPr="00F72EF6" w:rsidRDefault="00C66629" w:rsidP="00F86BD7">
      <w:pPr>
        <w:spacing w:before="120" w:after="120"/>
        <w:ind w:left="1134" w:right="567"/>
        <w:jc w:val="both"/>
        <w:rPr>
          <w:rFonts w:ascii="Book Antiqua" w:hAnsi="Book Antiqua" w:cs="Arial"/>
          <w:i/>
        </w:rPr>
      </w:pPr>
      <w:r w:rsidRPr="00F72EF6">
        <w:rPr>
          <w:rFonts w:ascii="Book Antiqua" w:hAnsi="Book Antiqua" w:cs="Arial"/>
          <w:i/>
        </w:rPr>
        <w:t>“In asserting that the appellant has submitted false documents in an application the burden of proof is on the ECO.  I am satisfied that the ECO has failed to provide any evidence or detail regarding the alleged forged documents and that he has therefore failed to discharge the burden.  Equally I find that the ECO has failed to provide any evidence that the appellant contacted the Home Office on two occasions claiming that he intended to make a voluntary departure prior to leaving the UK on 29 August 2013.”</w:t>
      </w:r>
    </w:p>
    <w:p w:rsidR="00475554" w:rsidRDefault="00C66629" w:rsidP="00F86BD7">
      <w:pPr>
        <w:spacing w:before="120" w:after="120"/>
        <w:ind w:left="1134" w:right="567"/>
        <w:jc w:val="both"/>
        <w:rPr>
          <w:rFonts w:ascii="Book Antiqua" w:hAnsi="Book Antiqua" w:cs="Arial"/>
        </w:rPr>
      </w:pPr>
      <w:r w:rsidRPr="00F72EF6">
        <w:rPr>
          <w:rFonts w:ascii="Book Antiqua" w:hAnsi="Book Antiqua" w:cs="Arial"/>
          <w:i/>
        </w:rPr>
        <w:t xml:space="preserve"> </w:t>
      </w:r>
      <w:r w:rsidR="00475554">
        <w:rPr>
          <w:rFonts w:ascii="Book Antiqua" w:hAnsi="Book Antiqua" w:cs="Arial"/>
        </w:rPr>
        <w:t xml:space="preserve">She was therefore not satisfied that paragraph 320(11) was engaged [11]. </w:t>
      </w:r>
    </w:p>
    <w:p w:rsidR="00475554" w:rsidRDefault="00475554" w:rsidP="00475554">
      <w:pPr>
        <w:ind w:left="567"/>
        <w:jc w:val="both"/>
        <w:rPr>
          <w:rFonts w:ascii="Book Antiqua" w:hAnsi="Book Antiqua" w:cs="Arial"/>
        </w:rPr>
      </w:pPr>
    </w:p>
    <w:p w:rsidR="00C66629" w:rsidRDefault="00475554" w:rsidP="00071C11">
      <w:pPr>
        <w:numPr>
          <w:ilvl w:val="0"/>
          <w:numId w:val="3"/>
        </w:numPr>
        <w:ind w:left="567" w:hanging="567"/>
        <w:jc w:val="both"/>
        <w:rPr>
          <w:rFonts w:ascii="Book Antiqua" w:hAnsi="Book Antiqua" w:cs="Arial"/>
        </w:rPr>
      </w:pPr>
      <w:r>
        <w:rPr>
          <w:rFonts w:ascii="Book Antiqua" w:hAnsi="Book Antiqua" w:cs="Arial"/>
        </w:rPr>
        <w:t>The</w:t>
      </w:r>
      <w:r w:rsidR="00C66629">
        <w:rPr>
          <w:rFonts w:ascii="Book Antiqua" w:hAnsi="Book Antiqua" w:cs="Arial"/>
        </w:rPr>
        <w:t xml:space="preserve"> respondent again sought permission to appeal </w:t>
      </w:r>
      <w:r w:rsidR="00235C2D">
        <w:rPr>
          <w:rFonts w:ascii="Book Antiqua" w:hAnsi="Book Antiqua" w:cs="Arial"/>
        </w:rPr>
        <w:t>which was granted on 30 May 2018</w:t>
      </w:r>
      <w:r w:rsidR="00C66629">
        <w:rPr>
          <w:rFonts w:ascii="Book Antiqua" w:hAnsi="Book Antiqua" w:cs="Arial"/>
        </w:rPr>
        <w:t>.</w:t>
      </w:r>
    </w:p>
    <w:p w:rsidR="00622287" w:rsidRDefault="00622287" w:rsidP="00622287">
      <w:pPr>
        <w:jc w:val="both"/>
        <w:rPr>
          <w:rFonts w:ascii="Book Antiqua" w:hAnsi="Book Antiqua" w:cs="Arial"/>
        </w:rPr>
      </w:pPr>
    </w:p>
    <w:p w:rsidR="00C66629" w:rsidRPr="00622287" w:rsidRDefault="00622287" w:rsidP="00622287">
      <w:pPr>
        <w:ind w:left="567"/>
        <w:jc w:val="both"/>
        <w:rPr>
          <w:rFonts w:ascii="Book Antiqua" w:hAnsi="Book Antiqua" w:cs="Arial"/>
          <w:b/>
        </w:rPr>
      </w:pPr>
      <w:r w:rsidRPr="00622287">
        <w:rPr>
          <w:rFonts w:ascii="Book Antiqua" w:hAnsi="Book Antiqua" w:cs="Arial"/>
          <w:b/>
        </w:rPr>
        <w:lastRenderedPageBreak/>
        <w:t>Error of law hearing</w:t>
      </w:r>
    </w:p>
    <w:p w:rsidR="00F86BD7" w:rsidRDefault="00F86BD7" w:rsidP="00F86BD7">
      <w:pPr>
        <w:ind w:left="567"/>
        <w:jc w:val="both"/>
        <w:rPr>
          <w:rFonts w:ascii="Book Antiqua" w:hAnsi="Book Antiqua" w:cs="Arial"/>
        </w:rPr>
      </w:pPr>
    </w:p>
    <w:p w:rsidR="00C66629" w:rsidRDefault="00C66629" w:rsidP="00071C11">
      <w:pPr>
        <w:numPr>
          <w:ilvl w:val="0"/>
          <w:numId w:val="3"/>
        </w:numPr>
        <w:ind w:left="567" w:hanging="567"/>
        <w:jc w:val="both"/>
        <w:rPr>
          <w:rFonts w:ascii="Book Antiqua" w:hAnsi="Book Antiqua" w:cs="Arial"/>
        </w:rPr>
      </w:pPr>
      <w:r>
        <w:rPr>
          <w:rFonts w:ascii="Book Antiqua" w:hAnsi="Book Antiqua" w:cs="Arial"/>
        </w:rPr>
        <w:t>At the error of law hearing before me both parties agreed that the decision showed material error of law.</w:t>
      </w:r>
    </w:p>
    <w:p w:rsidR="00C66629" w:rsidRDefault="00C66629" w:rsidP="00C66629">
      <w:pPr>
        <w:pStyle w:val="ListParagraph"/>
        <w:rPr>
          <w:rFonts w:ascii="Book Antiqua" w:hAnsi="Book Antiqua" w:cs="Arial"/>
        </w:rPr>
      </w:pPr>
    </w:p>
    <w:p w:rsidR="00C66629" w:rsidRPr="00F72EF6" w:rsidRDefault="00C66629" w:rsidP="00071C11">
      <w:pPr>
        <w:numPr>
          <w:ilvl w:val="0"/>
          <w:numId w:val="3"/>
        </w:numPr>
        <w:ind w:left="567" w:hanging="567"/>
        <w:jc w:val="both"/>
        <w:rPr>
          <w:rFonts w:ascii="Book Antiqua" w:hAnsi="Book Antiqua" w:cs="Arial"/>
          <w:i/>
        </w:rPr>
      </w:pPr>
      <w:r>
        <w:rPr>
          <w:rFonts w:ascii="Book Antiqua" w:hAnsi="Book Antiqua" w:cs="Arial"/>
        </w:rPr>
        <w:t xml:space="preserve">Paragraph 320(11), which is discretionary, requires it to be shown that </w:t>
      </w:r>
      <w:r w:rsidRPr="00F72EF6">
        <w:rPr>
          <w:rFonts w:ascii="Book Antiqua" w:hAnsi="Book Antiqua" w:cs="Arial"/>
          <w:i/>
        </w:rPr>
        <w:t>“the applicant has previously contrived in a significant way to frustrate the intentions of the Rules by:</w:t>
      </w:r>
    </w:p>
    <w:p w:rsidR="00C66629" w:rsidRPr="00F72EF6" w:rsidRDefault="00F86BD7" w:rsidP="00F86BD7">
      <w:pPr>
        <w:spacing w:before="120" w:after="120"/>
        <w:ind w:left="1134"/>
        <w:jc w:val="both"/>
        <w:rPr>
          <w:rFonts w:ascii="Book Antiqua" w:hAnsi="Book Antiqua" w:cs="Arial"/>
          <w:i/>
        </w:rPr>
      </w:pPr>
      <w:r>
        <w:rPr>
          <w:rFonts w:ascii="Book Antiqua" w:hAnsi="Book Antiqua" w:cs="Arial"/>
          <w:i/>
        </w:rPr>
        <w:t>“</w:t>
      </w:r>
      <w:r w:rsidR="00C66629" w:rsidRPr="00F72EF6">
        <w:rPr>
          <w:rFonts w:ascii="Book Antiqua" w:hAnsi="Book Antiqua" w:cs="Arial"/>
          <w:i/>
        </w:rPr>
        <w:t>… (iv) using deception in an application for entry clearance, leave to enter or remain …; and</w:t>
      </w:r>
    </w:p>
    <w:p w:rsidR="004F16D3" w:rsidRPr="00F72EF6" w:rsidRDefault="004F16D3" w:rsidP="00F86BD7">
      <w:pPr>
        <w:spacing w:before="120" w:after="120"/>
        <w:ind w:left="1134"/>
        <w:jc w:val="both"/>
        <w:rPr>
          <w:rFonts w:ascii="Book Antiqua" w:hAnsi="Book Antiqua" w:cs="Arial"/>
          <w:i/>
        </w:rPr>
      </w:pPr>
      <w:r w:rsidRPr="00F72EF6">
        <w:rPr>
          <w:rFonts w:ascii="Book Antiqua" w:hAnsi="Book Antiqua" w:cs="Arial"/>
          <w:i/>
        </w:rPr>
        <w:t>The</w:t>
      </w:r>
      <w:r w:rsidR="00997F40">
        <w:rPr>
          <w:rFonts w:ascii="Book Antiqua" w:hAnsi="Book Antiqua" w:cs="Arial"/>
          <w:i/>
        </w:rPr>
        <w:t>re are other aggravating circumstances</w:t>
      </w:r>
      <w:r w:rsidRPr="00F72EF6">
        <w:rPr>
          <w:rFonts w:ascii="Book Antiqua" w:hAnsi="Book Antiqua" w:cs="Arial"/>
          <w:i/>
        </w:rPr>
        <w:t xml:space="preserve"> …”</w:t>
      </w:r>
    </w:p>
    <w:p w:rsidR="004F16D3" w:rsidRDefault="00622287" w:rsidP="00071C11">
      <w:pPr>
        <w:numPr>
          <w:ilvl w:val="0"/>
          <w:numId w:val="3"/>
        </w:numPr>
        <w:ind w:left="567" w:hanging="567"/>
        <w:jc w:val="both"/>
        <w:rPr>
          <w:rFonts w:ascii="Book Antiqua" w:hAnsi="Book Antiqua" w:cs="Arial"/>
        </w:rPr>
      </w:pPr>
      <w:r>
        <w:rPr>
          <w:rFonts w:ascii="Book Antiqua" w:hAnsi="Book Antiqua" w:cs="Arial"/>
        </w:rPr>
        <w:t>The problem is that the j</w:t>
      </w:r>
      <w:r w:rsidR="004F16D3">
        <w:rPr>
          <w:rFonts w:ascii="Book Antiqua" w:hAnsi="Book Antiqua" w:cs="Arial"/>
        </w:rPr>
        <w:t>udge in her finding that the respondent failed to provide evidence to support the assertion that the appellant had submitted false documents</w:t>
      </w:r>
      <w:r>
        <w:rPr>
          <w:rFonts w:ascii="Book Antiqua" w:hAnsi="Book Antiqua" w:cs="Arial"/>
        </w:rPr>
        <w:t>,</w:t>
      </w:r>
      <w:r w:rsidR="004F16D3">
        <w:rPr>
          <w:rFonts w:ascii="Book Antiqua" w:hAnsi="Book Antiqua" w:cs="Arial"/>
        </w:rPr>
        <w:t xml:space="preserve"> and thereby failed to discharge the burden of proof, neglected to consider the letter (30 March 2015) by the appellant in which he apparently conceded his earlier deception.</w:t>
      </w:r>
    </w:p>
    <w:p w:rsidR="004F16D3" w:rsidRDefault="004F16D3" w:rsidP="004F16D3">
      <w:pPr>
        <w:jc w:val="both"/>
        <w:rPr>
          <w:rFonts w:ascii="Book Antiqua" w:hAnsi="Book Antiqua" w:cs="Arial"/>
        </w:rPr>
      </w:pPr>
    </w:p>
    <w:p w:rsidR="004F16D3" w:rsidRDefault="004F16D3" w:rsidP="00071C11">
      <w:pPr>
        <w:numPr>
          <w:ilvl w:val="0"/>
          <w:numId w:val="3"/>
        </w:numPr>
        <w:ind w:left="567" w:hanging="567"/>
        <w:jc w:val="both"/>
        <w:rPr>
          <w:rFonts w:ascii="Book Antiqua" w:hAnsi="Book Antiqua" w:cs="Arial"/>
        </w:rPr>
      </w:pPr>
      <w:r>
        <w:rPr>
          <w:rFonts w:ascii="Book Antiqua" w:hAnsi="Book Antiqua" w:cs="Arial"/>
        </w:rPr>
        <w:t>In failing to do</w:t>
      </w:r>
      <w:r w:rsidR="00B76291">
        <w:rPr>
          <w:rFonts w:ascii="Book Antiqua" w:hAnsi="Book Antiqua" w:cs="Arial"/>
        </w:rPr>
        <w:t xml:space="preserve"> so</w:t>
      </w:r>
      <w:r>
        <w:rPr>
          <w:rFonts w:ascii="Book Antiqua" w:hAnsi="Book Antiqua" w:cs="Arial"/>
        </w:rPr>
        <w:t xml:space="preserve"> and then, if appropriate, go on to co</w:t>
      </w:r>
      <w:r w:rsidR="00622287">
        <w:rPr>
          <w:rFonts w:ascii="Book Antiqua" w:hAnsi="Book Antiqua" w:cs="Arial"/>
        </w:rPr>
        <w:t>nsider aggravating facto</w:t>
      </w:r>
      <w:r w:rsidR="00A64647">
        <w:rPr>
          <w:rFonts w:ascii="Book Antiqua" w:hAnsi="Book Antiqua" w:cs="Arial"/>
        </w:rPr>
        <w:t>rs</w:t>
      </w:r>
      <w:r w:rsidR="0044048D">
        <w:rPr>
          <w:rFonts w:ascii="Book Antiqua" w:hAnsi="Book Antiqua" w:cs="Arial"/>
        </w:rPr>
        <w:t>,</w:t>
      </w:r>
      <w:r w:rsidR="00622287">
        <w:rPr>
          <w:rFonts w:ascii="Book Antiqua" w:hAnsi="Book Antiqua" w:cs="Arial"/>
        </w:rPr>
        <w:t xml:space="preserve"> the j</w:t>
      </w:r>
      <w:r>
        <w:rPr>
          <w:rFonts w:ascii="Book Antiqua" w:hAnsi="Book Antiqua" w:cs="Arial"/>
        </w:rPr>
        <w:t xml:space="preserve">udge erred.  There is simply a lack of reasons to address the respondent’s </w:t>
      </w:r>
      <w:r w:rsidR="0044048D">
        <w:rPr>
          <w:rFonts w:ascii="Book Antiqua" w:hAnsi="Book Antiqua" w:cs="Arial"/>
        </w:rPr>
        <w:t>basis of concern, the alleged deception.</w:t>
      </w:r>
      <w:r>
        <w:rPr>
          <w:rFonts w:ascii="Book Antiqua" w:hAnsi="Book Antiqua" w:cs="Arial"/>
        </w:rPr>
        <w:t xml:space="preserve">  As a result</w:t>
      </w:r>
      <w:r w:rsidR="00622287">
        <w:rPr>
          <w:rFonts w:ascii="Book Antiqua" w:hAnsi="Book Antiqua" w:cs="Arial"/>
        </w:rPr>
        <w:t>, by consent,</w:t>
      </w:r>
      <w:r>
        <w:rPr>
          <w:rFonts w:ascii="Book Antiqua" w:hAnsi="Book Antiqua" w:cs="Arial"/>
        </w:rPr>
        <w:t xml:space="preserve"> the decision was set aside to be remade.</w:t>
      </w:r>
    </w:p>
    <w:p w:rsidR="004F16D3" w:rsidRDefault="004F16D3" w:rsidP="004F16D3">
      <w:pPr>
        <w:pStyle w:val="ListParagraph"/>
        <w:rPr>
          <w:rFonts w:ascii="Book Antiqua" w:hAnsi="Book Antiqua" w:cs="Arial"/>
        </w:rPr>
      </w:pPr>
    </w:p>
    <w:p w:rsidR="004F16D3" w:rsidRDefault="004F16D3" w:rsidP="00071C11">
      <w:pPr>
        <w:numPr>
          <w:ilvl w:val="0"/>
          <w:numId w:val="3"/>
        </w:numPr>
        <w:ind w:left="567" w:hanging="567"/>
        <w:jc w:val="both"/>
        <w:rPr>
          <w:rFonts w:ascii="Book Antiqua" w:hAnsi="Book Antiqua" w:cs="Arial"/>
        </w:rPr>
      </w:pPr>
      <w:r>
        <w:rPr>
          <w:rFonts w:ascii="Book Antiqua" w:hAnsi="Book Antiqua" w:cs="Arial"/>
        </w:rPr>
        <w:t>We were not able to conclude the case on t</w:t>
      </w:r>
      <w:r w:rsidR="00B76291">
        <w:rPr>
          <w:rFonts w:ascii="Book Antiqua" w:hAnsi="Book Antiqua" w:cs="Arial"/>
        </w:rPr>
        <w:t>he day.</w:t>
      </w:r>
      <w:r>
        <w:rPr>
          <w:rFonts w:ascii="Book Antiqua" w:hAnsi="Book Antiqua" w:cs="Arial"/>
        </w:rPr>
        <w:t xml:space="preserve">  Evidence would be sought to be led.  The statements were old.  It was agreed that it was appropri</w:t>
      </w:r>
      <w:r w:rsidR="00B76291">
        <w:rPr>
          <w:rFonts w:ascii="Book Antiqua" w:hAnsi="Book Antiqua" w:cs="Arial"/>
        </w:rPr>
        <w:t>ate under s</w:t>
      </w:r>
      <w:r>
        <w:rPr>
          <w:rFonts w:ascii="Book Antiqua" w:hAnsi="Book Antiqua" w:cs="Arial"/>
        </w:rPr>
        <w:t>ection 12 of the 2002 Act and Practice Statement 7.2 to again remit to the First-tier Tribunal for a fresh hearing.  The member(s) of the First-tier Tribunal to consider the case are not to include Judge Fletcher-Hill or Judge</w:t>
      </w:r>
      <w:r w:rsidR="00B76291">
        <w:rPr>
          <w:rFonts w:ascii="Book Antiqua" w:hAnsi="Book Antiqua" w:cs="Arial"/>
        </w:rPr>
        <w:t xml:space="preserve"> LK</w:t>
      </w:r>
      <w:r>
        <w:rPr>
          <w:rFonts w:ascii="Book Antiqua" w:hAnsi="Book Antiqua" w:cs="Arial"/>
        </w:rPr>
        <w:t xml:space="preserve"> Gibbs.</w:t>
      </w:r>
    </w:p>
    <w:p w:rsidR="004F16D3" w:rsidRDefault="004F16D3" w:rsidP="004F16D3">
      <w:pPr>
        <w:pStyle w:val="ListParagraph"/>
        <w:rPr>
          <w:rFonts w:ascii="Book Antiqua" w:hAnsi="Book Antiqua" w:cs="Arial"/>
        </w:rPr>
      </w:pPr>
    </w:p>
    <w:p w:rsidR="004F16D3" w:rsidRDefault="004F16D3" w:rsidP="004F16D3">
      <w:pPr>
        <w:ind w:left="567"/>
        <w:jc w:val="both"/>
        <w:rPr>
          <w:rFonts w:ascii="Book Antiqua" w:hAnsi="Book Antiqua" w:cs="Arial"/>
        </w:rPr>
      </w:pPr>
      <w:r>
        <w:rPr>
          <w:rFonts w:ascii="Book Antiqua" w:hAnsi="Book Antiqua" w:cs="Arial"/>
        </w:rPr>
        <w:t>No anonymity order made.</w:t>
      </w:r>
    </w:p>
    <w:p w:rsidR="004F16D3" w:rsidRDefault="004F16D3" w:rsidP="004F16D3">
      <w:pPr>
        <w:ind w:left="567"/>
        <w:jc w:val="both"/>
        <w:rPr>
          <w:rFonts w:ascii="Book Antiqua" w:hAnsi="Book Antiqua" w:cs="Arial"/>
        </w:rPr>
      </w:pPr>
    </w:p>
    <w:p w:rsidR="004F16D3" w:rsidRDefault="004F16D3" w:rsidP="004F16D3">
      <w:pPr>
        <w:ind w:left="567"/>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p>
    <w:p w:rsidR="0034540B" w:rsidRDefault="0034540B" w:rsidP="0034540B">
      <w:pPr>
        <w:tabs>
          <w:tab w:val="left" w:pos="2520"/>
        </w:tabs>
        <w:rPr>
          <w:rFonts w:ascii="Book Antiqua" w:hAnsi="Book Antiqua" w:cs="Arial"/>
          <w:color w:val="000000"/>
        </w:rPr>
      </w:pPr>
    </w:p>
    <w:p w:rsidR="00BF2ED8" w:rsidRPr="000619F9" w:rsidRDefault="00933B65" w:rsidP="006D712C">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266FFE" w:rsidRDefault="00266FFE"/>
    <w:sectPr w:rsidR="00266FFE"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6B3" w:rsidRDefault="003406B3">
      <w:r>
        <w:separator/>
      </w:r>
    </w:p>
  </w:endnote>
  <w:endnote w:type="continuationSeparator" w:id="0">
    <w:p w:rsidR="003406B3" w:rsidRDefault="003406B3">
      <w:r>
        <w:continuationSeparator/>
      </w:r>
    </w:p>
  </w:endnote>
  <w:endnote w:type="continuationNotice" w:id="1">
    <w:p w:rsidR="003406B3" w:rsidRDefault="00340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B90" w:rsidRPr="00593795" w:rsidRDefault="00325B90"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D7D7D">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B90" w:rsidRPr="00090CF9" w:rsidRDefault="00325B90"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6B3" w:rsidRDefault="003406B3">
      <w:r>
        <w:separator/>
      </w:r>
    </w:p>
  </w:footnote>
  <w:footnote w:type="continuationSeparator" w:id="0">
    <w:p w:rsidR="003406B3" w:rsidRDefault="003406B3">
      <w:r>
        <w:continuationSeparator/>
      </w:r>
    </w:p>
  </w:footnote>
  <w:footnote w:type="continuationNotice" w:id="1">
    <w:p w:rsidR="003406B3" w:rsidRDefault="00340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B90" w:rsidRPr="00E02322" w:rsidRDefault="00325B90" w:rsidP="00614E94">
    <w:pPr>
      <w:pStyle w:val="Header"/>
      <w:jc w:val="right"/>
      <w:rPr>
        <w:rFonts w:ascii="Book Antiqua" w:hAnsi="Book Antiqua" w:cs="Arial"/>
        <w:sz w:val="16"/>
        <w:szCs w:val="16"/>
      </w:rPr>
    </w:pPr>
    <w:r w:rsidRPr="00E02322">
      <w:rPr>
        <w:rFonts w:ascii="Book Antiqua" w:hAnsi="Book Antiqua" w:cs="Arial"/>
        <w:sz w:val="16"/>
        <w:szCs w:val="16"/>
      </w:rPr>
      <w:t xml:space="preserve">Appeal Number: </w:t>
    </w:r>
    <w:r w:rsidRPr="00E02322">
      <w:rPr>
        <w:rFonts w:ascii="Book Antiqua" w:hAnsi="Book Antiqua" w:cs="Arial"/>
        <w:color w:val="000000"/>
        <w:sz w:val="16"/>
        <w:szCs w:val="16"/>
      </w:rPr>
      <w:t>OA/08664/2015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2266B"/>
    <w:multiLevelType w:val="hybridMultilevel"/>
    <w:tmpl w:val="ACFCD0E4"/>
    <w:lvl w:ilvl="0" w:tplc="34CE425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51F8"/>
    <w:rsid w:val="00014C69"/>
    <w:rsid w:val="00025F0F"/>
    <w:rsid w:val="00042283"/>
    <w:rsid w:val="00071C11"/>
    <w:rsid w:val="00090166"/>
    <w:rsid w:val="00091185"/>
    <w:rsid w:val="000B5258"/>
    <w:rsid w:val="000B5D22"/>
    <w:rsid w:val="00112B05"/>
    <w:rsid w:val="00126DF1"/>
    <w:rsid w:val="0013409A"/>
    <w:rsid w:val="0017612F"/>
    <w:rsid w:val="00181DDC"/>
    <w:rsid w:val="001832F8"/>
    <w:rsid w:val="00197137"/>
    <w:rsid w:val="002137C8"/>
    <w:rsid w:val="0022452C"/>
    <w:rsid w:val="00235C2D"/>
    <w:rsid w:val="00266FFE"/>
    <w:rsid w:val="002B3AC8"/>
    <w:rsid w:val="002F3BEB"/>
    <w:rsid w:val="00325B90"/>
    <w:rsid w:val="00332DFB"/>
    <w:rsid w:val="003406B3"/>
    <w:rsid w:val="0034540B"/>
    <w:rsid w:val="00392E9A"/>
    <w:rsid w:val="003D7D7D"/>
    <w:rsid w:val="003D7DC1"/>
    <w:rsid w:val="00404806"/>
    <w:rsid w:val="004171D0"/>
    <w:rsid w:val="00433BB9"/>
    <w:rsid w:val="0044048D"/>
    <w:rsid w:val="0047063F"/>
    <w:rsid w:val="00470937"/>
    <w:rsid w:val="00475554"/>
    <w:rsid w:val="00493C7F"/>
    <w:rsid w:val="004A012D"/>
    <w:rsid w:val="004A289F"/>
    <w:rsid w:val="004C5989"/>
    <w:rsid w:val="004F16D3"/>
    <w:rsid w:val="004F24AB"/>
    <w:rsid w:val="004F3024"/>
    <w:rsid w:val="0057020B"/>
    <w:rsid w:val="005A0231"/>
    <w:rsid w:val="005A249B"/>
    <w:rsid w:val="005A72CC"/>
    <w:rsid w:val="006052E2"/>
    <w:rsid w:val="00614E94"/>
    <w:rsid w:val="00622287"/>
    <w:rsid w:val="00631E82"/>
    <w:rsid w:val="006748D6"/>
    <w:rsid w:val="00680A32"/>
    <w:rsid w:val="006B3731"/>
    <w:rsid w:val="006C495F"/>
    <w:rsid w:val="006C73CE"/>
    <w:rsid w:val="006D712C"/>
    <w:rsid w:val="00714BC3"/>
    <w:rsid w:val="007375FA"/>
    <w:rsid w:val="0076419F"/>
    <w:rsid w:val="007A7333"/>
    <w:rsid w:val="007E4478"/>
    <w:rsid w:val="007F0995"/>
    <w:rsid w:val="007F2D17"/>
    <w:rsid w:val="00832EEB"/>
    <w:rsid w:val="00841BE5"/>
    <w:rsid w:val="008832E8"/>
    <w:rsid w:val="00884C94"/>
    <w:rsid w:val="00896819"/>
    <w:rsid w:val="008B3C83"/>
    <w:rsid w:val="008C28CF"/>
    <w:rsid w:val="009067F6"/>
    <w:rsid w:val="00933B65"/>
    <w:rsid w:val="00942951"/>
    <w:rsid w:val="0095795C"/>
    <w:rsid w:val="009701EB"/>
    <w:rsid w:val="00997F40"/>
    <w:rsid w:val="009A7216"/>
    <w:rsid w:val="009D328D"/>
    <w:rsid w:val="00A06D05"/>
    <w:rsid w:val="00A21388"/>
    <w:rsid w:val="00A42B65"/>
    <w:rsid w:val="00A64647"/>
    <w:rsid w:val="00A86A8D"/>
    <w:rsid w:val="00A86B80"/>
    <w:rsid w:val="00AC5C04"/>
    <w:rsid w:val="00AE2E63"/>
    <w:rsid w:val="00AE4A5E"/>
    <w:rsid w:val="00AF37C0"/>
    <w:rsid w:val="00B402A2"/>
    <w:rsid w:val="00B4118F"/>
    <w:rsid w:val="00B50AD4"/>
    <w:rsid w:val="00B50C2E"/>
    <w:rsid w:val="00B76291"/>
    <w:rsid w:val="00B94499"/>
    <w:rsid w:val="00BE796B"/>
    <w:rsid w:val="00BF2ED8"/>
    <w:rsid w:val="00C31AFF"/>
    <w:rsid w:val="00C52169"/>
    <w:rsid w:val="00C66629"/>
    <w:rsid w:val="00CC7F84"/>
    <w:rsid w:val="00D244CA"/>
    <w:rsid w:val="00D44A14"/>
    <w:rsid w:val="00D47DCB"/>
    <w:rsid w:val="00D93E34"/>
    <w:rsid w:val="00DE58CA"/>
    <w:rsid w:val="00E02322"/>
    <w:rsid w:val="00EF0FBA"/>
    <w:rsid w:val="00F648C0"/>
    <w:rsid w:val="00F72EF6"/>
    <w:rsid w:val="00F86BD7"/>
    <w:rsid w:val="00F907A2"/>
    <w:rsid w:val="00F954A5"/>
    <w:rsid w:val="00FA0A2E"/>
    <w:rsid w:val="00FA23ED"/>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5F15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FA23ED"/>
    <w:pPr>
      <w:ind w:left="720"/>
    </w:pPr>
  </w:style>
  <w:style w:type="paragraph" w:styleId="BalloonText">
    <w:name w:val="Balloon Text"/>
    <w:basedOn w:val="Normal"/>
    <w:link w:val="BalloonTextChar"/>
    <w:rsid w:val="006D712C"/>
    <w:rPr>
      <w:rFonts w:ascii="Segoe UI" w:hAnsi="Segoe UI" w:cs="Segoe UI"/>
      <w:sz w:val="18"/>
      <w:szCs w:val="18"/>
    </w:rPr>
  </w:style>
  <w:style w:type="character" w:customStyle="1" w:styleId="BalloonTextChar">
    <w:name w:val="Balloon Text Char"/>
    <w:basedOn w:val="DefaultParagraphFont"/>
    <w:link w:val="BalloonText"/>
    <w:rsid w:val="006D7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4060</Characters>
  <Application>Microsoft Office Word</Application>
  <DocSecurity>0</DocSecurity>
  <Lines>33</Lines>
  <Paragraphs>9</Paragraphs>
  <ScaleCrop>false</ScaleCrop>
  <Company/>
  <LinksUpToDate>false</LinksUpToDate>
  <CharactersWithSpaces>4876</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2018-09-21T10:27:00Z</dcterms:created>
  <dcterms:modified xsi:type="dcterms:W3CDTF">2018-09-21T10:27:00Z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