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136" w:rsidRDefault="004F6136" w:rsidP="00933B65">
      <w:pPr>
        <w:jc w:val="center"/>
        <w:rPr>
          <w:rFonts w:ascii="Book Antiqua" w:hAnsi="Book Antiqua" w:cs="Arial"/>
          <w:color w:val="000000"/>
        </w:rPr>
      </w:pPr>
    </w:p>
    <w:p w:rsidR="004F6136" w:rsidRDefault="004F6136" w:rsidP="00933B65">
      <w:pPr>
        <w:jc w:val="center"/>
        <w:rPr>
          <w:rFonts w:ascii="Book Antiqua" w:hAnsi="Book Antiqua" w:cs="Arial"/>
          <w:color w:val="000000"/>
        </w:rPr>
      </w:pPr>
    </w:p>
    <w:p w:rsidR="00933B65" w:rsidRDefault="00D25150" w:rsidP="00933B65">
      <w:pPr>
        <w:jc w:val="center"/>
        <w:rPr>
          <w:rFonts w:ascii="Book Antiqua" w:hAnsi="Book Antiqua" w:cs="Arial"/>
          <w:color w:val="000000"/>
        </w:rPr>
      </w:pPr>
      <w:r>
        <w:rPr>
          <w:noProof/>
        </w:rPr>
        <w:drawing>
          <wp:inline distT="0" distB="0" distL="0" distR="0">
            <wp:extent cx="1404000" cy="1065600"/>
            <wp:effectExtent l="0" t="0" r="571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04000" cy="1065600"/>
                    </a:xfrm>
                    <a:prstGeom prst="rect">
                      <a:avLst/>
                    </a:prstGeom>
                    <a:noFill/>
                    <a:ln>
                      <a:noFill/>
                    </a:ln>
                  </pic:spPr>
                </pic:pic>
              </a:graphicData>
            </a:graphic>
          </wp:inline>
        </w:drawing>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4F6136" w:rsidRDefault="00933B65" w:rsidP="00933B65">
      <w:pPr>
        <w:tabs>
          <w:tab w:val="right" w:pos="9720"/>
        </w:tabs>
        <w:ind w:right="-82"/>
        <w:rPr>
          <w:rFonts w:ascii="Book Antiqua" w:hAnsi="Book Antiqua" w:cs="Arial"/>
          <w:b/>
          <w:color w:val="000000"/>
        </w:rPr>
      </w:pPr>
      <w:r w:rsidRPr="00F97703">
        <w:rPr>
          <w:rFonts w:ascii="Book Antiqua" w:hAnsi="Book Antiqua" w:cs="Arial"/>
          <w:b/>
          <w:color w:val="000000"/>
        </w:rPr>
        <w:t xml:space="preserve">(Immigration and Asylum </w:t>
      </w:r>
      <w:proofErr w:type="gramStart"/>
      <w:r w:rsidRPr="00F97703">
        <w:rPr>
          <w:rFonts w:ascii="Book Antiqua" w:hAnsi="Book Antiqua" w:cs="Arial"/>
          <w:b/>
          <w:color w:val="000000"/>
        </w:rPr>
        <w:t>Chamber)</w:t>
      </w:r>
      <w:r w:rsidR="004F6136">
        <w:rPr>
          <w:rFonts w:ascii="Book Antiqua" w:hAnsi="Book Antiqua" w:cs="Arial"/>
          <w:b/>
          <w:color w:val="000000"/>
        </w:rPr>
        <w:t xml:space="preserve">   </w:t>
      </w:r>
      <w:proofErr w:type="gramEnd"/>
      <w:r w:rsidR="004F6136">
        <w:rPr>
          <w:rFonts w:ascii="Book Antiqua" w:hAnsi="Book Antiqua" w:cs="Arial"/>
          <w:b/>
          <w:color w:val="000000"/>
        </w:rPr>
        <w:t xml:space="preserve">                   </w:t>
      </w:r>
      <w:r w:rsidRPr="004F6136">
        <w:rPr>
          <w:rFonts w:ascii="Book Antiqua" w:hAnsi="Book Antiqua" w:cs="Arial"/>
          <w:b/>
          <w:color w:val="000000"/>
        </w:rPr>
        <w:t>Appeal Number:</w:t>
      </w:r>
      <w:r w:rsidR="006748D6" w:rsidRPr="004F6136">
        <w:rPr>
          <w:rFonts w:ascii="Book Antiqua" w:hAnsi="Book Antiqua" w:cs="Arial"/>
          <w:b/>
          <w:color w:val="000000"/>
        </w:rPr>
        <w:t xml:space="preserve"> </w:t>
      </w:r>
      <w:bookmarkStart w:id="0" w:name="_Hlk516475737"/>
      <w:r w:rsidR="001F5C96" w:rsidRPr="004F6136">
        <w:rPr>
          <w:rFonts w:ascii="Book Antiqua" w:hAnsi="Book Antiqua" w:cs="Arial"/>
          <w:b/>
          <w:color w:val="000000"/>
        </w:rPr>
        <w:t>PA/00018/2018</w:t>
      </w:r>
      <w:bookmarkEnd w:id="0"/>
    </w:p>
    <w:p w:rsidR="00933B65" w:rsidRPr="00F97703" w:rsidRDefault="00933B65"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4823"/>
        <w:gridCol w:w="1102"/>
        <w:gridCol w:w="3713"/>
      </w:tblGrid>
      <w:tr w:rsidR="00933B65" w:rsidRPr="009D328D" w:rsidTr="00C87EC4">
        <w:tc>
          <w:tcPr>
            <w:tcW w:w="4928" w:type="dxa"/>
            <w:shd w:val="clear" w:color="auto" w:fill="auto"/>
          </w:tcPr>
          <w:p w:rsidR="00933B65" w:rsidRPr="009D328D" w:rsidRDefault="00933B65" w:rsidP="009D328D">
            <w:pPr>
              <w:jc w:val="both"/>
              <w:rPr>
                <w:rFonts w:ascii="Book Antiqua" w:hAnsi="Book Antiqua" w:cs="Arial"/>
                <w:b/>
              </w:rPr>
            </w:pPr>
            <w:r w:rsidRPr="009D328D">
              <w:rPr>
                <w:rFonts w:ascii="Book Antiqua" w:hAnsi="Book Antiqua" w:cs="Arial"/>
                <w:b/>
              </w:rPr>
              <w:t xml:space="preserve">Heard at </w:t>
            </w:r>
            <w:r w:rsidR="001F5C96">
              <w:rPr>
                <w:rFonts w:ascii="Book Antiqua" w:hAnsi="Book Antiqua" w:cs="Arial"/>
                <w:b/>
              </w:rPr>
              <w:t>Field House</w:t>
            </w:r>
          </w:p>
        </w:tc>
        <w:tc>
          <w:tcPr>
            <w:tcW w:w="4900" w:type="dxa"/>
            <w:gridSpan w:val="2"/>
            <w:shd w:val="clear" w:color="auto" w:fill="auto"/>
          </w:tcPr>
          <w:p w:rsidR="00933B65" w:rsidRPr="009D328D" w:rsidRDefault="004F6136" w:rsidP="009D328D">
            <w:pPr>
              <w:jc w:val="both"/>
              <w:rPr>
                <w:rFonts w:ascii="Book Antiqua" w:hAnsi="Book Antiqua" w:cs="Arial"/>
                <w:b/>
                <w:color w:val="000000"/>
              </w:rPr>
            </w:pPr>
            <w:r>
              <w:rPr>
                <w:rFonts w:ascii="Book Antiqua" w:hAnsi="Book Antiqua" w:cs="Arial"/>
                <w:b/>
                <w:color w:val="000000"/>
              </w:rPr>
              <w:t xml:space="preserve">      </w:t>
            </w:r>
            <w:r w:rsidR="00933B65" w:rsidRPr="009D328D">
              <w:rPr>
                <w:rFonts w:ascii="Book Antiqua" w:hAnsi="Book Antiqua" w:cs="Arial"/>
                <w:b/>
                <w:color w:val="000000"/>
              </w:rPr>
              <w:t>De</w:t>
            </w:r>
            <w:r w:rsidR="00C87EC4">
              <w:rPr>
                <w:rFonts w:ascii="Book Antiqua" w:hAnsi="Book Antiqua" w:cs="Arial"/>
                <w:b/>
                <w:color w:val="000000"/>
              </w:rPr>
              <w:t>cision and Reasons</w:t>
            </w:r>
            <w:r w:rsidR="00933B65" w:rsidRPr="009D328D">
              <w:rPr>
                <w:rFonts w:ascii="Book Antiqua" w:hAnsi="Book Antiqua" w:cs="Arial"/>
                <w:b/>
                <w:color w:val="000000"/>
              </w:rPr>
              <w:t xml:space="preserve"> Promulgated</w:t>
            </w:r>
          </w:p>
        </w:tc>
      </w:tr>
      <w:tr w:rsidR="00933B65" w:rsidRPr="009D328D" w:rsidTr="00C87EC4">
        <w:tc>
          <w:tcPr>
            <w:tcW w:w="4928" w:type="dxa"/>
            <w:shd w:val="clear" w:color="auto" w:fill="auto"/>
          </w:tcPr>
          <w:p w:rsidR="00933B65" w:rsidRPr="009D328D" w:rsidRDefault="00933B65" w:rsidP="009D328D">
            <w:pPr>
              <w:jc w:val="both"/>
              <w:rPr>
                <w:rFonts w:ascii="Book Antiqua" w:hAnsi="Book Antiqua" w:cs="Arial"/>
                <w:b/>
              </w:rPr>
            </w:pPr>
            <w:r w:rsidRPr="009D328D">
              <w:rPr>
                <w:rFonts w:ascii="Book Antiqua" w:hAnsi="Book Antiqua" w:cs="Arial"/>
                <w:b/>
              </w:rPr>
              <w:t xml:space="preserve">On </w:t>
            </w:r>
            <w:r w:rsidR="001F5C96">
              <w:rPr>
                <w:rFonts w:ascii="Book Antiqua" w:hAnsi="Book Antiqua" w:cs="Arial"/>
                <w:b/>
              </w:rPr>
              <w:t>16 May 2018</w:t>
            </w:r>
          </w:p>
        </w:tc>
        <w:tc>
          <w:tcPr>
            <w:tcW w:w="4900" w:type="dxa"/>
            <w:gridSpan w:val="2"/>
            <w:shd w:val="clear" w:color="auto" w:fill="auto"/>
          </w:tcPr>
          <w:p w:rsidR="00933B65" w:rsidRPr="009D328D" w:rsidRDefault="004F6136" w:rsidP="009D328D">
            <w:pPr>
              <w:jc w:val="both"/>
              <w:rPr>
                <w:rFonts w:ascii="Book Antiqua" w:hAnsi="Book Antiqua" w:cs="Arial"/>
                <w:b/>
              </w:rPr>
            </w:pPr>
            <w:r>
              <w:rPr>
                <w:rFonts w:ascii="Book Antiqua" w:hAnsi="Book Antiqua" w:cs="Arial"/>
                <w:b/>
              </w:rPr>
              <w:t xml:space="preserve">     </w:t>
            </w:r>
            <w:r w:rsidR="000E1525">
              <w:rPr>
                <w:rFonts w:ascii="Book Antiqua" w:hAnsi="Book Antiqua" w:cs="Arial"/>
                <w:b/>
              </w:rPr>
              <w:t xml:space="preserve"> </w:t>
            </w:r>
            <w:bookmarkStart w:id="1" w:name="_GoBack"/>
            <w:bookmarkEnd w:id="1"/>
            <w:r w:rsidR="00C87EC4">
              <w:rPr>
                <w:rFonts w:ascii="Book Antiqua" w:hAnsi="Book Antiqua" w:cs="Arial"/>
                <w:b/>
              </w:rPr>
              <w:t xml:space="preserve">On 23 July 2018 </w:t>
            </w:r>
          </w:p>
        </w:tc>
      </w:tr>
      <w:tr w:rsidR="00933B65" w:rsidRPr="009D328D" w:rsidTr="00C87EC4">
        <w:tc>
          <w:tcPr>
            <w:tcW w:w="6048" w:type="dxa"/>
            <w:gridSpan w:val="2"/>
            <w:shd w:val="clear" w:color="auto" w:fill="auto"/>
          </w:tcPr>
          <w:p w:rsidR="00933B65" w:rsidRPr="009D328D" w:rsidRDefault="00933B65" w:rsidP="009D328D">
            <w:pPr>
              <w:jc w:val="both"/>
              <w:rPr>
                <w:rFonts w:ascii="Book Antiqua" w:hAnsi="Book Antiqua" w:cs="Arial"/>
                <w:b/>
              </w:rPr>
            </w:pPr>
          </w:p>
        </w:tc>
        <w:tc>
          <w:tcPr>
            <w:tcW w:w="3780" w:type="dxa"/>
            <w:shd w:val="clear" w:color="auto" w:fill="auto"/>
          </w:tcPr>
          <w:p w:rsidR="00933B65" w:rsidRPr="009D328D" w:rsidRDefault="00933B65" w:rsidP="009D328D">
            <w:pPr>
              <w:jc w:val="both"/>
              <w:rPr>
                <w:rFonts w:ascii="Book Antiqua" w:hAnsi="Book Antiqua" w:cs="Arial"/>
                <w:b/>
              </w:rPr>
            </w:pPr>
          </w:p>
        </w:tc>
      </w:tr>
    </w:tbl>
    <w:p w:rsidR="00AC5C04" w:rsidRDefault="00AC5C04"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025F0F" w:rsidP="00933B65">
      <w:pPr>
        <w:jc w:val="center"/>
        <w:rPr>
          <w:rFonts w:ascii="Book Antiqua" w:hAnsi="Book Antiqua" w:cs="Arial"/>
          <w:b/>
          <w:color w:val="000000"/>
        </w:rPr>
      </w:pPr>
      <w:r>
        <w:rPr>
          <w:rFonts w:ascii="Book Antiqua" w:hAnsi="Book Antiqua" w:cs="Arial"/>
          <w:b/>
          <w:color w:val="000000"/>
        </w:rPr>
        <w:t>UPPER TRIBUNAL JUDGE CONWAY</w:t>
      </w:r>
    </w:p>
    <w:p w:rsidR="00933B65" w:rsidRPr="00F97703" w:rsidRDefault="00933B65"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933B65" w:rsidRDefault="001F5C96" w:rsidP="00933B65">
      <w:pPr>
        <w:jc w:val="center"/>
        <w:rPr>
          <w:rFonts w:ascii="Book Antiqua" w:hAnsi="Book Antiqua" w:cs="Arial"/>
          <w:b/>
        </w:rPr>
      </w:pPr>
      <w:r>
        <w:rPr>
          <w:rFonts w:ascii="Book Antiqua" w:hAnsi="Book Antiqua" w:cs="Arial"/>
          <w:b/>
        </w:rPr>
        <w:t>MR DY</w:t>
      </w:r>
    </w:p>
    <w:p w:rsidR="001F5C96" w:rsidRPr="004F6136" w:rsidRDefault="001F5C96" w:rsidP="00933B65">
      <w:pPr>
        <w:jc w:val="center"/>
        <w:rPr>
          <w:rFonts w:ascii="Book Antiqua" w:hAnsi="Book Antiqua" w:cs="Arial"/>
        </w:rPr>
      </w:pPr>
      <w:r w:rsidRPr="004F6136">
        <w:rPr>
          <w:rFonts w:ascii="Book Antiqua" w:hAnsi="Book Antiqua" w:cs="Arial"/>
        </w:rPr>
        <w:t>(ANONYMITY ORDER MADE)</w:t>
      </w:r>
      <w:r w:rsidR="00D25150" w:rsidRPr="004F6136">
        <w:rPr>
          <w:rFonts w:ascii="Book Antiqua" w:hAnsi="Book Antiqua" w:cs="Arial"/>
        </w:rPr>
        <w:t xml:space="preserve"> </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680A32" w:rsidRDefault="00680A32" w:rsidP="00933B65">
      <w:pPr>
        <w:jc w:val="center"/>
        <w:rPr>
          <w:rFonts w:ascii="Book Antiqua" w:hAnsi="Book Antiqua" w:cs="Arial"/>
          <w:b/>
        </w:rPr>
      </w:pPr>
      <w:r>
        <w:rPr>
          <w:rFonts w:ascii="Book Antiqua" w:hAnsi="Book Antiqua" w:cs="Arial"/>
          <w:b/>
        </w:rPr>
        <w:t>SECRETARY OF STATE FOR THE HOME DEPARTMENT</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Pr="00F97703" w:rsidRDefault="00933B65" w:rsidP="00933B65">
      <w:pPr>
        <w:rPr>
          <w:rFonts w:ascii="Book Antiqua" w:hAnsi="Book Antiqua" w:cs="Arial"/>
          <w:u w:val="single"/>
        </w:rPr>
      </w:pPr>
    </w:p>
    <w:p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933B65">
      <w:pPr>
        <w:rPr>
          <w:rFonts w:ascii="Book Antiqua" w:hAnsi="Book Antiqua" w:cs="Arial"/>
        </w:rPr>
      </w:pP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1F5C96">
        <w:rPr>
          <w:rFonts w:ascii="Book Antiqua" w:hAnsi="Book Antiqua" w:cs="Arial"/>
        </w:rPr>
        <w:t xml:space="preserve">Ms </w:t>
      </w:r>
      <w:proofErr w:type="spellStart"/>
      <w:r w:rsidR="001F5C96">
        <w:rPr>
          <w:rFonts w:ascii="Book Antiqua" w:hAnsi="Book Antiqua" w:cs="Arial"/>
        </w:rPr>
        <w:t>Degirmenci</w:t>
      </w:r>
      <w:proofErr w:type="spellEnd"/>
      <w:r w:rsidR="001F5C96">
        <w:rPr>
          <w:rFonts w:ascii="Book Antiqua" w:hAnsi="Book Antiqua" w:cs="Arial"/>
        </w:rPr>
        <w:t>, Counsel</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1F5C96">
        <w:rPr>
          <w:rFonts w:ascii="Book Antiqua" w:hAnsi="Book Antiqua" w:cs="Arial"/>
        </w:rPr>
        <w:t>Mr Bramble</w:t>
      </w:r>
      <w:r w:rsidR="006748D6">
        <w:rPr>
          <w:rFonts w:ascii="Book Antiqua" w:hAnsi="Book Antiqua" w:cs="Arial"/>
        </w:rPr>
        <w:t xml:space="preserve"> </w:t>
      </w:r>
    </w:p>
    <w:p w:rsidR="00933B65" w:rsidRDefault="00933B65" w:rsidP="00933B65">
      <w:pPr>
        <w:tabs>
          <w:tab w:val="left" w:pos="2520"/>
        </w:tabs>
        <w:jc w:val="center"/>
        <w:rPr>
          <w:rFonts w:ascii="Book Antiqua" w:hAnsi="Book Antiqua" w:cs="Arial"/>
        </w:rPr>
      </w:pPr>
    </w:p>
    <w:p w:rsidR="00AC5C04" w:rsidRPr="00F97703" w:rsidRDefault="00AC5C04" w:rsidP="00933B65">
      <w:pPr>
        <w:tabs>
          <w:tab w:val="left" w:pos="2520"/>
        </w:tabs>
        <w:jc w:val="center"/>
        <w:rPr>
          <w:rFonts w:ascii="Book Antiqua" w:hAnsi="Book Antiqua" w:cs="Arial"/>
        </w:rPr>
      </w:pPr>
    </w:p>
    <w:p w:rsidR="00933B65" w:rsidRPr="00F97703" w:rsidRDefault="002F3BEB"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rsidR="00933B65" w:rsidRPr="00F97703" w:rsidRDefault="00933B65" w:rsidP="00933B65">
      <w:pPr>
        <w:ind w:left="540" w:hanging="540"/>
        <w:jc w:val="both"/>
        <w:rPr>
          <w:rFonts w:ascii="Book Antiqua" w:hAnsi="Book Antiqua" w:cs="Arial"/>
        </w:rPr>
      </w:pPr>
      <w:r>
        <w:rPr>
          <w:rFonts w:ascii="Book Antiqua" w:hAnsi="Book Antiqua" w:cs="Arial"/>
        </w:rPr>
        <w:t xml:space="preserve">          </w:t>
      </w:r>
    </w:p>
    <w:p w:rsidR="00933B65" w:rsidRDefault="001F5C96" w:rsidP="001F5C96">
      <w:pPr>
        <w:numPr>
          <w:ilvl w:val="0"/>
          <w:numId w:val="3"/>
        </w:numPr>
        <w:ind w:left="567" w:hanging="567"/>
        <w:jc w:val="both"/>
        <w:rPr>
          <w:rFonts w:ascii="Book Antiqua" w:hAnsi="Book Antiqua" w:cs="Arial"/>
        </w:rPr>
      </w:pPr>
      <w:r>
        <w:rPr>
          <w:rFonts w:ascii="Book Antiqua" w:hAnsi="Book Antiqua" w:cs="Arial"/>
        </w:rPr>
        <w:t>The appellant is a citizen of Turkey born in 1984.  He appealed against a decision of the respondent made on 19 December 2017 to refuse his claim for asylum.</w:t>
      </w:r>
    </w:p>
    <w:p w:rsidR="001F5C96" w:rsidRDefault="001F5C96" w:rsidP="001F5C96">
      <w:pPr>
        <w:jc w:val="both"/>
        <w:rPr>
          <w:rFonts w:ascii="Book Antiqua" w:hAnsi="Book Antiqua" w:cs="Arial"/>
        </w:rPr>
      </w:pPr>
    </w:p>
    <w:p w:rsidR="001F5C96" w:rsidRDefault="001F5C96" w:rsidP="001F5C96">
      <w:pPr>
        <w:numPr>
          <w:ilvl w:val="0"/>
          <w:numId w:val="3"/>
        </w:numPr>
        <w:ind w:left="567" w:hanging="567"/>
        <w:jc w:val="both"/>
        <w:rPr>
          <w:rFonts w:ascii="Book Antiqua" w:hAnsi="Book Antiqua" w:cs="Arial"/>
        </w:rPr>
      </w:pPr>
      <w:r>
        <w:rPr>
          <w:rFonts w:ascii="Book Antiqua" w:hAnsi="Book Antiqua" w:cs="Arial"/>
        </w:rPr>
        <w:t xml:space="preserve">The basis of the claim is that he would be at risk from the authorities because he is a Kurdish Alevi and because of his political activities in support of the </w:t>
      </w:r>
      <w:proofErr w:type="spellStart"/>
      <w:r w:rsidR="004828BE">
        <w:rPr>
          <w:rFonts w:ascii="Book Antiqua" w:hAnsi="Book Antiqua" w:cs="Arial"/>
        </w:rPr>
        <w:t>Halklarin</w:t>
      </w:r>
      <w:proofErr w:type="spellEnd"/>
      <w:r w:rsidR="004828BE">
        <w:rPr>
          <w:rFonts w:ascii="Book Antiqua" w:hAnsi="Book Antiqua" w:cs="Arial"/>
        </w:rPr>
        <w:t xml:space="preserve"> </w:t>
      </w:r>
      <w:proofErr w:type="spellStart"/>
      <w:r w:rsidR="004828BE">
        <w:rPr>
          <w:rFonts w:ascii="Book Antiqua" w:hAnsi="Book Antiqua" w:cs="Arial"/>
        </w:rPr>
        <w:t>Demokratik</w:t>
      </w:r>
      <w:proofErr w:type="spellEnd"/>
      <w:r w:rsidR="004828BE">
        <w:rPr>
          <w:rFonts w:ascii="Book Antiqua" w:hAnsi="Book Antiqua" w:cs="Arial"/>
        </w:rPr>
        <w:t xml:space="preserve"> </w:t>
      </w:r>
      <w:proofErr w:type="spellStart"/>
      <w:r w:rsidR="004828BE">
        <w:rPr>
          <w:rFonts w:ascii="Book Antiqua" w:hAnsi="Book Antiqua" w:cs="Arial"/>
        </w:rPr>
        <w:t>Partisi</w:t>
      </w:r>
      <w:proofErr w:type="spellEnd"/>
      <w:r w:rsidR="004828BE">
        <w:rPr>
          <w:rFonts w:ascii="Book Antiqua" w:hAnsi="Book Antiqua" w:cs="Arial"/>
        </w:rPr>
        <w:t xml:space="preserve"> (HDP) who are a </w:t>
      </w:r>
      <w:r w:rsidR="004A6882">
        <w:rPr>
          <w:rFonts w:ascii="Book Antiqua" w:hAnsi="Book Antiqua" w:cs="Arial"/>
        </w:rPr>
        <w:t>proscribed</w:t>
      </w:r>
      <w:r w:rsidR="00BE1219">
        <w:rPr>
          <w:rFonts w:ascii="Book Antiqua" w:hAnsi="Book Antiqua" w:cs="Arial"/>
        </w:rPr>
        <w:t xml:space="preserve"> </w:t>
      </w:r>
      <w:r w:rsidR="004828BE">
        <w:rPr>
          <w:rFonts w:ascii="Book Antiqua" w:hAnsi="Book Antiqua" w:cs="Arial"/>
        </w:rPr>
        <w:t>group.  A cousin had been killed by the government in 2015.  Because of her activities he had been labelled a terrorist.  He had been arrested twice but was released after a few days the second time when he agreed to be an informer for the government.</w:t>
      </w:r>
    </w:p>
    <w:p w:rsidR="004828BE" w:rsidRDefault="004828BE" w:rsidP="004828BE">
      <w:pPr>
        <w:pStyle w:val="ListParagraph"/>
        <w:rPr>
          <w:rFonts w:ascii="Book Antiqua" w:hAnsi="Book Antiqua" w:cs="Arial"/>
        </w:rPr>
      </w:pPr>
    </w:p>
    <w:p w:rsidR="004828BE" w:rsidRDefault="00A923A3" w:rsidP="001F5C96">
      <w:pPr>
        <w:numPr>
          <w:ilvl w:val="0"/>
          <w:numId w:val="3"/>
        </w:numPr>
        <w:ind w:left="567" w:hanging="567"/>
        <w:jc w:val="both"/>
        <w:rPr>
          <w:rFonts w:ascii="Book Antiqua" w:hAnsi="Book Antiqua" w:cs="Arial"/>
        </w:rPr>
      </w:pPr>
      <w:r>
        <w:rPr>
          <w:rFonts w:ascii="Book Antiqua" w:hAnsi="Book Antiqua" w:cs="Arial"/>
        </w:rPr>
        <w:t>After the second</w:t>
      </w:r>
      <w:r w:rsidR="00984023">
        <w:rPr>
          <w:rFonts w:ascii="Book Antiqua" w:hAnsi="Book Antiqua" w:cs="Arial"/>
        </w:rPr>
        <w:t xml:space="preserve"> release he fled Turkey.</w:t>
      </w:r>
    </w:p>
    <w:p w:rsidR="00984023" w:rsidRDefault="00984023" w:rsidP="00984023">
      <w:pPr>
        <w:pStyle w:val="ListParagraph"/>
        <w:rPr>
          <w:rFonts w:ascii="Book Antiqua" w:hAnsi="Book Antiqua" w:cs="Arial"/>
        </w:rPr>
      </w:pPr>
    </w:p>
    <w:p w:rsidR="00984023" w:rsidRDefault="00BE1219" w:rsidP="001F5C96">
      <w:pPr>
        <w:numPr>
          <w:ilvl w:val="0"/>
          <w:numId w:val="3"/>
        </w:numPr>
        <w:ind w:left="567" w:hanging="567"/>
        <w:jc w:val="both"/>
        <w:rPr>
          <w:rFonts w:ascii="Book Antiqua" w:hAnsi="Book Antiqua" w:cs="Arial"/>
        </w:rPr>
      </w:pPr>
      <w:r>
        <w:rPr>
          <w:rFonts w:ascii="Book Antiqua" w:hAnsi="Book Antiqua" w:cs="Arial"/>
        </w:rPr>
        <w:lastRenderedPageBreak/>
        <w:t xml:space="preserve">It was accepted that he is a Kurd and an Alevi.  It was not accepted that he would be at risk on return </w:t>
      </w:r>
      <w:proofErr w:type="gramStart"/>
      <w:r>
        <w:rPr>
          <w:rFonts w:ascii="Book Antiqua" w:hAnsi="Book Antiqua" w:cs="Arial"/>
        </w:rPr>
        <w:t>on the basis of</w:t>
      </w:r>
      <w:proofErr w:type="gramEnd"/>
      <w:r>
        <w:rPr>
          <w:rFonts w:ascii="Book Antiqua" w:hAnsi="Book Antiqua" w:cs="Arial"/>
        </w:rPr>
        <w:t xml:space="preserve"> his ethnicity and religion.  His claim</w:t>
      </w:r>
      <w:r w:rsidR="00524726">
        <w:rPr>
          <w:rFonts w:ascii="Book Antiqua" w:hAnsi="Book Antiqua" w:cs="Arial"/>
        </w:rPr>
        <w:t>s</w:t>
      </w:r>
      <w:r>
        <w:rPr>
          <w:rFonts w:ascii="Book Antiqua" w:hAnsi="Book Antiqua" w:cs="Arial"/>
        </w:rPr>
        <w:t xml:space="preserve"> of involvement with the HDP and his problems at the hands of the authorities were not believed.</w:t>
      </w:r>
    </w:p>
    <w:p w:rsidR="00BE1219" w:rsidRDefault="00BE1219" w:rsidP="00BE1219">
      <w:pPr>
        <w:pStyle w:val="ListParagraph"/>
        <w:rPr>
          <w:rFonts w:ascii="Book Antiqua" w:hAnsi="Book Antiqua" w:cs="Arial"/>
        </w:rPr>
      </w:pPr>
    </w:p>
    <w:p w:rsidR="00BE1219" w:rsidRDefault="00BE1219" w:rsidP="001F5C96">
      <w:pPr>
        <w:numPr>
          <w:ilvl w:val="0"/>
          <w:numId w:val="3"/>
        </w:numPr>
        <w:ind w:left="567" w:hanging="567"/>
        <w:jc w:val="both"/>
        <w:rPr>
          <w:rFonts w:ascii="Book Antiqua" w:hAnsi="Book Antiqua" w:cs="Arial"/>
        </w:rPr>
      </w:pPr>
      <w:r>
        <w:rPr>
          <w:rFonts w:ascii="Book Antiqua" w:hAnsi="Book Antiqua" w:cs="Arial"/>
        </w:rPr>
        <w:t>He appealed.</w:t>
      </w:r>
    </w:p>
    <w:p w:rsidR="00BE1219" w:rsidRPr="00BE1219" w:rsidRDefault="00BE1219" w:rsidP="00BE1219">
      <w:pPr>
        <w:pStyle w:val="ListParagraph"/>
        <w:rPr>
          <w:rFonts w:ascii="Book Antiqua" w:hAnsi="Book Antiqua" w:cs="Arial"/>
          <w:b/>
          <w:u w:val="single"/>
        </w:rPr>
      </w:pPr>
    </w:p>
    <w:p w:rsidR="00BE1219" w:rsidRPr="00BE1219" w:rsidRDefault="00BE1219" w:rsidP="00BE1219">
      <w:pPr>
        <w:jc w:val="both"/>
        <w:rPr>
          <w:rFonts w:ascii="Book Antiqua" w:hAnsi="Book Antiqua" w:cs="Arial"/>
          <w:b/>
          <w:u w:val="single"/>
        </w:rPr>
      </w:pPr>
      <w:r w:rsidRPr="00BE1219">
        <w:rPr>
          <w:rFonts w:ascii="Book Antiqua" w:hAnsi="Book Antiqua" w:cs="Arial"/>
          <w:b/>
          <w:u w:val="single"/>
        </w:rPr>
        <w:t>First-Tier Hearing</w:t>
      </w:r>
    </w:p>
    <w:p w:rsidR="00BE1219" w:rsidRDefault="00BE1219" w:rsidP="00BE1219">
      <w:pPr>
        <w:pStyle w:val="ListParagraph"/>
        <w:rPr>
          <w:rFonts w:ascii="Book Antiqua" w:hAnsi="Book Antiqua" w:cs="Arial"/>
        </w:rPr>
      </w:pPr>
    </w:p>
    <w:p w:rsidR="00BE1219" w:rsidRDefault="00B71C45" w:rsidP="001F5C96">
      <w:pPr>
        <w:numPr>
          <w:ilvl w:val="0"/>
          <w:numId w:val="3"/>
        </w:numPr>
        <w:ind w:left="567" w:hanging="567"/>
        <w:jc w:val="both"/>
        <w:rPr>
          <w:rFonts w:ascii="Book Antiqua" w:hAnsi="Book Antiqua" w:cs="Arial"/>
        </w:rPr>
      </w:pPr>
      <w:r>
        <w:rPr>
          <w:rFonts w:ascii="Book Antiqua" w:hAnsi="Book Antiqua" w:cs="Arial"/>
        </w:rPr>
        <w:t>Following a hearing at Hatton Cross on 31 January 2018 Judge of the First-tier Telford dismissed the appeal.  He did not believe the appellant had been politically active for the HDP or that he had been detained and ill-treated by the authorities.</w:t>
      </w:r>
    </w:p>
    <w:p w:rsidR="00B71C45" w:rsidRDefault="00B71C45" w:rsidP="00B71C45">
      <w:pPr>
        <w:jc w:val="both"/>
        <w:rPr>
          <w:rFonts w:ascii="Book Antiqua" w:hAnsi="Book Antiqua" w:cs="Arial"/>
        </w:rPr>
      </w:pPr>
    </w:p>
    <w:p w:rsidR="00B71C45" w:rsidRDefault="00B71C45" w:rsidP="00B71C45">
      <w:pPr>
        <w:jc w:val="both"/>
        <w:rPr>
          <w:rFonts w:ascii="Book Antiqua" w:hAnsi="Book Antiqua" w:cs="Arial"/>
          <w:b/>
          <w:u w:val="single"/>
        </w:rPr>
      </w:pPr>
      <w:r w:rsidRPr="00B71C45">
        <w:rPr>
          <w:rFonts w:ascii="Book Antiqua" w:hAnsi="Book Antiqua" w:cs="Arial"/>
          <w:b/>
          <w:u w:val="single"/>
        </w:rPr>
        <w:t>Error of Law Hearing</w:t>
      </w:r>
    </w:p>
    <w:p w:rsidR="00B71C45" w:rsidRPr="00B71C45" w:rsidRDefault="00B71C45" w:rsidP="00B71C45">
      <w:pPr>
        <w:jc w:val="both"/>
        <w:rPr>
          <w:rFonts w:ascii="Book Antiqua" w:hAnsi="Book Antiqua" w:cs="Arial"/>
          <w:b/>
          <w:u w:val="single"/>
        </w:rPr>
      </w:pPr>
    </w:p>
    <w:p w:rsidR="00B71C45" w:rsidRDefault="00B71C45" w:rsidP="001F5C96">
      <w:pPr>
        <w:numPr>
          <w:ilvl w:val="0"/>
          <w:numId w:val="3"/>
        </w:numPr>
        <w:ind w:left="567" w:hanging="567"/>
        <w:jc w:val="both"/>
        <w:rPr>
          <w:rFonts w:ascii="Book Antiqua" w:hAnsi="Book Antiqua" w:cs="Arial"/>
        </w:rPr>
      </w:pPr>
      <w:r>
        <w:rPr>
          <w:rFonts w:ascii="Book Antiqua" w:hAnsi="Book Antiqua" w:cs="Arial"/>
        </w:rPr>
        <w:t>The appellant sought permission to appeal which was granted on 14 March 2018.  At the error of law hearing Mr Bramble adopted the Rule 24 response which accepted that the decision could not stand and the case had to be heard again.</w:t>
      </w:r>
    </w:p>
    <w:p w:rsidR="00B71C45" w:rsidRDefault="00B71C45" w:rsidP="00B71C45">
      <w:pPr>
        <w:jc w:val="both"/>
        <w:rPr>
          <w:rFonts w:ascii="Book Antiqua" w:hAnsi="Book Antiqua" w:cs="Arial"/>
        </w:rPr>
      </w:pPr>
    </w:p>
    <w:p w:rsidR="00B71C45" w:rsidRDefault="00B71C45" w:rsidP="001F5C96">
      <w:pPr>
        <w:numPr>
          <w:ilvl w:val="0"/>
          <w:numId w:val="3"/>
        </w:numPr>
        <w:ind w:left="567" w:hanging="567"/>
        <w:jc w:val="both"/>
        <w:rPr>
          <w:rFonts w:ascii="Book Antiqua" w:hAnsi="Book Antiqua" w:cs="Arial"/>
        </w:rPr>
      </w:pPr>
      <w:proofErr w:type="gramStart"/>
      <w:r>
        <w:rPr>
          <w:rFonts w:ascii="Book Antiqua" w:hAnsi="Book Antiqua" w:cs="Arial"/>
        </w:rPr>
        <w:t>In light of</w:t>
      </w:r>
      <w:proofErr w:type="gramEnd"/>
      <w:r>
        <w:rPr>
          <w:rFonts w:ascii="Book Antiqua" w:hAnsi="Book Antiqua" w:cs="Arial"/>
        </w:rPr>
        <w:t xml:space="preserve"> the agreement</w:t>
      </w:r>
      <w:r w:rsidR="00A3258B">
        <w:rPr>
          <w:rFonts w:ascii="Book Antiqua" w:hAnsi="Book Antiqua" w:cs="Arial"/>
        </w:rPr>
        <w:t>,</w:t>
      </w:r>
      <w:r>
        <w:rPr>
          <w:rFonts w:ascii="Book Antiqua" w:hAnsi="Book Antiqua" w:cs="Arial"/>
        </w:rPr>
        <w:t xml:space="preserve"> with which I concurred, it suffices to deal only with the first of the seven grounds raised, namely failure to clearly determine the appellant’s appeal by both dismissing and allowing the appeal.</w:t>
      </w:r>
    </w:p>
    <w:p w:rsidR="00B71C45" w:rsidRDefault="00B71C45" w:rsidP="00B71C45">
      <w:pPr>
        <w:pStyle w:val="ListParagraph"/>
        <w:rPr>
          <w:rFonts w:ascii="Book Antiqua" w:hAnsi="Book Antiqua" w:cs="Arial"/>
        </w:rPr>
      </w:pPr>
    </w:p>
    <w:p w:rsidR="00B71C45" w:rsidRDefault="009634E9" w:rsidP="001F5C96">
      <w:pPr>
        <w:numPr>
          <w:ilvl w:val="0"/>
          <w:numId w:val="3"/>
        </w:numPr>
        <w:ind w:left="567" w:hanging="567"/>
        <w:jc w:val="both"/>
        <w:rPr>
          <w:rFonts w:ascii="Book Antiqua" w:hAnsi="Book Antiqua" w:cs="Arial"/>
        </w:rPr>
      </w:pPr>
      <w:r>
        <w:rPr>
          <w:rFonts w:ascii="Book Antiqua" w:hAnsi="Book Antiqua" w:cs="Arial"/>
        </w:rPr>
        <w:t>In his conclusions the j</w:t>
      </w:r>
      <w:r w:rsidR="00B71C45">
        <w:rPr>
          <w:rFonts w:ascii="Book Antiqua" w:hAnsi="Book Antiqua" w:cs="Arial"/>
        </w:rPr>
        <w:t>udge “</w:t>
      </w:r>
      <w:r w:rsidR="00B71C45" w:rsidRPr="009634E9">
        <w:rPr>
          <w:rFonts w:ascii="Book Antiqua" w:hAnsi="Book Antiqua" w:cs="Arial"/>
          <w:i/>
        </w:rPr>
        <w:t>found the evidence on the core issues credible.  Taken</w:t>
      </w:r>
      <w:r w:rsidR="00B71C45">
        <w:rPr>
          <w:rFonts w:ascii="Book Antiqua" w:hAnsi="Book Antiqua" w:cs="Arial"/>
        </w:rPr>
        <w:t xml:space="preserve"> </w:t>
      </w:r>
      <w:proofErr w:type="gramStart"/>
      <w:r w:rsidR="00B71C45" w:rsidRPr="009634E9">
        <w:rPr>
          <w:rFonts w:ascii="Book Antiqua" w:hAnsi="Book Antiqua" w:cs="Arial"/>
          <w:i/>
        </w:rPr>
        <w:t>as a whole and</w:t>
      </w:r>
      <w:proofErr w:type="gramEnd"/>
      <w:r w:rsidR="00B71C45" w:rsidRPr="009634E9">
        <w:rPr>
          <w:rFonts w:ascii="Book Antiqua" w:hAnsi="Book Antiqua" w:cs="Arial"/>
          <w:i/>
        </w:rPr>
        <w:t xml:space="preserve"> applying anxious scrutiny to each element relied upon both i</w:t>
      </w:r>
      <w:r w:rsidR="00524726">
        <w:rPr>
          <w:rFonts w:ascii="Book Antiqua" w:hAnsi="Book Antiqua" w:cs="Arial"/>
          <w:i/>
        </w:rPr>
        <w:t>ndividually and collectively</w:t>
      </w:r>
      <w:r w:rsidR="00B71C45" w:rsidRPr="009634E9">
        <w:rPr>
          <w:rFonts w:ascii="Book Antiqua" w:hAnsi="Book Antiqua" w:cs="Arial"/>
          <w:i/>
        </w:rPr>
        <w:t xml:space="preserve"> I remain of the view that this is a case where there is a real risk of harm for a Convention reason</w:t>
      </w:r>
      <w:r w:rsidR="00B71C45">
        <w:rPr>
          <w:rFonts w:ascii="Book Antiqua" w:hAnsi="Book Antiqua" w:cs="Arial"/>
        </w:rPr>
        <w:t>” (para 46).</w:t>
      </w:r>
    </w:p>
    <w:p w:rsidR="00B71C45" w:rsidRDefault="00B71C45" w:rsidP="00B71C45">
      <w:pPr>
        <w:pStyle w:val="ListParagraph"/>
        <w:rPr>
          <w:rFonts w:ascii="Book Antiqua" w:hAnsi="Book Antiqua" w:cs="Arial"/>
        </w:rPr>
      </w:pPr>
    </w:p>
    <w:p w:rsidR="00B71C45" w:rsidRDefault="00B71C45" w:rsidP="001F5C96">
      <w:pPr>
        <w:numPr>
          <w:ilvl w:val="0"/>
          <w:numId w:val="3"/>
        </w:numPr>
        <w:ind w:left="567" w:hanging="567"/>
        <w:jc w:val="both"/>
        <w:rPr>
          <w:rFonts w:ascii="Book Antiqua" w:hAnsi="Book Antiqua" w:cs="Arial"/>
        </w:rPr>
      </w:pPr>
      <w:r>
        <w:rPr>
          <w:rFonts w:ascii="Book Antiqua" w:hAnsi="Book Antiqua" w:cs="Arial"/>
        </w:rPr>
        <w:t>He then contradicted this at [47] by stating that the claim is “</w:t>
      </w:r>
      <w:r w:rsidRPr="009634E9">
        <w:rPr>
          <w:rFonts w:ascii="Book Antiqua" w:hAnsi="Book Antiqua" w:cs="Arial"/>
          <w:i/>
        </w:rPr>
        <w:t>not shown to be</w:t>
      </w:r>
      <w:r>
        <w:rPr>
          <w:rFonts w:ascii="Book Antiqua" w:hAnsi="Book Antiqua" w:cs="Arial"/>
        </w:rPr>
        <w:t xml:space="preserve"> </w:t>
      </w:r>
      <w:r w:rsidRPr="009634E9">
        <w:rPr>
          <w:rFonts w:ascii="Book Antiqua" w:hAnsi="Book Antiqua" w:cs="Arial"/>
          <w:i/>
        </w:rPr>
        <w:t>credible</w:t>
      </w:r>
      <w:r w:rsidR="00D11C31">
        <w:rPr>
          <w:rFonts w:ascii="Book Antiqua" w:hAnsi="Book Antiqua" w:cs="Arial"/>
          <w:i/>
        </w:rPr>
        <w:t xml:space="preserve"> and is not shown</w:t>
      </w:r>
      <w:r w:rsidR="00F57C29">
        <w:rPr>
          <w:rFonts w:ascii="Book Antiqua" w:hAnsi="Book Antiqua" w:cs="Arial"/>
          <w:i/>
        </w:rPr>
        <w:t xml:space="preserve"> to be based on the appellant’s perceived political views, his religion, his ethnicity</w:t>
      </w:r>
      <w:r>
        <w:rPr>
          <w:rFonts w:ascii="Book Antiqua" w:hAnsi="Book Antiqua" w:cs="Arial"/>
        </w:rPr>
        <w:t>” and (at [48]) “</w:t>
      </w:r>
      <w:r w:rsidR="00F57C29" w:rsidRPr="00F57C29">
        <w:rPr>
          <w:rFonts w:ascii="Book Antiqua" w:hAnsi="Book Antiqua" w:cs="Arial"/>
          <w:i/>
        </w:rPr>
        <w:t xml:space="preserve">I reach this conclusion because </w:t>
      </w:r>
      <w:r w:rsidRPr="009634E9">
        <w:rPr>
          <w:rFonts w:ascii="Book Antiqua" w:hAnsi="Book Antiqua" w:cs="Arial"/>
          <w:i/>
        </w:rPr>
        <w:t>the evidence was incredible</w:t>
      </w:r>
      <w:r>
        <w:rPr>
          <w:rFonts w:ascii="Book Antiqua" w:hAnsi="Book Antiqua" w:cs="Arial"/>
        </w:rPr>
        <w:t>” and thus (at [49]) “</w:t>
      </w:r>
      <w:r w:rsidRPr="009634E9">
        <w:rPr>
          <w:rFonts w:ascii="Book Antiqua" w:hAnsi="Book Antiqua" w:cs="Arial"/>
          <w:i/>
        </w:rPr>
        <w:t>the appellant is not a</w:t>
      </w:r>
      <w:r>
        <w:rPr>
          <w:rFonts w:ascii="Book Antiqua" w:hAnsi="Book Antiqua" w:cs="Arial"/>
        </w:rPr>
        <w:t xml:space="preserve"> </w:t>
      </w:r>
      <w:r w:rsidRPr="009634E9">
        <w:rPr>
          <w:rFonts w:ascii="Book Antiqua" w:hAnsi="Book Antiqua" w:cs="Arial"/>
          <w:i/>
        </w:rPr>
        <w:t>refugee</w:t>
      </w:r>
      <w:r>
        <w:rPr>
          <w:rFonts w:ascii="Book Antiqua" w:hAnsi="Book Antiqua" w:cs="Arial"/>
        </w:rPr>
        <w:t>” which he repeats at [50].</w:t>
      </w:r>
    </w:p>
    <w:p w:rsidR="00B71C45" w:rsidRDefault="00B71C45" w:rsidP="00B71C45">
      <w:pPr>
        <w:pStyle w:val="ListParagraph"/>
        <w:rPr>
          <w:rFonts w:ascii="Book Antiqua" w:hAnsi="Book Antiqua" w:cs="Arial"/>
        </w:rPr>
      </w:pPr>
    </w:p>
    <w:p w:rsidR="00B71C45" w:rsidRDefault="00B71C45" w:rsidP="001F5C96">
      <w:pPr>
        <w:numPr>
          <w:ilvl w:val="0"/>
          <w:numId w:val="3"/>
        </w:numPr>
        <w:ind w:left="567" w:hanging="567"/>
        <w:jc w:val="both"/>
        <w:rPr>
          <w:rFonts w:ascii="Book Antiqua" w:hAnsi="Book Antiqua" w:cs="Arial"/>
        </w:rPr>
      </w:pPr>
      <w:r>
        <w:rPr>
          <w:rFonts w:ascii="Book Antiqua" w:hAnsi="Book Antiqua" w:cs="Arial"/>
        </w:rPr>
        <w:t>Under the hea</w:t>
      </w:r>
      <w:r w:rsidR="004A6882">
        <w:rPr>
          <w:rFonts w:ascii="Book Antiqua" w:hAnsi="Book Antiqua" w:cs="Arial"/>
        </w:rPr>
        <w:t>d</w:t>
      </w:r>
      <w:r>
        <w:rPr>
          <w:rFonts w:ascii="Book Antiqua" w:hAnsi="Book Antiqua" w:cs="Arial"/>
        </w:rPr>
        <w:t>ing “human rights” he once again states the appellant was “</w:t>
      </w:r>
      <w:r w:rsidRPr="009634E9">
        <w:rPr>
          <w:rFonts w:ascii="Book Antiqua" w:hAnsi="Book Antiqua" w:cs="Arial"/>
          <w:i/>
        </w:rPr>
        <w:t>not credible in his evidence</w:t>
      </w:r>
      <w:r>
        <w:rPr>
          <w:rFonts w:ascii="Book Antiqua" w:hAnsi="Book Antiqua" w:cs="Arial"/>
        </w:rPr>
        <w:t>” such that the claims “</w:t>
      </w:r>
      <w:r w:rsidRPr="009634E9">
        <w:rPr>
          <w:rFonts w:ascii="Book Antiqua" w:hAnsi="Book Antiqua" w:cs="Arial"/>
          <w:i/>
        </w:rPr>
        <w:t>fall to be dismissed</w:t>
      </w:r>
      <w:r>
        <w:rPr>
          <w:rFonts w:ascii="Book Antiqua" w:hAnsi="Book Antiqua" w:cs="Arial"/>
        </w:rPr>
        <w:t>” [52].</w:t>
      </w:r>
    </w:p>
    <w:p w:rsidR="007E1EC3" w:rsidRDefault="007E1EC3" w:rsidP="007E1EC3">
      <w:pPr>
        <w:pStyle w:val="ListParagraph"/>
        <w:rPr>
          <w:rFonts w:ascii="Book Antiqua" w:hAnsi="Book Antiqua" w:cs="Arial"/>
        </w:rPr>
      </w:pPr>
    </w:p>
    <w:p w:rsidR="007E1EC3" w:rsidRDefault="007E1EC3" w:rsidP="001F5C96">
      <w:pPr>
        <w:numPr>
          <w:ilvl w:val="0"/>
          <w:numId w:val="3"/>
        </w:numPr>
        <w:ind w:left="567" w:hanging="567"/>
        <w:jc w:val="both"/>
        <w:rPr>
          <w:rFonts w:ascii="Book Antiqua" w:hAnsi="Book Antiqua" w:cs="Arial"/>
        </w:rPr>
      </w:pPr>
      <w:r>
        <w:rPr>
          <w:rFonts w:ascii="Book Antiqua" w:hAnsi="Book Antiqua" w:cs="Arial"/>
        </w:rPr>
        <w:t>Under “Decision”</w:t>
      </w:r>
      <w:r w:rsidR="009634E9">
        <w:rPr>
          <w:rFonts w:ascii="Book Antiqua" w:hAnsi="Book Antiqua" w:cs="Arial"/>
        </w:rPr>
        <w:t>, however,</w:t>
      </w:r>
      <w:r>
        <w:rPr>
          <w:rFonts w:ascii="Book Antiqua" w:hAnsi="Book Antiqua" w:cs="Arial"/>
        </w:rPr>
        <w:t xml:space="preserve"> he states “</w:t>
      </w:r>
      <w:r w:rsidRPr="009634E9">
        <w:rPr>
          <w:rFonts w:ascii="Book Antiqua" w:hAnsi="Book Antiqua" w:cs="Arial"/>
          <w:i/>
        </w:rPr>
        <w:t>Appeal allowed on asylum grounds</w:t>
      </w:r>
      <w:r>
        <w:rPr>
          <w:rFonts w:ascii="Book Antiqua" w:hAnsi="Book Antiqua" w:cs="Arial"/>
        </w:rPr>
        <w:t>” before going on to state “</w:t>
      </w:r>
      <w:r w:rsidRPr="009634E9">
        <w:rPr>
          <w:rFonts w:ascii="Book Antiqua" w:hAnsi="Book Antiqua" w:cs="Arial"/>
          <w:i/>
        </w:rPr>
        <w:t>I have dismissed the appeal and make no fee award</w:t>
      </w:r>
      <w:r>
        <w:rPr>
          <w:rFonts w:ascii="Book Antiqua" w:hAnsi="Book Antiqua" w:cs="Arial"/>
        </w:rPr>
        <w:t>”.</w:t>
      </w:r>
    </w:p>
    <w:p w:rsidR="007E1EC3" w:rsidRDefault="007E1EC3" w:rsidP="007E1EC3">
      <w:pPr>
        <w:pStyle w:val="ListParagraph"/>
        <w:rPr>
          <w:rFonts w:ascii="Book Antiqua" w:hAnsi="Book Antiqua" w:cs="Arial"/>
        </w:rPr>
      </w:pPr>
    </w:p>
    <w:p w:rsidR="007E1EC3" w:rsidRPr="000C54E1" w:rsidRDefault="000C54E1" w:rsidP="000C54E1">
      <w:pPr>
        <w:numPr>
          <w:ilvl w:val="0"/>
          <w:numId w:val="3"/>
        </w:numPr>
        <w:ind w:left="567" w:hanging="567"/>
        <w:jc w:val="both"/>
        <w:rPr>
          <w:rFonts w:ascii="Book Antiqua" w:hAnsi="Book Antiqua" w:cs="Arial"/>
        </w:rPr>
      </w:pPr>
      <w:r>
        <w:rPr>
          <w:rFonts w:ascii="Book Antiqua" w:hAnsi="Book Antiqua" w:cs="Arial"/>
        </w:rPr>
        <w:t>T</w:t>
      </w:r>
      <w:r w:rsidR="009634E9">
        <w:rPr>
          <w:rFonts w:ascii="Book Antiqua" w:hAnsi="Book Antiqua" w:cs="Arial"/>
        </w:rPr>
        <w:t>he</w:t>
      </w:r>
      <w:r w:rsidR="00B66A4E">
        <w:rPr>
          <w:rFonts w:ascii="Book Antiqua" w:hAnsi="Book Antiqua" w:cs="Arial"/>
        </w:rPr>
        <w:t>se matters go beyond mere typing errors which can be rectified.</w:t>
      </w:r>
      <w:r w:rsidR="009634E9">
        <w:rPr>
          <w:rFonts w:ascii="Book Antiqua" w:hAnsi="Book Antiqua" w:cs="Arial"/>
        </w:rPr>
        <w:t xml:space="preserve"> </w:t>
      </w:r>
      <w:r>
        <w:rPr>
          <w:rFonts w:ascii="Book Antiqua" w:hAnsi="Book Antiqua" w:cs="Arial"/>
        </w:rPr>
        <w:t xml:space="preserve">It is apparent that the </w:t>
      </w:r>
      <w:r w:rsidR="009634E9">
        <w:rPr>
          <w:rFonts w:ascii="Book Antiqua" w:hAnsi="Book Antiqua" w:cs="Arial"/>
        </w:rPr>
        <w:t>j</w:t>
      </w:r>
      <w:r w:rsidR="007E1EC3">
        <w:rPr>
          <w:rFonts w:ascii="Book Antiqua" w:hAnsi="Book Antiqua" w:cs="Arial"/>
        </w:rPr>
        <w:t>udge has conflated the findings of two or more different cases leading to these contradictory decisions in the determinatio</w:t>
      </w:r>
      <w:r>
        <w:rPr>
          <w:rFonts w:ascii="Book Antiqua" w:hAnsi="Book Antiqua" w:cs="Arial"/>
        </w:rPr>
        <w:t>n.</w:t>
      </w:r>
    </w:p>
    <w:p w:rsidR="007E1EC3" w:rsidRDefault="007E1EC3" w:rsidP="007E1EC3">
      <w:pPr>
        <w:pStyle w:val="ListParagraph"/>
        <w:rPr>
          <w:rFonts w:ascii="Book Antiqua" w:hAnsi="Book Antiqua" w:cs="Arial"/>
        </w:rPr>
      </w:pPr>
    </w:p>
    <w:p w:rsidR="007E1EC3" w:rsidRDefault="009634E9" w:rsidP="001F5C96">
      <w:pPr>
        <w:numPr>
          <w:ilvl w:val="0"/>
          <w:numId w:val="3"/>
        </w:numPr>
        <w:ind w:left="567" w:hanging="567"/>
        <w:jc w:val="both"/>
        <w:rPr>
          <w:rFonts w:ascii="Book Antiqua" w:hAnsi="Book Antiqua" w:cs="Arial"/>
        </w:rPr>
      </w:pPr>
      <w:r>
        <w:rPr>
          <w:rFonts w:ascii="Book Antiqua" w:hAnsi="Book Antiqua" w:cs="Arial"/>
        </w:rPr>
        <w:t>In that regard</w:t>
      </w:r>
      <w:r w:rsidR="004A6882">
        <w:rPr>
          <w:rFonts w:ascii="Book Antiqua" w:hAnsi="Book Antiqua" w:cs="Arial"/>
        </w:rPr>
        <w:t>, th</w:t>
      </w:r>
      <w:r>
        <w:rPr>
          <w:rFonts w:ascii="Book Antiqua" w:hAnsi="Book Antiqua" w:cs="Arial"/>
        </w:rPr>
        <w:t>roughout the determination the j</w:t>
      </w:r>
      <w:r w:rsidR="004A6882">
        <w:rPr>
          <w:rFonts w:ascii="Book Antiqua" w:hAnsi="Book Antiqua" w:cs="Arial"/>
        </w:rPr>
        <w:t>udge referred to evidence which did not relate to the appellant’s appeal.  Examples are his reference to expert witness evidence which does not relate to the appellant’s case [12 and 44]; a reference to a screening interview [16]</w:t>
      </w:r>
      <w:r>
        <w:rPr>
          <w:rFonts w:ascii="Book Antiqua" w:hAnsi="Book Antiqua" w:cs="Arial"/>
        </w:rPr>
        <w:t>,</w:t>
      </w:r>
      <w:r w:rsidR="004A6882">
        <w:rPr>
          <w:rFonts w:ascii="Book Antiqua" w:hAnsi="Book Antiqua" w:cs="Arial"/>
        </w:rPr>
        <w:t xml:space="preserve"> a document which was not produced by the respondent in her bundle; reference to the appellant having travelled on his own passport, he having always said that he travelled with a passport provided by an agent [23]; reference to </w:t>
      </w:r>
      <w:r w:rsidR="004A6882">
        <w:rPr>
          <w:rFonts w:ascii="Book Antiqua" w:hAnsi="Book Antiqua" w:cs="Arial"/>
        </w:rPr>
        <w:lastRenderedPageBreak/>
        <w:t xml:space="preserve">the appellant claiming asylum upon discovery by the </w:t>
      </w:r>
      <w:r w:rsidR="00DE3BC0">
        <w:rPr>
          <w:rFonts w:ascii="Book Antiqua" w:hAnsi="Book Antiqua" w:cs="Arial"/>
        </w:rPr>
        <w:t>authorities [21]</w:t>
      </w:r>
      <w:r>
        <w:rPr>
          <w:rFonts w:ascii="Book Antiqua" w:hAnsi="Book Antiqua" w:cs="Arial"/>
        </w:rPr>
        <w:t>,</w:t>
      </w:r>
      <w:r w:rsidR="00DE3BC0">
        <w:rPr>
          <w:rFonts w:ascii="Book Antiqua" w:hAnsi="Book Antiqua" w:cs="Arial"/>
        </w:rPr>
        <w:t xml:space="preserve"> whereas the eviden</w:t>
      </w:r>
      <w:r w:rsidR="00F57C29">
        <w:rPr>
          <w:rFonts w:ascii="Book Antiqua" w:hAnsi="Book Antiqua" w:cs="Arial"/>
        </w:rPr>
        <w:t>ce before the Tribunal</w:t>
      </w:r>
      <w:r w:rsidR="00DE3BC0">
        <w:rPr>
          <w:rFonts w:ascii="Book Antiqua" w:hAnsi="Book Antiqua" w:cs="Arial"/>
        </w:rPr>
        <w:t xml:space="preserve"> by the respondent was that the appellant presented himself to an immigration officer on arrival.</w:t>
      </w:r>
    </w:p>
    <w:p w:rsidR="00DE3BC0" w:rsidRDefault="00DE3BC0" w:rsidP="00DE3BC0">
      <w:pPr>
        <w:pStyle w:val="ListParagraph"/>
        <w:rPr>
          <w:rFonts w:ascii="Book Antiqua" w:hAnsi="Book Antiqua" w:cs="Arial"/>
        </w:rPr>
      </w:pPr>
    </w:p>
    <w:p w:rsidR="00DE3BC0" w:rsidRDefault="00524726" w:rsidP="001F5C96">
      <w:pPr>
        <w:numPr>
          <w:ilvl w:val="0"/>
          <w:numId w:val="3"/>
        </w:numPr>
        <w:ind w:left="567" w:hanging="567"/>
        <w:jc w:val="both"/>
        <w:rPr>
          <w:rFonts w:ascii="Book Antiqua" w:hAnsi="Book Antiqua" w:cs="Arial"/>
        </w:rPr>
      </w:pPr>
      <w:r>
        <w:rPr>
          <w:rFonts w:ascii="Book Antiqua" w:hAnsi="Book Antiqua" w:cs="Arial"/>
        </w:rPr>
        <w:t>Further</w:t>
      </w:r>
      <w:r w:rsidR="009634E9">
        <w:rPr>
          <w:rFonts w:ascii="Book Antiqua" w:hAnsi="Book Antiqua" w:cs="Arial"/>
        </w:rPr>
        <w:t>, at [10] the j</w:t>
      </w:r>
      <w:r w:rsidR="00A5200D">
        <w:rPr>
          <w:rFonts w:ascii="Book Antiqua" w:hAnsi="Book Antiqua" w:cs="Arial"/>
        </w:rPr>
        <w:t>udge stated</w:t>
      </w:r>
      <w:r w:rsidR="00DE3BC0">
        <w:rPr>
          <w:rFonts w:ascii="Book Antiqua" w:hAnsi="Book Antiqua" w:cs="Arial"/>
        </w:rPr>
        <w:t xml:space="preserve"> that whether the appellant would be afforded state protection and whether internal relocation was available was “</w:t>
      </w:r>
      <w:r w:rsidR="00DE3BC0" w:rsidRPr="009634E9">
        <w:rPr>
          <w:rFonts w:ascii="Book Antiqua" w:hAnsi="Book Antiqua" w:cs="Arial"/>
          <w:i/>
        </w:rPr>
        <w:t>an issue</w:t>
      </w:r>
      <w:r w:rsidR="00DE3BC0">
        <w:rPr>
          <w:rFonts w:ascii="Book Antiqua" w:hAnsi="Book Antiqua" w:cs="Arial"/>
        </w:rPr>
        <w:t xml:space="preserve">” at the appeal, having </w:t>
      </w:r>
      <w:r w:rsidR="00F57C29">
        <w:rPr>
          <w:rFonts w:ascii="Book Antiqua" w:hAnsi="Book Antiqua" w:cs="Arial"/>
        </w:rPr>
        <w:t>stat</w:t>
      </w:r>
      <w:r w:rsidR="00DE3BC0">
        <w:rPr>
          <w:rFonts w:ascii="Book Antiqua" w:hAnsi="Book Antiqua" w:cs="Arial"/>
        </w:rPr>
        <w:t>ed (at [3] and [44]) that these were not live issues at the appeal.</w:t>
      </w:r>
    </w:p>
    <w:p w:rsidR="00DE3BC0" w:rsidRDefault="00DE3BC0" w:rsidP="00DE3BC0">
      <w:pPr>
        <w:pStyle w:val="ListParagraph"/>
        <w:rPr>
          <w:rFonts w:ascii="Book Antiqua" w:hAnsi="Book Antiqua" w:cs="Arial"/>
        </w:rPr>
      </w:pPr>
    </w:p>
    <w:p w:rsidR="00DE3BC0" w:rsidRDefault="00DE3BC0" w:rsidP="001F5C96">
      <w:pPr>
        <w:numPr>
          <w:ilvl w:val="0"/>
          <w:numId w:val="3"/>
        </w:numPr>
        <w:ind w:left="567" w:hanging="567"/>
        <w:jc w:val="both"/>
        <w:rPr>
          <w:rFonts w:ascii="Book Antiqua" w:hAnsi="Book Antiqua" w:cs="Arial"/>
        </w:rPr>
      </w:pPr>
      <w:r>
        <w:rPr>
          <w:rFonts w:ascii="Book Antiqua" w:hAnsi="Book Antiqua" w:cs="Arial"/>
        </w:rPr>
        <w:t>I agreed with both parties that the conflation and contradiction</w:t>
      </w:r>
      <w:r w:rsidR="009634E9">
        <w:rPr>
          <w:rFonts w:ascii="Book Antiqua" w:hAnsi="Book Antiqua" w:cs="Arial"/>
        </w:rPr>
        <w:t>s</w:t>
      </w:r>
      <w:r w:rsidR="000C54E1">
        <w:rPr>
          <w:rFonts w:ascii="Book Antiqua" w:hAnsi="Book Antiqua" w:cs="Arial"/>
        </w:rPr>
        <w:t xml:space="preserve"> must infect the entirety of the decision. They</w:t>
      </w:r>
      <w:r w:rsidR="009634E9">
        <w:rPr>
          <w:rFonts w:ascii="Book Antiqua" w:hAnsi="Book Antiqua" w:cs="Arial"/>
        </w:rPr>
        <w:t xml:space="preserve"> render</w:t>
      </w:r>
      <w:r>
        <w:rPr>
          <w:rFonts w:ascii="Book Antiqua" w:hAnsi="Book Antiqua" w:cs="Arial"/>
        </w:rPr>
        <w:t xml:space="preserve"> the decision unclear, unreliable and therefore unsafe.  There</w:t>
      </w:r>
      <w:r w:rsidR="009634E9">
        <w:rPr>
          <w:rFonts w:ascii="Book Antiqua" w:hAnsi="Book Antiqua" w:cs="Arial"/>
        </w:rPr>
        <w:t xml:space="preserve"> is a clear error of law.  The j</w:t>
      </w:r>
      <w:r>
        <w:rPr>
          <w:rFonts w:ascii="Book Antiqua" w:hAnsi="Book Antiqua" w:cs="Arial"/>
        </w:rPr>
        <w:t>udge has failed to display the anxious scrutiny claimed</w:t>
      </w:r>
      <w:r w:rsidR="00155C54">
        <w:rPr>
          <w:rFonts w:ascii="Book Antiqua" w:hAnsi="Book Antiqua" w:cs="Arial"/>
        </w:rPr>
        <w:t xml:space="preserve"> </w:t>
      </w:r>
      <w:r w:rsidR="0065608B">
        <w:rPr>
          <w:rFonts w:ascii="Book Antiqua" w:hAnsi="Book Antiqua" w:cs="Arial"/>
        </w:rPr>
        <w:t>(at [46])</w:t>
      </w:r>
      <w:r w:rsidR="00F57C29">
        <w:rPr>
          <w:rFonts w:ascii="Book Antiqua" w:hAnsi="Book Antiqua" w:cs="Arial"/>
        </w:rPr>
        <w:t>,</w:t>
      </w:r>
      <w:r>
        <w:rPr>
          <w:rFonts w:ascii="Book Antiqua" w:hAnsi="Book Antiqua" w:cs="Arial"/>
        </w:rPr>
        <w:t xml:space="preserve"> such that the case must be reheard.</w:t>
      </w:r>
    </w:p>
    <w:p w:rsidR="00DE3BC0" w:rsidRDefault="00DE3BC0" w:rsidP="00DE3BC0">
      <w:pPr>
        <w:pStyle w:val="ListParagraph"/>
        <w:rPr>
          <w:rFonts w:ascii="Book Antiqua" w:hAnsi="Book Antiqua" w:cs="Arial"/>
        </w:rPr>
      </w:pPr>
    </w:p>
    <w:p w:rsidR="00DE3BC0" w:rsidRPr="00DE3BC0" w:rsidRDefault="00DE3BC0" w:rsidP="00DE3BC0">
      <w:pPr>
        <w:jc w:val="both"/>
        <w:rPr>
          <w:rFonts w:ascii="Book Antiqua" w:hAnsi="Book Antiqua" w:cs="Arial"/>
          <w:b/>
          <w:u w:val="single"/>
        </w:rPr>
      </w:pPr>
      <w:r w:rsidRPr="00DE3BC0">
        <w:rPr>
          <w:rFonts w:ascii="Book Antiqua" w:hAnsi="Book Antiqua" w:cs="Arial"/>
          <w:b/>
          <w:u w:val="single"/>
        </w:rPr>
        <w:t>Notice of Decision</w:t>
      </w:r>
    </w:p>
    <w:p w:rsidR="00DE3BC0" w:rsidRDefault="00DE3BC0" w:rsidP="00DE3BC0">
      <w:pPr>
        <w:pStyle w:val="ListParagraph"/>
        <w:rPr>
          <w:rFonts w:ascii="Book Antiqua" w:hAnsi="Book Antiqua" w:cs="Arial"/>
        </w:rPr>
      </w:pPr>
    </w:p>
    <w:p w:rsidR="00DE3BC0" w:rsidRDefault="00DE3BC0" w:rsidP="001F5C96">
      <w:pPr>
        <w:numPr>
          <w:ilvl w:val="0"/>
          <w:numId w:val="3"/>
        </w:numPr>
        <w:ind w:left="567" w:hanging="567"/>
        <w:jc w:val="both"/>
        <w:rPr>
          <w:rFonts w:ascii="Book Antiqua" w:hAnsi="Book Antiqua" w:cs="Arial"/>
        </w:rPr>
      </w:pPr>
      <w:r>
        <w:rPr>
          <w:rFonts w:ascii="Book Antiqua" w:hAnsi="Book Antiqua" w:cs="Arial"/>
        </w:rPr>
        <w:t>The decision of the First-tier Tribunal is set aside.  None of its findings are to stand.  The nature of the case is such that</w:t>
      </w:r>
      <w:r w:rsidR="00A5200D">
        <w:rPr>
          <w:rFonts w:ascii="Book Antiqua" w:hAnsi="Book Antiqua" w:cs="Arial"/>
        </w:rPr>
        <w:t xml:space="preserve"> it is appropriate in terms of s</w:t>
      </w:r>
      <w:r>
        <w:rPr>
          <w:rFonts w:ascii="Book Antiqua" w:hAnsi="Book Antiqua" w:cs="Arial"/>
        </w:rPr>
        <w:t>ection 12(2)(b)(</w:t>
      </w:r>
      <w:proofErr w:type="spellStart"/>
      <w:r>
        <w:rPr>
          <w:rFonts w:ascii="Book Antiqua" w:hAnsi="Book Antiqua" w:cs="Arial"/>
        </w:rPr>
        <w:t>i</w:t>
      </w:r>
      <w:proofErr w:type="spellEnd"/>
      <w:r>
        <w:rPr>
          <w:rFonts w:ascii="Book Antiqua" w:hAnsi="Book Antiqua" w:cs="Arial"/>
        </w:rPr>
        <w:t xml:space="preserve">) of the </w:t>
      </w:r>
      <w:r w:rsidR="00A5200D">
        <w:rPr>
          <w:rFonts w:ascii="Book Antiqua" w:hAnsi="Book Antiqua" w:cs="Arial"/>
        </w:rPr>
        <w:t xml:space="preserve">Tribunals, Courts and Enforcement Act </w:t>
      </w:r>
      <w:r>
        <w:rPr>
          <w:rFonts w:ascii="Book Antiqua" w:hAnsi="Book Antiqua" w:cs="Arial"/>
        </w:rPr>
        <w:t>2007 and of Practice Statement 7.2 to remit the case to the First-tier Tribunal for an entirely fresh hearing.  The member(s) of the Tribunal chosen to consider the case are not to include Judge Telford.</w:t>
      </w:r>
    </w:p>
    <w:p w:rsidR="00DE3BC0" w:rsidRDefault="00DE3BC0" w:rsidP="00DE3BC0">
      <w:pPr>
        <w:jc w:val="both"/>
        <w:rPr>
          <w:rFonts w:ascii="Book Antiqua" w:hAnsi="Book Antiqua" w:cs="Arial"/>
        </w:rPr>
      </w:pPr>
    </w:p>
    <w:p w:rsidR="00DE3BC0" w:rsidRPr="00DE3BC0" w:rsidRDefault="00DE3BC0" w:rsidP="00DE3BC0">
      <w:pPr>
        <w:jc w:val="both"/>
        <w:rPr>
          <w:rFonts w:ascii="Book Antiqua" w:hAnsi="Book Antiqua" w:cs="Arial"/>
          <w:b/>
          <w:u w:val="single"/>
        </w:rPr>
      </w:pPr>
      <w:r w:rsidRPr="00DE3BC0">
        <w:rPr>
          <w:rFonts w:ascii="Book Antiqua" w:hAnsi="Book Antiqua" w:cs="Arial"/>
          <w:b/>
          <w:u w:val="single"/>
        </w:rPr>
        <w:t>Direction Regarding Anonymity</w:t>
      </w:r>
    </w:p>
    <w:p w:rsidR="00DE3BC0" w:rsidRDefault="00DE3BC0" w:rsidP="00DE3BC0">
      <w:pPr>
        <w:jc w:val="both"/>
        <w:rPr>
          <w:rFonts w:ascii="Book Antiqua" w:hAnsi="Book Antiqua" w:cs="Arial"/>
        </w:rPr>
      </w:pPr>
    </w:p>
    <w:p w:rsidR="00DE3BC0" w:rsidRDefault="00DE3BC0" w:rsidP="001F5C96">
      <w:pPr>
        <w:numPr>
          <w:ilvl w:val="0"/>
          <w:numId w:val="3"/>
        </w:numPr>
        <w:ind w:left="567" w:hanging="567"/>
        <w:jc w:val="both"/>
        <w:rPr>
          <w:rFonts w:ascii="Book Antiqua" w:hAnsi="Book Antiqua" w:cs="Arial"/>
        </w:rPr>
      </w:pPr>
      <w:r>
        <w:rPr>
          <w:rFonts w:ascii="Book Antiqua" w:hAnsi="Book Antiqua" w:cs="Arial"/>
        </w:rPr>
        <w:t xml:space="preserve">Unless and until a Tribunal or court directs otherwise the appellant is granted anonymity. </w:t>
      </w:r>
      <w:r w:rsidR="000F04D0">
        <w:rPr>
          <w:rFonts w:ascii="Book Antiqua" w:hAnsi="Book Antiqua" w:cs="Arial"/>
        </w:rPr>
        <w:t xml:space="preserve"> No</w:t>
      </w:r>
      <w:r>
        <w:rPr>
          <w:rFonts w:ascii="Book Antiqua" w:hAnsi="Book Antiqua" w:cs="Arial"/>
        </w:rPr>
        <w:t xml:space="preserve"> report of these proceedings shall directly or indirectly identify him of any members of his family.  This direction applies both to the appellant and to the respondent.  Failure to comply with this direction could lead to contempt of court proceedings.</w:t>
      </w:r>
    </w:p>
    <w:p w:rsidR="00DE3BC0" w:rsidRDefault="00DE3BC0" w:rsidP="00DE3BC0">
      <w:pPr>
        <w:ind w:left="567"/>
        <w:jc w:val="both"/>
        <w:rPr>
          <w:rFonts w:ascii="Book Antiqua" w:hAnsi="Book Antiqua" w:cs="Arial"/>
        </w:rPr>
      </w:pPr>
    </w:p>
    <w:p w:rsidR="00BE1219" w:rsidRDefault="00BE1219" w:rsidP="00BE1219">
      <w:pPr>
        <w:pStyle w:val="ListParagraph"/>
        <w:rPr>
          <w:rFonts w:ascii="Book Antiqua" w:hAnsi="Book Antiqua" w:cs="Arial"/>
        </w:rPr>
      </w:pPr>
    </w:p>
    <w:p w:rsidR="00BE1219" w:rsidRDefault="00BE1219" w:rsidP="00BE1219">
      <w:pPr>
        <w:jc w:val="both"/>
        <w:rPr>
          <w:rFonts w:ascii="Book Antiqua" w:hAnsi="Book Antiqua" w:cs="Arial"/>
        </w:rPr>
      </w:pPr>
    </w:p>
    <w:p w:rsidR="001F5C96" w:rsidRDefault="001F5C96" w:rsidP="001F5C96">
      <w:pPr>
        <w:jc w:val="both"/>
        <w:rPr>
          <w:rFonts w:ascii="Book Antiqua" w:hAnsi="Book Antiqua" w:cs="Arial"/>
        </w:rPr>
      </w:pPr>
    </w:p>
    <w:p w:rsidR="001F5C96" w:rsidRPr="00F97703" w:rsidRDefault="001F5C96" w:rsidP="001F5C96">
      <w:pPr>
        <w:ind w:left="900"/>
        <w:jc w:val="both"/>
        <w:rPr>
          <w:rFonts w:ascii="Book Antiqua" w:hAnsi="Book Antiqua" w:cs="Arial"/>
        </w:rPr>
      </w:pPr>
    </w:p>
    <w:p w:rsidR="00933B65" w:rsidRPr="00F97703" w:rsidRDefault="00933B65" w:rsidP="0034540B">
      <w:pPr>
        <w:rPr>
          <w:rFonts w:ascii="Book Antiqua" w:hAnsi="Book Antiqua" w:cs="Arial"/>
        </w:rPr>
      </w:pPr>
      <w:r w:rsidRPr="00F97703">
        <w:rPr>
          <w:rFonts w:ascii="Book Antiqua" w:hAnsi="Book Antiqua" w:cs="Arial"/>
        </w:rPr>
        <w:t>Signed</w:t>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t>Date</w:t>
      </w:r>
      <w:r w:rsidR="00C87EC4">
        <w:rPr>
          <w:rFonts w:ascii="Book Antiqua" w:hAnsi="Book Antiqua" w:cs="Arial"/>
        </w:rPr>
        <w:t xml:space="preserve"> </w:t>
      </w:r>
      <w:r w:rsidR="00C87EC4" w:rsidRPr="00C87EC4">
        <w:rPr>
          <w:rFonts w:ascii="Book Antiqua" w:hAnsi="Book Antiqua" w:cs="Arial"/>
        </w:rPr>
        <w:t>19 July 2018</w:t>
      </w:r>
    </w:p>
    <w:p w:rsidR="0034540B" w:rsidRDefault="0034540B" w:rsidP="0034540B">
      <w:pPr>
        <w:tabs>
          <w:tab w:val="left" w:pos="2520"/>
        </w:tabs>
        <w:rPr>
          <w:rFonts w:ascii="Book Antiqua" w:hAnsi="Book Antiqua" w:cs="Arial"/>
          <w:color w:val="000000"/>
        </w:rPr>
      </w:pPr>
    </w:p>
    <w:p w:rsidR="00933B65" w:rsidRPr="00F97703" w:rsidRDefault="00933B65" w:rsidP="0034540B">
      <w:pPr>
        <w:tabs>
          <w:tab w:val="left" w:pos="2520"/>
        </w:tabs>
        <w:rPr>
          <w:rFonts w:ascii="Book Antiqua" w:hAnsi="Book Antiqua" w:cs="Arial"/>
          <w:color w:val="000000"/>
        </w:rPr>
      </w:pPr>
      <w:r>
        <w:rPr>
          <w:rFonts w:ascii="Book Antiqua" w:hAnsi="Book Antiqua" w:cs="Arial"/>
          <w:color w:val="000000"/>
        </w:rPr>
        <w:t xml:space="preserve">Upper Tribunal </w:t>
      </w:r>
      <w:r w:rsidR="00025F0F">
        <w:rPr>
          <w:rFonts w:ascii="Book Antiqua" w:hAnsi="Book Antiqua" w:cs="Arial"/>
          <w:color w:val="000000"/>
        </w:rPr>
        <w:t>Judge Conway</w:t>
      </w:r>
    </w:p>
    <w:p w:rsidR="00C87EC4" w:rsidRDefault="00C87EC4" w:rsidP="00C87EC4"/>
    <w:p w:rsidR="00C87EC4" w:rsidRPr="00C87EC4" w:rsidRDefault="00C87EC4" w:rsidP="00C87EC4"/>
    <w:p w:rsidR="00C87EC4" w:rsidRPr="00C87EC4" w:rsidRDefault="00C87EC4" w:rsidP="00C87EC4"/>
    <w:p w:rsidR="00C87EC4" w:rsidRDefault="00C87EC4" w:rsidP="00C87EC4"/>
    <w:p w:rsidR="00BF2ED8" w:rsidRPr="000619F9" w:rsidRDefault="00C87EC4" w:rsidP="00C87EC4">
      <w:pPr>
        <w:tabs>
          <w:tab w:val="left" w:pos="1140"/>
        </w:tabs>
        <w:rPr>
          <w:rFonts w:ascii="Book Antiqua" w:hAnsi="Book Antiqua" w:cs="Arial"/>
          <w:color w:val="000000"/>
        </w:rPr>
      </w:pPr>
      <w:r>
        <w:tab/>
      </w:r>
    </w:p>
    <w:p w:rsidR="00266FFE" w:rsidRDefault="00266FFE"/>
    <w:sectPr w:rsidR="00266FFE" w:rsidSect="004F6136">
      <w:headerReference w:type="default" r:id="rId9"/>
      <w:footerReference w:type="default" r:id="rId10"/>
      <w:footerReference w:type="first" r:id="rId11"/>
      <w:pgSz w:w="11906" w:h="16838"/>
      <w:pgMar w:top="284"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48ED" w:rsidRDefault="00B248ED">
      <w:r>
        <w:separator/>
      </w:r>
    </w:p>
  </w:endnote>
  <w:endnote w:type="continuationSeparator" w:id="0">
    <w:p w:rsidR="00B248ED" w:rsidRDefault="00B248ED">
      <w:r>
        <w:continuationSeparator/>
      </w:r>
    </w:p>
  </w:endnote>
  <w:endnote w:type="continuationNotice" w:id="1">
    <w:p w:rsidR="00B248ED" w:rsidRDefault="00B248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961" w:rsidRPr="004F6136" w:rsidRDefault="009A3961" w:rsidP="00614E94">
    <w:pPr>
      <w:pStyle w:val="Footer"/>
      <w:jc w:val="center"/>
      <w:rPr>
        <w:rFonts w:ascii="Book Antiqua" w:hAnsi="Book Antiqua" w:cs="Arial"/>
      </w:rPr>
    </w:pPr>
    <w:r w:rsidRPr="004F6136">
      <w:rPr>
        <w:rStyle w:val="PageNumber"/>
        <w:rFonts w:ascii="Book Antiqua" w:hAnsi="Book Antiqua" w:cs="Arial"/>
      </w:rPr>
      <w:fldChar w:fldCharType="begin"/>
    </w:r>
    <w:r w:rsidRPr="004F6136">
      <w:rPr>
        <w:rStyle w:val="PageNumber"/>
        <w:rFonts w:ascii="Book Antiqua" w:hAnsi="Book Antiqua" w:cs="Arial"/>
      </w:rPr>
      <w:instrText xml:space="preserve"> PAGE </w:instrText>
    </w:r>
    <w:r w:rsidRPr="004F6136">
      <w:rPr>
        <w:rStyle w:val="PageNumber"/>
        <w:rFonts w:ascii="Book Antiqua" w:hAnsi="Book Antiqua" w:cs="Arial"/>
      </w:rPr>
      <w:fldChar w:fldCharType="separate"/>
    </w:r>
    <w:r w:rsidR="0042046D">
      <w:rPr>
        <w:rStyle w:val="PageNumber"/>
        <w:rFonts w:ascii="Book Antiqua" w:hAnsi="Book Antiqua" w:cs="Arial"/>
        <w:noProof/>
      </w:rPr>
      <w:t>3</w:t>
    </w:r>
    <w:r w:rsidRPr="004F613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961" w:rsidRPr="004F6136" w:rsidRDefault="009A3961" w:rsidP="00614E94">
    <w:pPr>
      <w:jc w:val="center"/>
      <w:rPr>
        <w:rFonts w:ascii="Book Antiqua" w:hAnsi="Book Antiqua" w:cs="Arial"/>
        <w:b/>
      </w:rPr>
    </w:pPr>
    <w:r w:rsidRPr="004F6136">
      <w:rPr>
        <w:rFonts w:ascii="Book Antiqua" w:hAnsi="Book Antiqua" w:cs="Arial"/>
        <w:b/>
        <w:spacing w:val="-6"/>
      </w:rPr>
      <w:t>©</w:t>
    </w:r>
    <w:r w:rsidRPr="004F613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48ED" w:rsidRDefault="00B248ED">
      <w:r>
        <w:separator/>
      </w:r>
    </w:p>
  </w:footnote>
  <w:footnote w:type="continuationSeparator" w:id="0">
    <w:p w:rsidR="00B248ED" w:rsidRDefault="00B248ED">
      <w:r>
        <w:continuationSeparator/>
      </w:r>
    </w:p>
  </w:footnote>
  <w:footnote w:type="continuationNotice" w:id="1">
    <w:p w:rsidR="00B248ED" w:rsidRDefault="00B248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3961" w:rsidRDefault="009A3961" w:rsidP="00614E94">
    <w:pPr>
      <w:pStyle w:val="Header"/>
      <w:jc w:val="right"/>
      <w:rPr>
        <w:rFonts w:ascii="Book Antiqua" w:hAnsi="Book Antiqua" w:cs="Arial"/>
        <w:color w:val="000000"/>
        <w:sz w:val="16"/>
        <w:szCs w:val="16"/>
      </w:rPr>
    </w:pPr>
    <w:r w:rsidRPr="004828BE">
      <w:rPr>
        <w:rFonts w:ascii="Book Antiqua" w:hAnsi="Book Antiqua" w:cs="Arial"/>
        <w:sz w:val="16"/>
        <w:szCs w:val="16"/>
      </w:rPr>
      <w:t xml:space="preserve">Appeal Number: </w:t>
    </w:r>
    <w:r w:rsidRPr="004828BE">
      <w:rPr>
        <w:rFonts w:ascii="Book Antiqua" w:hAnsi="Book Antiqua" w:cs="Arial"/>
        <w:color w:val="000000"/>
        <w:sz w:val="16"/>
        <w:szCs w:val="16"/>
      </w:rPr>
      <w:t>PA/00018/2018</w:t>
    </w:r>
  </w:p>
  <w:p w:rsidR="004F6136" w:rsidRPr="004828BE" w:rsidRDefault="004F6136"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 w15:restartNumberingAfterBreak="0">
    <w:nsid w:val="508125B6"/>
    <w:multiLevelType w:val="hybridMultilevel"/>
    <w:tmpl w:val="7518A24C"/>
    <w:lvl w:ilvl="0" w:tplc="3106F9DE">
      <w:start w:val="1"/>
      <w:numFmt w:val="decimal"/>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FA3C9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5B07"/>
    <w:rsid w:val="000254B8"/>
    <w:rsid w:val="00025F0F"/>
    <w:rsid w:val="00042283"/>
    <w:rsid w:val="000768D4"/>
    <w:rsid w:val="00091185"/>
    <w:rsid w:val="000B5D22"/>
    <w:rsid w:val="000C54E1"/>
    <w:rsid w:val="000C66C7"/>
    <w:rsid w:val="000D7B66"/>
    <w:rsid w:val="000E1525"/>
    <w:rsid w:val="000F04D0"/>
    <w:rsid w:val="00112B05"/>
    <w:rsid w:val="00126DF1"/>
    <w:rsid w:val="00155C54"/>
    <w:rsid w:val="0017612F"/>
    <w:rsid w:val="00181DDC"/>
    <w:rsid w:val="001832F8"/>
    <w:rsid w:val="00183F3D"/>
    <w:rsid w:val="001B20E8"/>
    <w:rsid w:val="001B394B"/>
    <w:rsid w:val="001F5C96"/>
    <w:rsid w:val="002137C8"/>
    <w:rsid w:val="0022452C"/>
    <w:rsid w:val="00266FFE"/>
    <w:rsid w:val="002B3AC8"/>
    <w:rsid w:val="002C31B8"/>
    <w:rsid w:val="002F3BEB"/>
    <w:rsid w:val="00332DFB"/>
    <w:rsid w:val="0034540B"/>
    <w:rsid w:val="003D7DC1"/>
    <w:rsid w:val="00404806"/>
    <w:rsid w:val="004171D0"/>
    <w:rsid w:val="0042046D"/>
    <w:rsid w:val="00433BB9"/>
    <w:rsid w:val="0047063F"/>
    <w:rsid w:val="00470937"/>
    <w:rsid w:val="004828BE"/>
    <w:rsid w:val="004A012D"/>
    <w:rsid w:val="004A289F"/>
    <w:rsid w:val="004A6882"/>
    <w:rsid w:val="004C5989"/>
    <w:rsid w:val="004E7F84"/>
    <w:rsid w:val="004F3024"/>
    <w:rsid w:val="004F6136"/>
    <w:rsid w:val="00524726"/>
    <w:rsid w:val="0057020B"/>
    <w:rsid w:val="005828AB"/>
    <w:rsid w:val="0061032C"/>
    <w:rsid w:val="00614E94"/>
    <w:rsid w:val="00631E82"/>
    <w:rsid w:val="00647A5D"/>
    <w:rsid w:val="0065608B"/>
    <w:rsid w:val="006748D6"/>
    <w:rsid w:val="00680A32"/>
    <w:rsid w:val="006B3731"/>
    <w:rsid w:val="006C495F"/>
    <w:rsid w:val="006C6DE3"/>
    <w:rsid w:val="006C73CE"/>
    <w:rsid w:val="00714BC3"/>
    <w:rsid w:val="0076419F"/>
    <w:rsid w:val="007A7333"/>
    <w:rsid w:val="007E1EC3"/>
    <w:rsid w:val="007E4478"/>
    <w:rsid w:val="007E6EF7"/>
    <w:rsid w:val="007F0995"/>
    <w:rsid w:val="007F2D17"/>
    <w:rsid w:val="00841BE5"/>
    <w:rsid w:val="0087641B"/>
    <w:rsid w:val="008832E8"/>
    <w:rsid w:val="009067F6"/>
    <w:rsid w:val="00933B65"/>
    <w:rsid w:val="00942951"/>
    <w:rsid w:val="009634E9"/>
    <w:rsid w:val="009701EB"/>
    <w:rsid w:val="00984023"/>
    <w:rsid w:val="009A3961"/>
    <w:rsid w:val="009A7216"/>
    <w:rsid w:val="009B7849"/>
    <w:rsid w:val="009D328D"/>
    <w:rsid w:val="00A3258B"/>
    <w:rsid w:val="00A42B65"/>
    <w:rsid w:val="00A5200D"/>
    <w:rsid w:val="00A8237A"/>
    <w:rsid w:val="00A86A8D"/>
    <w:rsid w:val="00A86B80"/>
    <w:rsid w:val="00A923A3"/>
    <w:rsid w:val="00AB7A79"/>
    <w:rsid w:val="00AC5C04"/>
    <w:rsid w:val="00AF37C0"/>
    <w:rsid w:val="00B10928"/>
    <w:rsid w:val="00B15E2F"/>
    <w:rsid w:val="00B248ED"/>
    <w:rsid w:val="00B336FB"/>
    <w:rsid w:val="00B402A2"/>
    <w:rsid w:val="00B50AD4"/>
    <w:rsid w:val="00B50C2E"/>
    <w:rsid w:val="00B5481C"/>
    <w:rsid w:val="00B66A4E"/>
    <w:rsid w:val="00B71C45"/>
    <w:rsid w:val="00B94499"/>
    <w:rsid w:val="00BD44E1"/>
    <w:rsid w:val="00BE1219"/>
    <w:rsid w:val="00BE2E14"/>
    <w:rsid w:val="00BE796B"/>
    <w:rsid w:val="00BF2ED8"/>
    <w:rsid w:val="00C0793E"/>
    <w:rsid w:val="00C31AFF"/>
    <w:rsid w:val="00C52169"/>
    <w:rsid w:val="00C87EC4"/>
    <w:rsid w:val="00CD2C4D"/>
    <w:rsid w:val="00CE589F"/>
    <w:rsid w:val="00D11C31"/>
    <w:rsid w:val="00D25150"/>
    <w:rsid w:val="00D44A14"/>
    <w:rsid w:val="00D90590"/>
    <w:rsid w:val="00D969B6"/>
    <w:rsid w:val="00DE3BC0"/>
    <w:rsid w:val="00DE58CA"/>
    <w:rsid w:val="00EC0F68"/>
    <w:rsid w:val="00EF0FBA"/>
    <w:rsid w:val="00F57C29"/>
    <w:rsid w:val="00F648C0"/>
    <w:rsid w:val="00F907A2"/>
    <w:rsid w:val="00F954A5"/>
    <w:rsid w:val="00FA0A2E"/>
    <w:rsid w:val="00FB0516"/>
    <w:rsid w:val="00FD5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2C5F45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F2ED8"/>
    <w:rPr>
      <w:color w:val="0000FF"/>
      <w:u w:val="single"/>
    </w:rPr>
  </w:style>
  <w:style w:type="paragraph" w:styleId="ListParagraph">
    <w:name w:val="List Paragraph"/>
    <w:basedOn w:val="Normal"/>
    <w:uiPriority w:val="34"/>
    <w:qFormat/>
    <w:rsid w:val="004828BE"/>
    <w:pPr>
      <w:ind w:left="720"/>
    </w:pPr>
  </w:style>
  <w:style w:type="paragraph" w:styleId="BalloonText">
    <w:name w:val="Balloon Text"/>
    <w:basedOn w:val="Normal"/>
    <w:link w:val="BalloonTextChar"/>
    <w:rsid w:val="002C31B8"/>
    <w:rPr>
      <w:rFonts w:ascii="Segoe UI" w:hAnsi="Segoe UI" w:cs="Segoe UI"/>
      <w:sz w:val="18"/>
      <w:szCs w:val="18"/>
    </w:rPr>
  </w:style>
  <w:style w:type="character" w:customStyle="1" w:styleId="BalloonTextChar">
    <w:name w:val="Balloon Text Char"/>
    <w:link w:val="BalloonText"/>
    <w:rsid w:val="002C31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51CE3-A5F5-4051-8575-EBD7C9940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936</Words>
  <Characters>4614</Characters>
  <Application>Microsoft Office Word</Application>
  <DocSecurity>0</DocSecurity>
  <Lines>38</Lines>
  <Paragraphs>11</Paragraphs>
  <ScaleCrop>false</ScaleCrop>
  <Company/>
  <LinksUpToDate>false</LinksUpToDate>
  <CharactersWithSpaces>5539</CharactersWithSpaces>
  <SharedDoc>false</SharedDoc>
  <HLinks>
    <vt:vector size="6" baseType="variant">
      <vt:variant>
        <vt:i4>983074</vt:i4>
      </vt:variant>
      <vt:variant>
        <vt:i4>0</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2018-08-06T12:22:00Z</dcterms:created>
  <dcterms:modified xsi:type="dcterms:W3CDTF">2018-08-06T12:22:00Z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