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C3E37" w14:textId="14012A68" w:rsidR="00C321B5" w:rsidRDefault="001B1081" w:rsidP="00C321B5">
      <w:pPr>
        <w:jc w:val="center"/>
        <w:rPr>
          <w:rFonts w:ascii="Book Antiqua" w:hAnsi="Book Antiqua" w:cs="Arial"/>
          <w:sz w:val="16"/>
          <w:szCs w:val="16"/>
        </w:rPr>
      </w:pPr>
      <w:r w:rsidRPr="00482961">
        <w:rPr>
          <w:noProof/>
          <w:sz w:val="16"/>
          <w:szCs w:val="16"/>
        </w:rPr>
        <w:drawing>
          <wp:inline distT="0" distB="0" distL="0" distR="0" wp14:anchorId="6D4F64F7" wp14:editId="4722EF78">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BC4A51C" w14:textId="77777777" w:rsidR="00482961" w:rsidRPr="00482961" w:rsidRDefault="00482961" w:rsidP="00C321B5">
      <w:pPr>
        <w:jc w:val="center"/>
        <w:rPr>
          <w:rFonts w:ascii="Book Antiqua" w:hAnsi="Book Antiqua" w:cs="Arial"/>
          <w:sz w:val="16"/>
          <w:szCs w:val="16"/>
        </w:rPr>
      </w:pPr>
    </w:p>
    <w:p w14:paraId="515B83E5"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14:paraId="3EDFBFB5" w14:textId="77777777"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4835E2">
        <w:rPr>
          <w:rFonts w:ascii="Book Antiqua" w:hAnsi="Book Antiqua" w:cs="Arial"/>
          <w:b/>
          <w:caps/>
        </w:rPr>
        <w:t>PA</w:t>
      </w:r>
      <w:r w:rsidR="001B67F3" w:rsidRPr="007A3ED6">
        <w:rPr>
          <w:rFonts w:ascii="Book Antiqua" w:hAnsi="Book Antiqua" w:cs="Arial"/>
          <w:b/>
          <w:caps/>
        </w:rPr>
        <w:t>/</w:t>
      </w:r>
      <w:r w:rsidR="004835E2">
        <w:rPr>
          <w:rFonts w:ascii="Book Antiqua" w:hAnsi="Book Antiqua" w:cs="Arial"/>
          <w:b/>
          <w:caps/>
        </w:rPr>
        <w:t>00280</w:t>
      </w:r>
      <w:r w:rsidR="00FB050B" w:rsidRPr="007A3ED6">
        <w:rPr>
          <w:rFonts w:ascii="Book Antiqua" w:hAnsi="Book Antiqua" w:cs="Arial"/>
          <w:b/>
          <w:caps/>
        </w:rPr>
        <w:t>/201</w:t>
      </w:r>
      <w:r w:rsidR="004835E2">
        <w:rPr>
          <w:rFonts w:ascii="Book Antiqua" w:hAnsi="Book Antiqua" w:cs="Arial"/>
          <w:b/>
          <w:caps/>
        </w:rPr>
        <w:t>8</w:t>
      </w:r>
      <w:bookmarkEnd w:id="0"/>
    </w:p>
    <w:p w14:paraId="28CA6297" w14:textId="77777777" w:rsidR="00C345E1" w:rsidRPr="00F5664C" w:rsidRDefault="00C345E1" w:rsidP="00C345E1">
      <w:pPr>
        <w:jc w:val="center"/>
        <w:rPr>
          <w:rFonts w:ascii="Book Antiqua" w:hAnsi="Book Antiqua" w:cs="Arial"/>
        </w:rPr>
      </w:pPr>
    </w:p>
    <w:p w14:paraId="7734FA8B" w14:textId="77777777" w:rsidR="00C345E1" w:rsidRPr="00F5664C" w:rsidRDefault="00C345E1" w:rsidP="00C345E1">
      <w:pPr>
        <w:jc w:val="center"/>
        <w:rPr>
          <w:rFonts w:ascii="Book Antiqua" w:hAnsi="Book Antiqua" w:cs="Arial"/>
        </w:rPr>
      </w:pPr>
    </w:p>
    <w:p w14:paraId="467C8F7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398DADE" w14:textId="77777777" w:rsidR="00C345E1" w:rsidRPr="00F5664C" w:rsidRDefault="00C345E1" w:rsidP="00C345E1">
      <w:pPr>
        <w:jc w:val="center"/>
        <w:rPr>
          <w:rFonts w:ascii="Book Antiqua" w:hAnsi="Book Antiqua" w:cs="Arial"/>
          <w:b/>
          <w:u w:val="single"/>
        </w:rPr>
      </w:pPr>
    </w:p>
    <w:p w14:paraId="0A113C2F" w14:textId="77777777" w:rsidR="00C345E1" w:rsidRPr="00F5664C" w:rsidRDefault="00C345E1" w:rsidP="00C345E1">
      <w:pPr>
        <w:jc w:val="center"/>
        <w:rPr>
          <w:rFonts w:ascii="Book Antiqua" w:hAnsi="Book Antiqua" w:cs="Arial"/>
          <w:b/>
          <w:u w:val="single"/>
        </w:rPr>
      </w:pPr>
    </w:p>
    <w:tbl>
      <w:tblPr>
        <w:tblW w:w="10353" w:type="dxa"/>
        <w:tblLook w:val="01E0" w:firstRow="1" w:lastRow="1" w:firstColumn="1" w:lastColumn="1" w:noHBand="0" w:noVBand="0"/>
      </w:tblPr>
      <w:tblGrid>
        <w:gridCol w:w="6182"/>
        <w:gridCol w:w="4171"/>
      </w:tblGrid>
      <w:tr w:rsidR="00D22636" w:rsidRPr="00337EBB" w14:paraId="44A38F18" w14:textId="77777777" w:rsidTr="00385CDF">
        <w:trPr>
          <w:trHeight w:val="319"/>
        </w:trPr>
        <w:tc>
          <w:tcPr>
            <w:tcW w:w="6182" w:type="dxa"/>
            <w:shd w:val="clear" w:color="auto" w:fill="auto"/>
          </w:tcPr>
          <w:p w14:paraId="523EA021"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7D466F">
              <w:rPr>
                <w:rFonts w:ascii="Book Antiqua" w:hAnsi="Book Antiqua" w:cs="Arial"/>
                <w:b/>
              </w:rPr>
              <w:t>Liverpool</w:t>
            </w:r>
          </w:p>
        </w:tc>
        <w:tc>
          <w:tcPr>
            <w:tcW w:w="4171" w:type="dxa"/>
            <w:shd w:val="clear" w:color="auto" w:fill="auto"/>
          </w:tcPr>
          <w:p w14:paraId="4791EFA6" w14:textId="77777777"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14:paraId="5AE30A98" w14:textId="77777777" w:rsidTr="00385CDF">
        <w:trPr>
          <w:trHeight w:val="336"/>
        </w:trPr>
        <w:tc>
          <w:tcPr>
            <w:tcW w:w="6182" w:type="dxa"/>
            <w:shd w:val="clear" w:color="auto" w:fill="auto"/>
          </w:tcPr>
          <w:p w14:paraId="51B552C0" w14:textId="77777777" w:rsidR="00D22636" w:rsidRPr="00337EBB" w:rsidRDefault="00385CDF" w:rsidP="00337EBB">
            <w:pPr>
              <w:jc w:val="both"/>
              <w:rPr>
                <w:rFonts w:ascii="Book Antiqua" w:hAnsi="Book Antiqua" w:cs="Arial"/>
                <w:b/>
              </w:rPr>
            </w:pPr>
            <w:r w:rsidRPr="00337EBB">
              <w:rPr>
                <w:rFonts w:ascii="Book Antiqua" w:hAnsi="Book Antiqua" w:cs="Arial"/>
                <w:b/>
              </w:rPr>
              <w:t xml:space="preserve">On </w:t>
            </w:r>
            <w:r>
              <w:rPr>
                <w:rFonts w:ascii="Book Antiqua" w:hAnsi="Book Antiqua" w:cs="Arial"/>
                <w:b/>
              </w:rPr>
              <w:t>25 July 2018</w:t>
            </w:r>
            <w:r w:rsidRPr="00337EBB">
              <w:rPr>
                <w:rFonts w:ascii="Book Antiqua" w:hAnsi="Book Antiqua" w:cs="Arial"/>
                <w:b/>
              </w:rPr>
              <w:t xml:space="preserve"> </w:t>
            </w:r>
            <w:r w:rsidR="001B67F3" w:rsidRPr="00337EBB">
              <w:rPr>
                <w:rFonts w:ascii="Book Antiqua" w:hAnsi="Book Antiqua" w:cs="Arial"/>
                <w:b/>
              </w:rPr>
              <w:t xml:space="preserve"> </w:t>
            </w:r>
          </w:p>
        </w:tc>
        <w:tc>
          <w:tcPr>
            <w:tcW w:w="4171" w:type="dxa"/>
            <w:shd w:val="clear" w:color="auto" w:fill="auto"/>
          </w:tcPr>
          <w:p w14:paraId="34347115" w14:textId="77777777" w:rsidR="00D22636" w:rsidRPr="00337EBB" w:rsidRDefault="00385CDF" w:rsidP="00337EBB">
            <w:pPr>
              <w:jc w:val="both"/>
              <w:rPr>
                <w:rFonts w:ascii="Book Antiqua" w:hAnsi="Book Antiqua" w:cs="Arial"/>
                <w:b/>
              </w:rPr>
            </w:pPr>
            <w:r w:rsidRPr="00385CDF">
              <w:rPr>
                <w:rFonts w:ascii="Book Antiqua" w:hAnsi="Book Antiqua" w:cs="Arial"/>
                <w:b/>
              </w:rPr>
              <w:t>On 06 August 2018</w:t>
            </w:r>
          </w:p>
        </w:tc>
      </w:tr>
      <w:tr w:rsidR="00D22636" w:rsidRPr="00337EBB" w14:paraId="12CE64E1" w14:textId="77777777" w:rsidTr="00385CDF">
        <w:trPr>
          <w:trHeight w:val="319"/>
        </w:trPr>
        <w:tc>
          <w:tcPr>
            <w:tcW w:w="6182" w:type="dxa"/>
            <w:shd w:val="clear" w:color="auto" w:fill="auto"/>
          </w:tcPr>
          <w:p w14:paraId="531A4C7F" w14:textId="77777777" w:rsidR="00D22636" w:rsidRPr="00337EBB" w:rsidRDefault="00D22636" w:rsidP="00337EBB">
            <w:pPr>
              <w:jc w:val="both"/>
              <w:rPr>
                <w:rFonts w:ascii="Book Antiqua" w:hAnsi="Book Antiqua" w:cs="Arial"/>
                <w:b/>
              </w:rPr>
            </w:pPr>
          </w:p>
        </w:tc>
        <w:tc>
          <w:tcPr>
            <w:tcW w:w="4171" w:type="dxa"/>
            <w:shd w:val="clear" w:color="auto" w:fill="auto"/>
          </w:tcPr>
          <w:p w14:paraId="32F597D4" w14:textId="77777777" w:rsidR="00D22636" w:rsidRPr="00337EBB" w:rsidRDefault="00D22636" w:rsidP="00337EBB">
            <w:pPr>
              <w:jc w:val="both"/>
              <w:rPr>
                <w:rFonts w:ascii="Book Antiqua" w:hAnsi="Book Antiqua" w:cs="Arial"/>
                <w:b/>
              </w:rPr>
            </w:pPr>
          </w:p>
        </w:tc>
      </w:tr>
    </w:tbl>
    <w:p w14:paraId="1300BC72" w14:textId="77777777" w:rsidR="00A15234" w:rsidRPr="00F5664C" w:rsidRDefault="00A15234" w:rsidP="00A15234">
      <w:pPr>
        <w:jc w:val="center"/>
        <w:rPr>
          <w:rFonts w:ascii="Book Antiqua" w:hAnsi="Book Antiqua" w:cs="Arial"/>
        </w:rPr>
      </w:pPr>
    </w:p>
    <w:p w14:paraId="1B71FC1B"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EE1582B" w14:textId="77777777" w:rsidR="00A15234" w:rsidRPr="00F5664C" w:rsidRDefault="00A15234" w:rsidP="00A15234">
      <w:pPr>
        <w:jc w:val="center"/>
        <w:rPr>
          <w:rFonts w:ascii="Book Antiqua" w:hAnsi="Book Antiqua" w:cs="Arial"/>
          <w:b/>
        </w:rPr>
      </w:pPr>
    </w:p>
    <w:p w14:paraId="26006AF3" w14:textId="77777777"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14:paraId="7913B388" w14:textId="77777777" w:rsidR="001A1E2C" w:rsidRDefault="001A1E2C" w:rsidP="00A15234">
      <w:pPr>
        <w:jc w:val="center"/>
        <w:rPr>
          <w:rFonts w:ascii="Book Antiqua" w:hAnsi="Book Antiqua" w:cs="Arial"/>
          <w:b/>
        </w:rPr>
      </w:pPr>
    </w:p>
    <w:p w14:paraId="03DB5EA6" w14:textId="77777777" w:rsidR="00B16F58" w:rsidRPr="00F5664C" w:rsidRDefault="00B16F58" w:rsidP="00A15234">
      <w:pPr>
        <w:jc w:val="center"/>
        <w:rPr>
          <w:rFonts w:ascii="Book Antiqua" w:hAnsi="Book Antiqua" w:cs="Arial"/>
          <w:b/>
        </w:rPr>
      </w:pPr>
    </w:p>
    <w:p w14:paraId="11CAABB2"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72997A5" w14:textId="77777777" w:rsidR="00A845DC" w:rsidRPr="00F5664C" w:rsidRDefault="00A845DC" w:rsidP="00A15234">
      <w:pPr>
        <w:jc w:val="center"/>
        <w:rPr>
          <w:rFonts w:ascii="Book Antiqua" w:hAnsi="Book Antiqua" w:cs="Arial"/>
          <w:b/>
        </w:rPr>
      </w:pPr>
    </w:p>
    <w:p w14:paraId="01AB4F77" w14:textId="77777777" w:rsidR="00E9793C" w:rsidRDefault="004835E2" w:rsidP="00E9793C">
      <w:pPr>
        <w:jc w:val="center"/>
        <w:rPr>
          <w:rFonts w:ascii="Book Antiqua" w:hAnsi="Book Antiqua" w:cs="Arial"/>
          <w:b/>
          <w:caps/>
        </w:rPr>
      </w:pPr>
      <w:r>
        <w:rPr>
          <w:rFonts w:ascii="Book Antiqua" w:hAnsi="Book Antiqua" w:cs="Arial"/>
          <w:b/>
          <w:caps/>
        </w:rPr>
        <w:t>MRS S M I</w:t>
      </w:r>
    </w:p>
    <w:p w14:paraId="24143663" w14:textId="77777777" w:rsidR="00887B2E" w:rsidRPr="00482961" w:rsidRDefault="00E9793C" w:rsidP="00E9793C">
      <w:pPr>
        <w:jc w:val="center"/>
        <w:rPr>
          <w:rFonts w:ascii="Book Antiqua" w:hAnsi="Book Antiqua" w:cs="Arial"/>
          <w:b/>
          <w:caps/>
          <w:sz w:val="22"/>
        </w:rPr>
      </w:pPr>
      <w:r w:rsidRPr="00482961">
        <w:rPr>
          <w:rFonts w:ascii="Book Antiqua" w:hAnsi="Book Antiqua" w:cs="Arial"/>
          <w:b/>
          <w:caps/>
          <w:sz w:val="22"/>
        </w:rPr>
        <w:t>(ANONYMITY DIRECTION made)</w:t>
      </w:r>
    </w:p>
    <w:p w14:paraId="3677499C"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24AF080A"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9D421B3" w14:textId="77777777" w:rsidR="00DD5071" w:rsidRDefault="00DD5071" w:rsidP="00704B61">
      <w:pPr>
        <w:jc w:val="center"/>
        <w:rPr>
          <w:rFonts w:ascii="Book Antiqua" w:hAnsi="Book Antiqua" w:cs="Arial"/>
          <w:b/>
        </w:rPr>
      </w:pPr>
    </w:p>
    <w:p w14:paraId="0A1DC777" w14:textId="77777777" w:rsidR="00E9793C" w:rsidRDefault="00E9793C" w:rsidP="00704B61">
      <w:pPr>
        <w:jc w:val="center"/>
        <w:rPr>
          <w:rFonts w:ascii="Book Antiqua" w:hAnsi="Book Antiqua" w:cs="Arial"/>
          <w:b/>
        </w:rPr>
      </w:pPr>
      <w:r>
        <w:rPr>
          <w:rFonts w:ascii="Book Antiqua" w:hAnsi="Book Antiqua" w:cs="Arial"/>
          <w:b/>
          <w:caps/>
        </w:rPr>
        <w:t xml:space="preserve">the </w:t>
      </w:r>
      <w:r w:rsidR="00494161">
        <w:rPr>
          <w:rFonts w:ascii="Book Antiqua" w:hAnsi="Book Antiqua" w:cs="Arial"/>
          <w:b/>
          <w:caps/>
        </w:rPr>
        <w:t>SECRETARY OF STATE FOR THE HOME DEPARTMENT</w:t>
      </w:r>
    </w:p>
    <w:p w14:paraId="3630BD08"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6D09DB2" w14:textId="77777777" w:rsidR="00DD5071" w:rsidRPr="00F5664C" w:rsidRDefault="00DD5071" w:rsidP="00DD5071">
      <w:pPr>
        <w:rPr>
          <w:rFonts w:ascii="Book Antiqua" w:hAnsi="Book Antiqua" w:cs="Arial"/>
          <w:u w:val="single"/>
        </w:rPr>
      </w:pPr>
    </w:p>
    <w:p w14:paraId="0C3E7B93" w14:textId="77777777" w:rsidR="00DD5071" w:rsidRPr="00F5664C" w:rsidRDefault="00DD5071" w:rsidP="00DD5071">
      <w:pPr>
        <w:rPr>
          <w:rFonts w:ascii="Book Antiqua" w:hAnsi="Book Antiqua" w:cs="Arial"/>
          <w:u w:val="single"/>
        </w:rPr>
      </w:pPr>
    </w:p>
    <w:p w14:paraId="54177BEF"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98A7B2F" w14:textId="77777777" w:rsidR="00DE7DB7" w:rsidRPr="00F5664C" w:rsidRDefault="00DE7DB7" w:rsidP="00482961">
      <w:pPr>
        <w:tabs>
          <w:tab w:val="left" w:pos="2552"/>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54625">
        <w:rPr>
          <w:rFonts w:ascii="Book Antiqua" w:hAnsi="Book Antiqua" w:cs="Arial"/>
        </w:rPr>
        <w:t>Miss Sachdev, Legal Representative</w:t>
      </w:r>
    </w:p>
    <w:p w14:paraId="30A495DD" w14:textId="77777777" w:rsidR="00DE7DB7" w:rsidRPr="00F5664C" w:rsidRDefault="00DE7DB7" w:rsidP="00482961">
      <w:pPr>
        <w:tabs>
          <w:tab w:val="left" w:pos="2552"/>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D466F">
        <w:rPr>
          <w:rFonts w:ascii="Book Antiqua" w:hAnsi="Book Antiqua" w:cs="Arial"/>
        </w:rPr>
        <w:t xml:space="preserve">Mr </w:t>
      </w:r>
      <w:proofErr w:type="spellStart"/>
      <w:r w:rsidR="00254625">
        <w:rPr>
          <w:rFonts w:ascii="Book Antiqua" w:hAnsi="Book Antiqua" w:cs="Arial"/>
        </w:rPr>
        <w:t>McVeety</w:t>
      </w:r>
      <w:proofErr w:type="spellEnd"/>
      <w:r w:rsidR="00E9793C">
        <w:rPr>
          <w:rFonts w:ascii="Book Antiqua" w:hAnsi="Book Antiqua" w:cs="Arial"/>
        </w:rPr>
        <w:t>, Senior Home Office Presenting Officer</w:t>
      </w:r>
    </w:p>
    <w:p w14:paraId="35160651" w14:textId="77777777" w:rsidR="00DE7DB7" w:rsidRPr="00F5664C" w:rsidRDefault="00DE7DB7" w:rsidP="00402B9E">
      <w:pPr>
        <w:tabs>
          <w:tab w:val="left" w:pos="2520"/>
        </w:tabs>
        <w:jc w:val="center"/>
        <w:rPr>
          <w:rFonts w:ascii="Book Antiqua" w:hAnsi="Book Antiqua" w:cs="Arial"/>
        </w:rPr>
      </w:pPr>
    </w:p>
    <w:p w14:paraId="28FD32C2" w14:textId="77777777" w:rsidR="00DE7DB7" w:rsidRPr="00F5664C" w:rsidRDefault="00DE7DB7" w:rsidP="00402B9E">
      <w:pPr>
        <w:tabs>
          <w:tab w:val="left" w:pos="2520"/>
        </w:tabs>
        <w:jc w:val="center"/>
        <w:rPr>
          <w:rFonts w:ascii="Book Antiqua" w:hAnsi="Book Antiqua" w:cs="Arial"/>
        </w:rPr>
      </w:pPr>
    </w:p>
    <w:p w14:paraId="14911472"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1CCA1655" w14:textId="77777777" w:rsidR="00641A27" w:rsidRDefault="004835E2" w:rsidP="00B35843">
      <w:pPr>
        <w:numPr>
          <w:ilvl w:val="0"/>
          <w:numId w:val="3"/>
        </w:numPr>
        <w:spacing w:before="240"/>
        <w:jc w:val="both"/>
        <w:rPr>
          <w:rFonts w:ascii="Book Antiqua" w:hAnsi="Book Antiqua" w:cs="Arial"/>
        </w:rPr>
      </w:pPr>
      <w:r>
        <w:rPr>
          <w:rFonts w:ascii="Book Antiqua" w:hAnsi="Book Antiqua" w:cs="Arial"/>
        </w:rPr>
        <w:t>I extend the anonymity order made in the First-tier Tribunal. Unless and until a Tribunal or court directs otherwise the appellant is granted anonymity. No report of these proceedings shall directly or indirectly identify the appellant or any member of her family. This direction applies to amongst others, the appellant and the respondent. Failure to comply with this direction could lead to contempt of court proceedings.</w:t>
      </w:r>
    </w:p>
    <w:p w14:paraId="0FC78835" w14:textId="77777777" w:rsidR="00B35843" w:rsidRDefault="00641A27" w:rsidP="00892884">
      <w:pPr>
        <w:numPr>
          <w:ilvl w:val="0"/>
          <w:numId w:val="3"/>
        </w:numPr>
        <w:spacing w:before="240"/>
        <w:jc w:val="both"/>
        <w:rPr>
          <w:rFonts w:ascii="Book Antiqua" w:hAnsi="Book Antiqua" w:cs="Arial"/>
        </w:rPr>
      </w:pPr>
      <w:bookmarkStart w:id="1"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 </w:t>
      </w:r>
      <w:r w:rsidR="004835E2">
        <w:rPr>
          <w:rFonts w:ascii="Book Antiqua" w:hAnsi="Book Antiqua" w:cs="Arial"/>
        </w:rPr>
        <w:t>Iraq</w:t>
      </w:r>
      <w:r w:rsidRPr="00D1444B">
        <w:rPr>
          <w:rFonts w:ascii="Book Antiqua" w:hAnsi="Book Antiqua" w:cs="Arial"/>
        </w:rPr>
        <w:t xml:space="preserve">. </w:t>
      </w:r>
      <w:r w:rsidR="004835E2">
        <w:rPr>
          <w:rFonts w:ascii="Book Antiqua" w:hAnsi="Book Antiqua" w:cs="Arial"/>
        </w:rPr>
        <w:t xml:space="preserve">The appellant claimed to have arrived in the United Kingdom on February 15, 2017 and claimed asylum the same day. She stated that she </w:t>
      </w:r>
      <w:r w:rsidR="004835E2">
        <w:rPr>
          <w:rFonts w:ascii="Book Antiqua" w:hAnsi="Book Antiqua" w:cs="Arial"/>
        </w:rPr>
        <w:lastRenderedPageBreak/>
        <w:t>had left Iraq on January 31, 2017 having paid an agent to arrange her transportation to a safe country. The respondent refused her claim for protection under paragraphs 336 and 339M HC 395</w:t>
      </w:r>
      <w:r w:rsidR="002A15E9">
        <w:rPr>
          <w:rFonts w:ascii="Book Antiqua" w:hAnsi="Book Antiqua" w:cs="Arial"/>
        </w:rPr>
        <w:t xml:space="preserve"> on December 17, 2017.</w:t>
      </w:r>
    </w:p>
    <w:p w14:paraId="74C11E1C" w14:textId="77777777" w:rsidR="00494161"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 xml:space="preserve">on </w:t>
      </w:r>
      <w:r w:rsidR="002A15E9">
        <w:rPr>
          <w:rFonts w:ascii="Book Antiqua" w:hAnsi="Book Antiqua" w:cs="Arial"/>
        </w:rPr>
        <w:t xml:space="preserve">January 2, 2018 </w:t>
      </w:r>
      <w:r w:rsidR="00E07601">
        <w:rPr>
          <w:rFonts w:ascii="Book Antiqua" w:hAnsi="Book Antiqua" w:cs="Arial"/>
        </w:rPr>
        <w:t>under Section 82(1) of the Nationality, Immigration and Asylum Act 2002</w:t>
      </w:r>
      <w:r w:rsidR="002A15E9">
        <w:rPr>
          <w:rFonts w:ascii="Book Antiqua" w:hAnsi="Book Antiqua" w:cs="Arial"/>
        </w:rPr>
        <w:t>.</w:t>
      </w:r>
      <w:r w:rsidR="00E07601">
        <w:rPr>
          <w:rFonts w:ascii="Book Antiqua" w:hAnsi="Book Antiqua" w:cs="Arial"/>
        </w:rPr>
        <w:t xml:space="preserve">  </w:t>
      </w:r>
    </w:p>
    <w:p w14:paraId="2FAD159A" w14:textId="77777777" w:rsidR="00641A27" w:rsidRDefault="002A15E9" w:rsidP="00911478">
      <w:pPr>
        <w:numPr>
          <w:ilvl w:val="0"/>
          <w:numId w:val="3"/>
        </w:numPr>
        <w:spacing w:before="240"/>
        <w:jc w:val="both"/>
        <w:rPr>
          <w:rFonts w:ascii="Book Antiqua" w:hAnsi="Book Antiqua" w:cs="Arial"/>
        </w:rPr>
      </w:pPr>
      <w:r>
        <w:rPr>
          <w:rFonts w:ascii="Book Antiqua" w:hAnsi="Book Antiqua" w:cs="Arial"/>
        </w:rPr>
        <w:t>Her</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Pr>
          <w:rFonts w:ascii="Book Antiqua" w:hAnsi="Book Antiqua" w:cs="Arial"/>
        </w:rPr>
        <w:t>McCall</w:t>
      </w:r>
      <w:r w:rsidR="0084729B">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84729B">
        <w:rPr>
          <w:rFonts w:ascii="Book Antiqua" w:hAnsi="Book Antiqua" w:cs="Arial"/>
        </w:rPr>
        <w:t xml:space="preserve">February </w:t>
      </w:r>
      <w:r>
        <w:rPr>
          <w:rFonts w:ascii="Book Antiqua" w:hAnsi="Book Antiqua" w:cs="Arial"/>
        </w:rPr>
        <w:t>7</w:t>
      </w:r>
      <w:r w:rsidR="00494161">
        <w:rPr>
          <w:rFonts w:ascii="Book Antiqua" w:hAnsi="Book Antiqua" w:cs="Arial"/>
        </w:rPr>
        <w:t>, 2018</w:t>
      </w:r>
      <w:r w:rsidR="00657E4E">
        <w:rPr>
          <w:rFonts w:ascii="Book Antiqua" w:hAnsi="Book Antiqua" w:cs="Arial"/>
        </w:rPr>
        <w:t xml:space="preserve"> </w:t>
      </w:r>
      <w:r w:rsidR="00E07601">
        <w:rPr>
          <w:rFonts w:ascii="Book Antiqua" w:hAnsi="Book Antiqua" w:cs="Arial"/>
        </w:rPr>
        <w:t xml:space="preserve">and </w:t>
      </w:r>
      <w:r>
        <w:rPr>
          <w:rFonts w:ascii="Book Antiqua" w:hAnsi="Book Antiqua" w:cs="Arial"/>
        </w:rPr>
        <w:t xml:space="preserve">he </w:t>
      </w:r>
      <w:r w:rsidR="00657E4E">
        <w:rPr>
          <w:rFonts w:ascii="Book Antiqua" w:hAnsi="Book Antiqua" w:cs="Arial"/>
        </w:rPr>
        <w:t>dismissed the appellant’s appeal</w:t>
      </w:r>
      <w:r>
        <w:rPr>
          <w:rFonts w:ascii="Book Antiqua" w:hAnsi="Book Antiqua" w:cs="Arial"/>
        </w:rPr>
        <w:t xml:space="preserve"> on protection and human rights grounds </w:t>
      </w:r>
      <w:r w:rsidR="0084729B">
        <w:rPr>
          <w:rFonts w:ascii="Book Antiqua" w:hAnsi="Book Antiqua" w:cs="Arial"/>
        </w:rPr>
        <w:t xml:space="preserve">on </w:t>
      </w:r>
      <w:r>
        <w:rPr>
          <w:rFonts w:ascii="Book Antiqua" w:hAnsi="Book Antiqua" w:cs="Arial"/>
        </w:rPr>
        <w:t>February 20</w:t>
      </w:r>
      <w:r w:rsidR="0084729B">
        <w:rPr>
          <w:rFonts w:ascii="Book Antiqua" w:hAnsi="Book Antiqua" w:cs="Arial"/>
        </w:rPr>
        <w:t>, 2018</w:t>
      </w:r>
      <w:r w:rsidR="00657E4E">
        <w:rPr>
          <w:rFonts w:ascii="Book Antiqua" w:hAnsi="Book Antiqua" w:cs="Arial"/>
        </w:rPr>
        <w:t>.</w:t>
      </w:r>
    </w:p>
    <w:p w14:paraId="1E22917C" w14:textId="77777777" w:rsidR="002A15E9" w:rsidRDefault="00E07601" w:rsidP="008458D6">
      <w:pPr>
        <w:numPr>
          <w:ilvl w:val="0"/>
          <w:numId w:val="3"/>
        </w:numPr>
        <w:spacing w:before="240"/>
        <w:jc w:val="both"/>
        <w:rPr>
          <w:rFonts w:ascii="Book Antiqua" w:hAnsi="Book Antiqua" w:cs="Arial"/>
        </w:rPr>
      </w:pPr>
      <w:r w:rsidRPr="0084729B">
        <w:rPr>
          <w:rFonts w:ascii="Book Antiqua" w:hAnsi="Book Antiqua" w:cs="Arial"/>
        </w:rPr>
        <w:t xml:space="preserve">The </w:t>
      </w:r>
      <w:r w:rsidR="00657E4E" w:rsidRPr="0084729B">
        <w:rPr>
          <w:rFonts w:ascii="Book Antiqua" w:hAnsi="Book Antiqua" w:cs="Arial"/>
        </w:rPr>
        <w:t xml:space="preserve">appellant </w:t>
      </w:r>
      <w:r w:rsidRPr="0084729B">
        <w:rPr>
          <w:rFonts w:ascii="Book Antiqua" w:hAnsi="Book Antiqua" w:cs="Arial"/>
        </w:rPr>
        <w:t xml:space="preserve">appealed this decision on </w:t>
      </w:r>
      <w:r w:rsidR="0084729B" w:rsidRPr="0084729B">
        <w:rPr>
          <w:rFonts w:ascii="Book Antiqua" w:hAnsi="Book Antiqua" w:cs="Arial"/>
        </w:rPr>
        <w:t>March 6</w:t>
      </w:r>
      <w:r w:rsidR="00494161" w:rsidRPr="0084729B">
        <w:rPr>
          <w:rFonts w:ascii="Book Antiqua" w:hAnsi="Book Antiqua" w:cs="Arial"/>
        </w:rPr>
        <w:t>, 2018</w:t>
      </w:r>
      <w:r w:rsidR="0084729B" w:rsidRPr="0084729B">
        <w:rPr>
          <w:rFonts w:ascii="Book Antiqua" w:hAnsi="Book Antiqua" w:cs="Arial"/>
        </w:rPr>
        <w:t xml:space="preserve"> on the grounds that the Judge </w:t>
      </w:r>
      <w:r w:rsidR="002A15E9">
        <w:rPr>
          <w:rFonts w:ascii="Book Antiqua" w:hAnsi="Book Antiqua" w:cs="Arial"/>
        </w:rPr>
        <w:t xml:space="preserve">had erred: </w:t>
      </w:r>
    </w:p>
    <w:p w14:paraId="2F340209" w14:textId="77777777" w:rsidR="00E246FD" w:rsidRDefault="002A15E9" w:rsidP="00482961">
      <w:pPr>
        <w:numPr>
          <w:ilvl w:val="1"/>
          <w:numId w:val="3"/>
        </w:numPr>
        <w:spacing w:before="120"/>
        <w:jc w:val="both"/>
        <w:rPr>
          <w:rFonts w:ascii="Book Antiqua" w:hAnsi="Book Antiqua" w:cs="Arial"/>
        </w:rPr>
      </w:pPr>
      <w:r>
        <w:rPr>
          <w:rFonts w:ascii="Book Antiqua" w:hAnsi="Book Antiqua" w:cs="Arial"/>
        </w:rPr>
        <w:t>By failing to properly consider the report of Dr Fatah who supported the appellant’s claim that she came from a “traditional” family as evidenced by her marriage to her deceased husband’s brother.</w:t>
      </w:r>
    </w:p>
    <w:p w14:paraId="793EF1C0" w14:textId="77777777" w:rsidR="002A15E9" w:rsidRDefault="002A15E9" w:rsidP="00482961">
      <w:pPr>
        <w:numPr>
          <w:ilvl w:val="1"/>
          <w:numId w:val="3"/>
        </w:numPr>
        <w:spacing w:before="120"/>
        <w:jc w:val="both"/>
        <w:rPr>
          <w:rFonts w:ascii="Book Antiqua" w:hAnsi="Book Antiqua" w:cs="Arial"/>
        </w:rPr>
      </w:pPr>
      <w:r>
        <w:rPr>
          <w:rFonts w:ascii="Book Antiqua" w:hAnsi="Book Antiqua" w:cs="Arial"/>
        </w:rPr>
        <w:t>By wrongly finding she was not poor.</w:t>
      </w:r>
    </w:p>
    <w:p w14:paraId="7ECD54D2" w14:textId="77777777" w:rsidR="002A15E9" w:rsidRDefault="002A15E9" w:rsidP="00482961">
      <w:pPr>
        <w:numPr>
          <w:ilvl w:val="1"/>
          <w:numId w:val="3"/>
        </w:numPr>
        <w:spacing w:before="120"/>
        <w:jc w:val="both"/>
        <w:rPr>
          <w:rFonts w:ascii="Book Antiqua" w:hAnsi="Book Antiqua" w:cs="Arial"/>
        </w:rPr>
      </w:pPr>
      <w:r>
        <w:rPr>
          <w:rFonts w:ascii="Book Antiqua" w:hAnsi="Book Antiqua" w:cs="Arial"/>
        </w:rPr>
        <w:t>By failing to have proper regard to the evidence of her bereavement and depression.</w:t>
      </w:r>
    </w:p>
    <w:p w14:paraId="263C0915" w14:textId="77777777" w:rsidR="002A15E9" w:rsidRDefault="002A15E9" w:rsidP="00482961">
      <w:pPr>
        <w:numPr>
          <w:ilvl w:val="1"/>
          <w:numId w:val="3"/>
        </w:numPr>
        <w:spacing w:before="120"/>
        <w:jc w:val="both"/>
        <w:rPr>
          <w:rFonts w:ascii="Book Antiqua" w:hAnsi="Book Antiqua" w:cs="Arial"/>
        </w:rPr>
      </w:pPr>
      <w:r>
        <w:rPr>
          <w:rFonts w:ascii="Book Antiqua" w:hAnsi="Book Antiqua" w:cs="Arial"/>
        </w:rPr>
        <w:t>By wrongly suggesting an X-ray was a treatment and therefore something she should have mentioned in her interview.</w:t>
      </w:r>
    </w:p>
    <w:p w14:paraId="683529CB" w14:textId="77777777" w:rsidR="002A15E9" w:rsidRDefault="002A15E9" w:rsidP="00482961">
      <w:pPr>
        <w:numPr>
          <w:ilvl w:val="1"/>
          <w:numId w:val="3"/>
        </w:numPr>
        <w:spacing w:before="120"/>
        <w:jc w:val="both"/>
        <w:rPr>
          <w:rFonts w:ascii="Book Antiqua" w:hAnsi="Book Antiqua" w:cs="Arial"/>
        </w:rPr>
      </w:pPr>
      <w:r>
        <w:rPr>
          <w:rFonts w:ascii="Book Antiqua" w:hAnsi="Book Antiqua" w:cs="Arial"/>
        </w:rPr>
        <w:t>By failing to have regard to her witness statement when making a finding of inconsistencies.</w:t>
      </w:r>
    </w:p>
    <w:p w14:paraId="5A912F4E" w14:textId="77777777" w:rsidR="002A15E9" w:rsidRDefault="002A15E9" w:rsidP="00482961">
      <w:pPr>
        <w:numPr>
          <w:ilvl w:val="1"/>
          <w:numId w:val="3"/>
        </w:numPr>
        <w:spacing w:before="120"/>
        <w:jc w:val="both"/>
        <w:rPr>
          <w:rFonts w:ascii="Book Antiqua" w:hAnsi="Book Antiqua" w:cs="Arial"/>
        </w:rPr>
      </w:pPr>
      <w:r>
        <w:rPr>
          <w:rFonts w:ascii="Book Antiqua" w:hAnsi="Book Antiqua" w:cs="Arial"/>
        </w:rPr>
        <w:t>By failing to have regard to the evidence generally when considering her account.</w:t>
      </w:r>
    </w:p>
    <w:p w14:paraId="0ED0A605" w14:textId="77777777" w:rsidR="008D0F1C" w:rsidRDefault="002A15E9" w:rsidP="00911478">
      <w:pPr>
        <w:numPr>
          <w:ilvl w:val="0"/>
          <w:numId w:val="3"/>
        </w:numPr>
        <w:spacing w:before="240"/>
        <w:jc w:val="both"/>
        <w:rPr>
          <w:rFonts w:ascii="Book Antiqua" w:hAnsi="Book Antiqua" w:cs="Arial"/>
        </w:rPr>
      </w:pPr>
      <w:r>
        <w:rPr>
          <w:rFonts w:ascii="Book Antiqua" w:hAnsi="Book Antiqua" w:cs="Arial"/>
        </w:rPr>
        <w:t>Permission to appeal was granted by Judge of the First-tier Tribunal Mailer on March 19, 2018 who found it arguable the Judge “might not have properly appreciated the significance of the expert report that the appellant came from a traditional family” and he also gave permission on all other matters.</w:t>
      </w:r>
    </w:p>
    <w:p w14:paraId="757DC9C2" w14:textId="77777777" w:rsidR="00EE3D9F" w:rsidRPr="00EE3D9F" w:rsidRDefault="00EE3D9F" w:rsidP="00EE3D9F">
      <w:pPr>
        <w:spacing w:before="240"/>
        <w:ind w:left="567"/>
        <w:jc w:val="both"/>
        <w:rPr>
          <w:rFonts w:ascii="Book Antiqua" w:hAnsi="Book Antiqua" w:cs="Arial"/>
        </w:rPr>
      </w:pPr>
      <w:r>
        <w:rPr>
          <w:rFonts w:ascii="Book Antiqua" w:hAnsi="Book Antiqua" w:cs="Arial"/>
          <w:b/>
          <w:u w:val="single"/>
        </w:rPr>
        <w:t>SUBMISSIONS</w:t>
      </w:r>
    </w:p>
    <w:p w14:paraId="75B1FD4D" w14:textId="77777777" w:rsidR="00AD7CE2" w:rsidRDefault="00254625" w:rsidP="006F382C">
      <w:pPr>
        <w:numPr>
          <w:ilvl w:val="0"/>
          <w:numId w:val="3"/>
        </w:numPr>
        <w:spacing w:before="240"/>
        <w:jc w:val="both"/>
        <w:rPr>
          <w:rFonts w:ascii="Book Antiqua" w:hAnsi="Book Antiqua" w:cs="Arial"/>
        </w:rPr>
      </w:pPr>
      <w:r>
        <w:rPr>
          <w:rFonts w:ascii="Book Antiqua" w:hAnsi="Book Antiqua" w:cs="Arial"/>
        </w:rPr>
        <w:t xml:space="preserve">Miss Sachdev adopted her grounds of appeal and submitted that the Judge had made a number of errors in his assessment of the evidence. </w:t>
      </w:r>
      <w:r w:rsidR="00AD7CE2">
        <w:rPr>
          <w:rFonts w:ascii="Book Antiqua" w:hAnsi="Book Antiqua" w:cs="Arial"/>
        </w:rPr>
        <w:t>These can be summarised as follows:</w:t>
      </w:r>
    </w:p>
    <w:p w14:paraId="484F6D7B" w14:textId="77777777" w:rsidR="00AD7CE2" w:rsidRDefault="00254625" w:rsidP="00482961">
      <w:pPr>
        <w:numPr>
          <w:ilvl w:val="1"/>
          <w:numId w:val="3"/>
        </w:numPr>
        <w:spacing w:before="120"/>
        <w:jc w:val="both"/>
        <w:rPr>
          <w:rFonts w:ascii="Book Antiqua" w:hAnsi="Book Antiqua" w:cs="Arial"/>
        </w:rPr>
      </w:pPr>
      <w:r>
        <w:rPr>
          <w:rFonts w:ascii="Book Antiqua" w:hAnsi="Book Antiqua" w:cs="Arial"/>
        </w:rPr>
        <w:t xml:space="preserve">The Judge had before him an expert report and background evidence which indicated that where a person was part of a traditional community and family then there was a practice that a widow would marry her husband’s brother with a view to keeping the wealth in the family. The Judge did not make a finding as to whether the appellant was a member of a traditional family and if so why this practice would not have been carried out and by failing to do so she submitted the Judge erred. </w:t>
      </w:r>
    </w:p>
    <w:p w14:paraId="2A27E0ED" w14:textId="77777777" w:rsidR="00AD7CE2" w:rsidRDefault="00254625" w:rsidP="00482961">
      <w:pPr>
        <w:numPr>
          <w:ilvl w:val="1"/>
          <w:numId w:val="3"/>
        </w:numPr>
        <w:spacing w:before="120"/>
        <w:jc w:val="both"/>
        <w:rPr>
          <w:rFonts w:ascii="Book Antiqua" w:hAnsi="Book Antiqua" w:cs="Arial"/>
        </w:rPr>
      </w:pPr>
      <w:r>
        <w:rPr>
          <w:rFonts w:ascii="Book Antiqua" w:hAnsi="Book Antiqua" w:cs="Arial"/>
        </w:rPr>
        <w:t xml:space="preserve">The Tribunal had found the appellant was not poor on the basis that she stood to inherit a quarter of her husband’s estate as well as her death dowry. The Tribunal </w:t>
      </w:r>
      <w:r>
        <w:rPr>
          <w:rFonts w:ascii="Book Antiqua" w:hAnsi="Book Antiqua" w:cs="Arial"/>
        </w:rPr>
        <w:lastRenderedPageBreak/>
        <w:t xml:space="preserve">failed to take into account that until this occurred she would have no income and the issue of where she stayed following her husband’s death rested upon the type of family/community she was from. </w:t>
      </w:r>
    </w:p>
    <w:p w14:paraId="56ECA463" w14:textId="77777777" w:rsidR="00AD7CE2" w:rsidRDefault="00254625" w:rsidP="00482961">
      <w:pPr>
        <w:numPr>
          <w:ilvl w:val="1"/>
          <w:numId w:val="3"/>
        </w:numPr>
        <w:spacing w:before="120"/>
        <w:jc w:val="both"/>
        <w:rPr>
          <w:rFonts w:ascii="Book Antiqua" w:hAnsi="Book Antiqua" w:cs="Arial"/>
        </w:rPr>
      </w:pPr>
      <w:r>
        <w:rPr>
          <w:rFonts w:ascii="Book Antiqua" w:hAnsi="Book Antiqua" w:cs="Arial"/>
        </w:rPr>
        <w:t xml:space="preserve">The Tribunal further failed to take into account that the appellant had suffered a bereavement and was in a bad state and had attempted suicide following her husband’s death. She had not been keen to deal with the estate because her property </w:t>
      </w:r>
      <w:r w:rsidR="00AD7CE2">
        <w:rPr>
          <w:rFonts w:ascii="Book Antiqua" w:hAnsi="Book Antiqua" w:cs="Arial"/>
        </w:rPr>
        <w:t>held</w:t>
      </w:r>
      <w:r>
        <w:rPr>
          <w:rFonts w:ascii="Book Antiqua" w:hAnsi="Book Antiqua" w:cs="Arial"/>
        </w:rPr>
        <w:t xml:space="preserve"> memories of her husband. The Tribunal </w:t>
      </w:r>
      <w:r w:rsidR="00EE74B9">
        <w:rPr>
          <w:rFonts w:ascii="Book Antiqua" w:hAnsi="Book Antiqua" w:cs="Arial"/>
        </w:rPr>
        <w:t>erred</w:t>
      </w:r>
      <w:r>
        <w:rPr>
          <w:rFonts w:ascii="Book Antiqua" w:hAnsi="Book Antiqua" w:cs="Arial"/>
        </w:rPr>
        <w:t xml:space="preserve"> by failing to take this into account. </w:t>
      </w:r>
    </w:p>
    <w:p w14:paraId="4F6B3DF5" w14:textId="77777777" w:rsidR="00AD7CE2" w:rsidRDefault="00254625" w:rsidP="00482961">
      <w:pPr>
        <w:numPr>
          <w:ilvl w:val="1"/>
          <w:numId w:val="3"/>
        </w:numPr>
        <w:spacing w:before="120"/>
        <w:jc w:val="both"/>
        <w:rPr>
          <w:rFonts w:ascii="Book Antiqua" w:hAnsi="Book Antiqua" w:cs="Arial"/>
        </w:rPr>
      </w:pPr>
      <w:r>
        <w:rPr>
          <w:rFonts w:ascii="Book Antiqua" w:hAnsi="Book Antiqua" w:cs="Arial"/>
        </w:rPr>
        <w:t xml:space="preserve">The Tribunal suggested that an x-ray was a form of treatment but she submitted that this was an error in itself as an x-ray was a form of detection not treatment. </w:t>
      </w:r>
    </w:p>
    <w:p w14:paraId="6034D198" w14:textId="77777777" w:rsidR="00AD7CE2" w:rsidRDefault="00254625" w:rsidP="00482961">
      <w:pPr>
        <w:numPr>
          <w:ilvl w:val="1"/>
          <w:numId w:val="3"/>
        </w:numPr>
        <w:spacing w:before="120"/>
        <w:jc w:val="both"/>
        <w:rPr>
          <w:rFonts w:ascii="Book Antiqua" w:hAnsi="Book Antiqua" w:cs="Arial"/>
        </w:rPr>
      </w:pPr>
      <w:r>
        <w:rPr>
          <w:rFonts w:ascii="Book Antiqua" w:hAnsi="Book Antiqua" w:cs="Arial"/>
        </w:rPr>
        <w:t>The Tribunal suggested that she had attempted to embellish her account but Miss Sachdev submitted that the appellant had described her brother-in-law’s advances not only in her interview but also in a statement that she had provided two days before her interview</w:t>
      </w:r>
      <w:r w:rsidR="005721AE">
        <w:rPr>
          <w:rFonts w:ascii="Book Antiqua" w:hAnsi="Book Antiqua" w:cs="Arial"/>
        </w:rPr>
        <w:t xml:space="preserve">. </w:t>
      </w:r>
    </w:p>
    <w:p w14:paraId="65599C24" w14:textId="77777777" w:rsidR="00FC7BA8" w:rsidRDefault="005721AE" w:rsidP="00482961">
      <w:pPr>
        <w:numPr>
          <w:ilvl w:val="1"/>
          <w:numId w:val="3"/>
        </w:numPr>
        <w:spacing w:before="120"/>
        <w:jc w:val="both"/>
        <w:rPr>
          <w:rFonts w:ascii="Book Antiqua" w:hAnsi="Book Antiqua" w:cs="Arial"/>
        </w:rPr>
      </w:pPr>
      <w:r>
        <w:rPr>
          <w:rFonts w:ascii="Book Antiqua" w:hAnsi="Book Antiqua" w:cs="Arial"/>
        </w:rPr>
        <w:t>As regards the finding by the Tribunal that her brother-in-law did not attend at her mother’s home she submitted that he sent other members of the family which would not be unusual. He was the head</w:t>
      </w:r>
      <w:r w:rsidR="00FC7BA8">
        <w:rPr>
          <w:rFonts w:ascii="Book Antiqua" w:hAnsi="Book Antiqua" w:cs="Arial"/>
        </w:rPr>
        <w:t xml:space="preserve"> of the</w:t>
      </w:r>
      <w:r>
        <w:rPr>
          <w:rFonts w:ascii="Book Antiqua" w:hAnsi="Book Antiqua" w:cs="Arial"/>
        </w:rPr>
        <w:t xml:space="preserve"> family and was unlikely to attend in person. The fact she was able to sell items without her brother-in-law knowing should not be held against her. She had </w:t>
      </w:r>
      <w:r w:rsidR="00FC7BA8">
        <w:rPr>
          <w:rFonts w:ascii="Book Antiqua" w:hAnsi="Book Antiqua" w:cs="Arial"/>
        </w:rPr>
        <w:t xml:space="preserve">stored </w:t>
      </w:r>
      <w:r>
        <w:rPr>
          <w:rFonts w:ascii="Book Antiqua" w:hAnsi="Book Antiqua" w:cs="Arial"/>
        </w:rPr>
        <w:t xml:space="preserve">her possessions at her sister’s house including cash and there was nothing unusual about this. </w:t>
      </w:r>
    </w:p>
    <w:p w14:paraId="39C80ECF" w14:textId="77777777" w:rsidR="008D0F1C" w:rsidRDefault="005721AE" w:rsidP="00482961">
      <w:pPr>
        <w:numPr>
          <w:ilvl w:val="1"/>
          <w:numId w:val="3"/>
        </w:numPr>
        <w:spacing w:before="120"/>
        <w:jc w:val="both"/>
        <w:rPr>
          <w:rFonts w:ascii="Book Antiqua" w:hAnsi="Book Antiqua" w:cs="Arial"/>
        </w:rPr>
      </w:pPr>
      <w:r>
        <w:rPr>
          <w:rFonts w:ascii="Book Antiqua" w:hAnsi="Book Antiqua" w:cs="Arial"/>
        </w:rPr>
        <w:t>Finally, the Judge had noted an inconsistency in her interview and failed to put this matter to the appellant and this amounted to procedural unfairness.</w:t>
      </w:r>
    </w:p>
    <w:p w14:paraId="4AECED18" w14:textId="77777777" w:rsidR="00FC7BA8" w:rsidRDefault="005721AE" w:rsidP="006F382C">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opposed the application. He submitted</w:t>
      </w:r>
      <w:r w:rsidR="00FC7BA8">
        <w:rPr>
          <w:rFonts w:ascii="Book Antiqua" w:hAnsi="Book Antiqua" w:cs="Arial"/>
        </w:rPr>
        <w:t>:</w:t>
      </w:r>
      <w:r>
        <w:rPr>
          <w:rFonts w:ascii="Book Antiqua" w:hAnsi="Book Antiqua" w:cs="Arial"/>
        </w:rPr>
        <w:t xml:space="preserve"> </w:t>
      </w:r>
    </w:p>
    <w:p w14:paraId="7E50A002" w14:textId="77777777" w:rsidR="005721AE" w:rsidRDefault="005721AE" w:rsidP="00482961">
      <w:pPr>
        <w:numPr>
          <w:ilvl w:val="1"/>
          <w:numId w:val="3"/>
        </w:numPr>
        <w:spacing w:before="120"/>
        <w:jc w:val="both"/>
        <w:rPr>
          <w:rFonts w:ascii="Book Antiqua" w:hAnsi="Book Antiqua" w:cs="Arial"/>
        </w:rPr>
      </w:pPr>
      <w:r>
        <w:rPr>
          <w:rFonts w:ascii="Book Antiqua" w:hAnsi="Book Antiqua" w:cs="Arial"/>
        </w:rPr>
        <w:t xml:space="preserve">Dr Fatah’s report was misrepresented in the grounds of appeal. At paragraph 32 of her decision the Judge referred to the expert report and </w:t>
      </w:r>
      <w:r w:rsidR="00FC7BA8">
        <w:rPr>
          <w:rFonts w:ascii="Book Antiqua" w:hAnsi="Book Antiqua" w:cs="Arial"/>
        </w:rPr>
        <w:t>Miss Sachdev’s</w:t>
      </w:r>
      <w:r>
        <w:rPr>
          <w:rFonts w:ascii="Book Antiqua" w:hAnsi="Book Antiqua" w:cs="Arial"/>
        </w:rPr>
        <w:t xml:space="preserve"> submission that a widow would remain with her deceased husband’s family. Mr </w:t>
      </w:r>
      <w:proofErr w:type="spellStart"/>
      <w:r>
        <w:rPr>
          <w:rFonts w:ascii="Book Antiqua" w:hAnsi="Book Antiqua" w:cs="Arial"/>
        </w:rPr>
        <w:t>McVeety</w:t>
      </w:r>
      <w:proofErr w:type="spellEnd"/>
      <w:r>
        <w:rPr>
          <w:rFonts w:ascii="Book Antiqua" w:hAnsi="Book Antiqua" w:cs="Arial"/>
        </w:rPr>
        <w:t xml:space="preserve"> submitted that the expert accepted there were </w:t>
      </w:r>
      <w:r w:rsidR="00FC7BA8">
        <w:rPr>
          <w:rFonts w:ascii="Book Antiqua" w:hAnsi="Book Antiqua" w:cs="Arial"/>
        </w:rPr>
        <w:t>circumstances this could happen</w:t>
      </w:r>
      <w:r w:rsidR="00EE74B9">
        <w:rPr>
          <w:rFonts w:ascii="Book Antiqua" w:hAnsi="Book Antiqua" w:cs="Arial"/>
        </w:rPr>
        <w:t>,</w:t>
      </w:r>
      <w:r w:rsidR="00FC7BA8">
        <w:rPr>
          <w:rFonts w:ascii="Book Antiqua" w:hAnsi="Book Antiqua" w:cs="Arial"/>
        </w:rPr>
        <w:t xml:space="preserve"> but they did not apply in this case. </w:t>
      </w:r>
      <w:r>
        <w:rPr>
          <w:rFonts w:ascii="Book Antiqua" w:hAnsi="Book Antiqua" w:cs="Arial"/>
        </w:rPr>
        <w:t xml:space="preserve">The Judge had noted that there were no children in this case and adopted the view of the expert, stated at paragraph 56 of the report, where he stated that when a widow had no children the responsibility for her would commonly revert back to her own family rather than her husband’s family. Additionally, he argued that the appellant did not come from a rural area and the expert stated the practice of widows marrying their deceased husband’s brother was present only in traditional </w:t>
      </w:r>
      <w:r w:rsidR="00FC7BA8">
        <w:rPr>
          <w:rFonts w:ascii="Book Antiqua" w:hAnsi="Book Antiqua" w:cs="Arial"/>
        </w:rPr>
        <w:t>c</w:t>
      </w:r>
      <w:r>
        <w:rPr>
          <w:rFonts w:ascii="Book Antiqua" w:hAnsi="Book Antiqua" w:cs="Arial"/>
        </w:rPr>
        <w:t xml:space="preserve">onservative societies in more rural areas. The Judge had found that the appellant and her husband lived in </w:t>
      </w:r>
      <w:proofErr w:type="spellStart"/>
      <w:r>
        <w:rPr>
          <w:rFonts w:ascii="Book Antiqua" w:hAnsi="Book Antiqua" w:cs="Arial"/>
        </w:rPr>
        <w:t>Sulaymaniyah</w:t>
      </w:r>
      <w:proofErr w:type="spellEnd"/>
      <w:r>
        <w:rPr>
          <w:rFonts w:ascii="Book Antiqua" w:hAnsi="Book Antiqua" w:cs="Arial"/>
        </w:rPr>
        <w:t xml:space="preserve"> and that she had parents to return to and other family members. He submitted the report did not support the argument now advanced.</w:t>
      </w:r>
    </w:p>
    <w:p w14:paraId="76177B50" w14:textId="77777777" w:rsidR="005721AE" w:rsidRDefault="00FC7BA8" w:rsidP="00482961">
      <w:pPr>
        <w:numPr>
          <w:ilvl w:val="1"/>
          <w:numId w:val="3"/>
        </w:numPr>
        <w:spacing w:before="120"/>
        <w:jc w:val="both"/>
        <w:rPr>
          <w:rFonts w:ascii="Book Antiqua" w:hAnsi="Book Antiqua" w:cs="Arial"/>
        </w:rPr>
      </w:pPr>
      <w:r>
        <w:rPr>
          <w:rFonts w:ascii="Book Antiqua" w:hAnsi="Book Antiqua" w:cs="Arial"/>
        </w:rPr>
        <w:t>T</w:t>
      </w:r>
      <w:r w:rsidR="005721AE">
        <w:rPr>
          <w:rFonts w:ascii="Book Antiqua" w:hAnsi="Book Antiqua" w:cs="Arial"/>
        </w:rPr>
        <w:t xml:space="preserve">he Tribunal was entitled to find the appellant was not poor. The expert suggested that if the widow was poor she would usually become dependent on her husband’s family and sometimes may be forced to marry one of her husband’s brothers. However, he submitted there was evidence that the appellant had cash and jewellery available to her, valued at $12,000, and her </w:t>
      </w:r>
      <w:r w:rsidR="005721AE">
        <w:rPr>
          <w:rFonts w:ascii="Book Antiqua" w:hAnsi="Book Antiqua" w:cs="Arial"/>
        </w:rPr>
        <w:lastRenderedPageBreak/>
        <w:t>argument that she would have had to return to her deceased husband’s family therefore had no merit.</w:t>
      </w:r>
    </w:p>
    <w:p w14:paraId="7DE29F60" w14:textId="77777777" w:rsidR="00796B83" w:rsidRDefault="00796B83" w:rsidP="00482961">
      <w:pPr>
        <w:numPr>
          <w:ilvl w:val="1"/>
          <w:numId w:val="3"/>
        </w:numPr>
        <w:spacing w:before="12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submitted that the remaining grounds of appeal amounted to nothing more than a disagreement. </w:t>
      </w:r>
    </w:p>
    <w:p w14:paraId="7A0914B1" w14:textId="77777777" w:rsidR="00796B83" w:rsidRDefault="00796B83" w:rsidP="00482961">
      <w:pPr>
        <w:numPr>
          <w:ilvl w:val="1"/>
          <w:numId w:val="3"/>
        </w:numPr>
        <w:spacing w:before="120"/>
        <w:jc w:val="both"/>
        <w:rPr>
          <w:rFonts w:ascii="Book Antiqua" w:hAnsi="Book Antiqua" w:cs="Arial"/>
        </w:rPr>
      </w:pPr>
      <w:r>
        <w:rPr>
          <w:rFonts w:ascii="Book Antiqua" w:hAnsi="Book Antiqua" w:cs="Arial"/>
        </w:rPr>
        <w:t xml:space="preserve">The Judge considered the procedure that was in place to enable the appellant to obtain “probate” and at paragraph 33 of her decision he set out how an inheritance is dealt with by the courts in the IKR. </w:t>
      </w:r>
      <w:r w:rsidR="00FC7BA8">
        <w:rPr>
          <w:rFonts w:ascii="Book Antiqua" w:hAnsi="Book Antiqua" w:cs="Arial"/>
        </w:rPr>
        <w:t xml:space="preserve">He had </w:t>
      </w:r>
      <w:r>
        <w:rPr>
          <w:rFonts w:ascii="Book Antiqua" w:hAnsi="Book Antiqua" w:cs="Arial"/>
        </w:rPr>
        <w:t>considered the explanation put forward by the appellant and rejected</w:t>
      </w:r>
      <w:r w:rsidR="00FC7BA8">
        <w:rPr>
          <w:rFonts w:ascii="Book Antiqua" w:hAnsi="Book Antiqua" w:cs="Arial"/>
        </w:rPr>
        <w:t xml:space="preserve"> it</w:t>
      </w:r>
      <w:r>
        <w:rPr>
          <w:rFonts w:ascii="Book Antiqua" w:hAnsi="Book Antiqua" w:cs="Arial"/>
        </w:rPr>
        <w:t xml:space="preserve">. </w:t>
      </w:r>
    </w:p>
    <w:p w14:paraId="496BBD04" w14:textId="77777777" w:rsidR="00796B83" w:rsidRDefault="00796B83" w:rsidP="00482961">
      <w:pPr>
        <w:numPr>
          <w:ilvl w:val="1"/>
          <w:numId w:val="3"/>
        </w:numPr>
        <w:spacing w:before="120"/>
        <w:jc w:val="both"/>
        <w:rPr>
          <w:rFonts w:ascii="Book Antiqua" w:hAnsi="Book Antiqua" w:cs="Arial"/>
        </w:rPr>
      </w:pPr>
      <w:r>
        <w:rPr>
          <w:rFonts w:ascii="Book Antiqua" w:hAnsi="Book Antiqua" w:cs="Arial"/>
        </w:rPr>
        <w:t xml:space="preserve">There was no dispute that the appellant had gone for an x-ray and the grounds argued that the Judge erred by making an adverse finding against her for failing to mention this in her interview. The Judge went on to say that the appellant had not produced any medical evidence from </w:t>
      </w:r>
      <w:r w:rsidR="00FC7BA8">
        <w:rPr>
          <w:rFonts w:ascii="Book Antiqua" w:hAnsi="Book Antiqua" w:cs="Arial"/>
        </w:rPr>
        <w:t xml:space="preserve">her </w:t>
      </w:r>
      <w:r>
        <w:rPr>
          <w:rFonts w:ascii="Book Antiqua" w:hAnsi="Book Antiqua" w:cs="Arial"/>
        </w:rPr>
        <w:t xml:space="preserve">time in the United Kingdom to support her claim that she </w:t>
      </w:r>
      <w:r w:rsidR="00FC7BA8">
        <w:rPr>
          <w:rFonts w:ascii="Book Antiqua" w:hAnsi="Book Antiqua" w:cs="Arial"/>
        </w:rPr>
        <w:t xml:space="preserve">had </w:t>
      </w:r>
      <w:r>
        <w:rPr>
          <w:rFonts w:ascii="Book Antiqua" w:hAnsi="Book Antiqua" w:cs="Arial"/>
        </w:rPr>
        <w:t xml:space="preserve">at any time </w:t>
      </w:r>
      <w:r w:rsidR="00EE74B9">
        <w:rPr>
          <w:rFonts w:ascii="Book Antiqua" w:hAnsi="Book Antiqua" w:cs="Arial"/>
        </w:rPr>
        <w:t xml:space="preserve">suffered </w:t>
      </w:r>
      <w:r>
        <w:rPr>
          <w:rFonts w:ascii="Book Antiqua" w:hAnsi="Book Antiqua" w:cs="Arial"/>
        </w:rPr>
        <w:t>or continued to suffer from a mental health disorder that would lead to self-harm. He submitted that this ground was a matter of semantics.</w:t>
      </w:r>
    </w:p>
    <w:p w14:paraId="453F1FE4" w14:textId="77777777" w:rsidR="00796B83" w:rsidRDefault="00796B83" w:rsidP="00482961">
      <w:pPr>
        <w:numPr>
          <w:ilvl w:val="1"/>
          <w:numId w:val="3"/>
        </w:numPr>
        <w:spacing w:before="120"/>
        <w:jc w:val="both"/>
        <w:rPr>
          <w:rFonts w:ascii="Book Antiqua" w:hAnsi="Book Antiqua" w:cs="Arial"/>
        </w:rPr>
      </w:pPr>
      <w:r>
        <w:rPr>
          <w:rFonts w:ascii="Book Antiqua" w:hAnsi="Book Antiqua" w:cs="Arial"/>
        </w:rPr>
        <w:t xml:space="preserve">With regard to whether her brother-in-law did make advances and whether she had embellished her account Mr </w:t>
      </w:r>
      <w:proofErr w:type="spellStart"/>
      <w:r>
        <w:rPr>
          <w:rFonts w:ascii="Book Antiqua" w:hAnsi="Book Antiqua" w:cs="Arial"/>
        </w:rPr>
        <w:t>McVeety</w:t>
      </w:r>
      <w:proofErr w:type="spellEnd"/>
      <w:r>
        <w:rPr>
          <w:rFonts w:ascii="Book Antiqua" w:hAnsi="Book Antiqua" w:cs="Arial"/>
        </w:rPr>
        <w:t xml:space="preserve"> submitted both this finding and the subsequent finding that </w:t>
      </w:r>
      <w:r w:rsidR="00FC7BA8">
        <w:rPr>
          <w:rFonts w:ascii="Book Antiqua" w:hAnsi="Book Antiqua" w:cs="Arial"/>
        </w:rPr>
        <w:t xml:space="preserve">the Judge </w:t>
      </w:r>
      <w:r>
        <w:rPr>
          <w:rFonts w:ascii="Book Antiqua" w:hAnsi="Book Antiqua" w:cs="Arial"/>
        </w:rPr>
        <w:t xml:space="preserve">did not find it credible he would not have attended at the appellant’s mother’s house to take her back were both open to </w:t>
      </w:r>
      <w:r w:rsidR="00FC7BA8">
        <w:rPr>
          <w:rFonts w:ascii="Book Antiqua" w:hAnsi="Book Antiqua" w:cs="Arial"/>
        </w:rPr>
        <w:t>the Judge</w:t>
      </w:r>
      <w:r>
        <w:rPr>
          <w:rFonts w:ascii="Book Antiqua" w:hAnsi="Book Antiqua" w:cs="Arial"/>
        </w:rPr>
        <w:t>. If her brother-in-law was as powerful as she claimed</w:t>
      </w:r>
      <w:r w:rsidR="00EE74B9">
        <w:rPr>
          <w:rFonts w:ascii="Book Antiqua" w:hAnsi="Book Antiqua" w:cs="Arial"/>
        </w:rPr>
        <w:t>,</w:t>
      </w:r>
      <w:r>
        <w:rPr>
          <w:rFonts w:ascii="Book Antiqua" w:hAnsi="Book Antiqua" w:cs="Arial"/>
        </w:rPr>
        <w:t xml:space="preserve"> </w:t>
      </w:r>
      <w:r w:rsidR="00FC7BA8">
        <w:rPr>
          <w:rFonts w:ascii="Book Antiqua" w:hAnsi="Book Antiqua" w:cs="Arial"/>
        </w:rPr>
        <w:t xml:space="preserve">then </w:t>
      </w:r>
      <w:r>
        <w:rPr>
          <w:rFonts w:ascii="Book Antiqua" w:hAnsi="Book Antiqua" w:cs="Arial"/>
        </w:rPr>
        <w:t>he submitted the Judge was entitled to make that finding that he would have known about her attempts to sell jewellery. He submitted that this finding when taken in the round was sustainable.</w:t>
      </w:r>
    </w:p>
    <w:p w14:paraId="21B734B6" w14:textId="77777777" w:rsidR="00796B83" w:rsidRDefault="00FC7BA8" w:rsidP="00482961">
      <w:pPr>
        <w:numPr>
          <w:ilvl w:val="1"/>
          <w:numId w:val="3"/>
        </w:numPr>
        <w:spacing w:before="120"/>
        <w:jc w:val="both"/>
        <w:rPr>
          <w:rFonts w:ascii="Book Antiqua" w:hAnsi="Book Antiqua" w:cs="Arial"/>
        </w:rPr>
      </w:pPr>
      <w:r>
        <w:rPr>
          <w:rFonts w:ascii="Book Antiqua" w:hAnsi="Book Antiqua" w:cs="Arial"/>
        </w:rPr>
        <w:t>T</w:t>
      </w:r>
      <w:r w:rsidR="00796B83">
        <w:rPr>
          <w:rFonts w:ascii="Book Antiqua" w:hAnsi="Book Antiqua" w:cs="Arial"/>
        </w:rPr>
        <w:t xml:space="preserve">he Judge </w:t>
      </w:r>
      <w:r>
        <w:rPr>
          <w:rFonts w:ascii="Book Antiqua" w:hAnsi="Book Antiqua" w:cs="Arial"/>
        </w:rPr>
        <w:t xml:space="preserve">possibly </w:t>
      </w:r>
      <w:r w:rsidR="00796B83">
        <w:rPr>
          <w:rFonts w:ascii="Book Antiqua" w:hAnsi="Book Antiqua" w:cs="Arial"/>
        </w:rPr>
        <w:t xml:space="preserve">should have put an inconsistency to </w:t>
      </w:r>
      <w:r w:rsidR="00EE74B9">
        <w:rPr>
          <w:rFonts w:ascii="Book Antiqua" w:hAnsi="Book Antiqua" w:cs="Arial"/>
        </w:rPr>
        <w:t>the appellant,</w:t>
      </w:r>
      <w:r w:rsidR="00796B83">
        <w:rPr>
          <w:rFonts w:ascii="Book Antiqua" w:hAnsi="Book Antiqua" w:cs="Arial"/>
        </w:rPr>
        <w:t xml:space="preserve"> but he submitted that when looked at in the round it was not material.</w:t>
      </w:r>
    </w:p>
    <w:p w14:paraId="0C6DFD84" w14:textId="77777777" w:rsidR="00796B83" w:rsidRPr="006F382C" w:rsidRDefault="00796B83" w:rsidP="006F382C">
      <w:pPr>
        <w:numPr>
          <w:ilvl w:val="0"/>
          <w:numId w:val="3"/>
        </w:numPr>
        <w:spacing w:before="240"/>
        <w:jc w:val="both"/>
        <w:rPr>
          <w:rFonts w:ascii="Book Antiqua" w:hAnsi="Book Antiqua" w:cs="Arial"/>
        </w:rPr>
      </w:pPr>
      <w:r>
        <w:rPr>
          <w:rFonts w:ascii="Book Antiqua" w:hAnsi="Book Antiqua" w:cs="Arial"/>
        </w:rPr>
        <w:t xml:space="preserve">Miss Sachdev disagreed with the Mr </w:t>
      </w:r>
      <w:proofErr w:type="spellStart"/>
      <w:r>
        <w:rPr>
          <w:rFonts w:ascii="Book Antiqua" w:hAnsi="Book Antiqua" w:cs="Arial"/>
        </w:rPr>
        <w:t>McVeety’s</w:t>
      </w:r>
      <w:proofErr w:type="spellEnd"/>
      <w:r>
        <w:rPr>
          <w:rFonts w:ascii="Book Antiqua" w:hAnsi="Book Antiqua" w:cs="Arial"/>
        </w:rPr>
        <w:t xml:space="preserve"> submissions and submitted that the appellant’s father was a shopkeeper and was not affluent and they did not live in a big city. She relied on the content of the expert report. She submitted that the Tribunal should have given more weight to the fact that the appellant had lost </w:t>
      </w:r>
      <w:r w:rsidR="00FC7BA8">
        <w:rPr>
          <w:rFonts w:ascii="Book Antiqua" w:hAnsi="Book Antiqua" w:cs="Arial"/>
        </w:rPr>
        <w:t xml:space="preserve">her </w:t>
      </w:r>
      <w:r>
        <w:rPr>
          <w:rFonts w:ascii="Book Antiqua" w:hAnsi="Book Antiqua" w:cs="Arial"/>
        </w:rPr>
        <w:t xml:space="preserve">husband when considering why she had not obtained “probate”. She reiterated her argument that an x-ray was not the treatment but </w:t>
      </w:r>
      <w:r w:rsidR="00FC7BA8">
        <w:rPr>
          <w:rFonts w:ascii="Book Antiqua" w:hAnsi="Book Antiqua" w:cs="Arial"/>
        </w:rPr>
        <w:t xml:space="preserve">a test </w:t>
      </w:r>
      <w:r>
        <w:rPr>
          <w:rFonts w:ascii="Book Antiqua" w:hAnsi="Book Antiqua" w:cs="Arial"/>
        </w:rPr>
        <w:t>and that any finding on this issue should not have damaged her credibility.</w:t>
      </w:r>
    </w:p>
    <w:p w14:paraId="72A36ACC" w14:textId="77777777" w:rsidR="00EE3D9F" w:rsidRPr="00EE3D9F" w:rsidRDefault="00EE3D9F" w:rsidP="00EE3D9F">
      <w:pPr>
        <w:spacing w:before="240"/>
        <w:ind w:left="567"/>
        <w:jc w:val="both"/>
        <w:rPr>
          <w:rFonts w:ascii="Book Antiqua" w:hAnsi="Book Antiqua" w:cs="Arial"/>
          <w:b/>
          <w:u w:val="single"/>
        </w:rPr>
      </w:pPr>
      <w:r>
        <w:rPr>
          <w:rFonts w:ascii="Book Antiqua" w:hAnsi="Book Antiqua" w:cs="Arial"/>
          <w:b/>
          <w:u w:val="single"/>
        </w:rPr>
        <w:t>FINDINGS</w:t>
      </w:r>
    </w:p>
    <w:p w14:paraId="0244F6A5" w14:textId="77777777" w:rsidR="005D3338" w:rsidRDefault="00FC7BA8" w:rsidP="00716F72">
      <w:pPr>
        <w:numPr>
          <w:ilvl w:val="0"/>
          <w:numId w:val="3"/>
        </w:numPr>
        <w:spacing w:before="240"/>
        <w:jc w:val="both"/>
        <w:rPr>
          <w:rFonts w:ascii="Book Antiqua" w:hAnsi="Book Antiqua" w:cs="Arial"/>
        </w:rPr>
      </w:pPr>
      <w:bookmarkStart w:id="2" w:name="_Hlk519237881"/>
      <w:bookmarkEnd w:id="1"/>
      <w:r>
        <w:rPr>
          <w:rFonts w:ascii="Book Antiqua" w:hAnsi="Book Antiqua" w:cs="Arial"/>
        </w:rPr>
        <w:t>T</w:t>
      </w:r>
      <w:r w:rsidR="00796B83">
        <w:rPr>
          <w:rFonts w:ascii="Book Antiqua" w:hAnsi="Book Antiqua" w:cs="Arial"/>
        </w:rPr>
        <w:t>he appellant had claimed protection on the grounds that she could not be returned to the IKR because she feared persecution as a member of a particular social group who had offended her family and had been threatened and would be the subject of an honour killing were she to return.</w:t>
      </w:r>
    </w:p>
    <w:p w14:paraId="2AB6C606" w14:textId="77777777" w:rsidR="003F6DC5" w:rsidRDefault="003F6DC5" w:rsidP="00716F72">
      <w:pPr>
        <w:numPr>
          <w:ilvl w:val="0"/>
          <w:numId w:val="3"/>
        </w:numPr>
        <w:spacing w:before="240"/>
        <w:jc w:val="both"/>
        <w:rPr>
          <w:rFonts w:ascii="Book Antiqua" w:hAnsi="Book Antiqua" w:cs="Arial"/>
        </w:rPr>
      </w:pPr>
      <w:r>
        <w:rPr>
          <w:rFonts w:ascii="Book Antiqua" w:hAnsi="Book Antiqua" w:cs="Arial"/>
        </w:rPr>
        <w:t>In a very detailed decision the Judge rejected her claim, with reference to both objective evidence, case law and an expert report, and made adverse credibility findings on her account.</w:t>
      </w:r>
    </w:p>
    <w:p w14:paraId="40D7A2DB" w14:textId="77777777" w:rsidR="003F6DC5" w:rsidRDefault="003F6DC5" w:rsidP="00716F72">
      <w:pPr>
        <w:numPr>
          <w:ilvl w:val="0"/>
          <w:numId w:val="3"/>
        </w:numPr>
        <w:spacing w:before="240"/>
        <w:jc w:val="both"/>
        <w:rPr>
          <w:rFonts w:ascii="Book Antiqua" w:hAnsi="Book Antiqua" w:cs="Arial"/>
        </w:rPr>
      </w:pPr>
      <w:r>
        <w:rPr>
          <w:rFonts w:ascii="Book Antiqua" w:hAnsi="Book Antiqua" w:cs="Arial"/>
        </w:rPr>
        <w:lastRenderedPageBreak/>
        <w:t>A number of the grounds centred on the expert evidence of Dr Fatah and objective evidence contained within the bundle. Miss Sachdev argued that the Judge had erred (a) by not making findings on whether the appellant would be at risk as a member of a traditional family; (b) by making a finding the appellant was not poor and (c) by making an adverse credibility finding on the time taken by her to deal with her husband’s estate.</w:t>
      </w:r>
    </w:p>
    <w:p w14:paraId="2B8F91C3" w14:textId="77777777" w:rsidR="00FC7BA8" w:rsidRDefault="003F6DC5" w:rsidP="00F51A86">
      <w:pPr>
        <w:numPr>
          <w:ilvl w:val="0"/>
          <w:numId w:val="3"/>
        </w:numPr>
        <w:spacing w:before="240"/>
        <w:jc w:val="both"/>
        <w:rPr>
          <w:rFonts w:ascii="Book Antiqua" w:hAnsi="Book Antiqua" w:cs="Arial"/>
        </w:rPr>
      </w:pPr>
      <w:r w:rsidRPr="003F6DC5">
        <w:rPr>
          <w:rFonts w:ascii="Book Antiqua" w:hAnsi="Book Antiqua" w:cs="Arial"/>
        </w:rPr>
        <w:t>I have considered both the decision, the expert report and evidence when considering these specific three issues. Miss Sachdev relied to a large extent on the expert report</w:t>
      </w:r>
      <w:r w:rsidR="00FC7BA8">
        <w:rPr>
          <w:rFonts w:ascii="Book Antiqua" w:hAnsi="Book Antiqua" w:cs="Arial"/>
        </w:rPr>
        <w:t xml:space="preserve">, </w:t>
      </w:r>
      <w:r w:rsidRPr="003F6DC5">
        <w:rPr>
          <w:rFonts w:ascii="Book Antiqua" w:hAnsi="Book Antiqua" w:cs="Arial"/>
        </w:rPr>
        <w:t>referred to above</w:t>
      </w:r>
      <w:r w:rsidR="00FC7BA8">
        <w:rPr>
          <w:rFonts w:ascii="Book Antiqua" w:hAnsi="Book Antiqua" w:cs="Arial"/>
        </w:rPr>
        <w:t xml:space="preserve">, </w:t>
      </w:r>
      <w:r w:rsidRPr="003F6DC5">
        <w:rPr>
          <w:rFonts w:ascii="Book Antiqua" w:hAnsi="Book Antiqua" w:cs="Arial"/>
        </w:rPr>
        <w:t xml:space="preserve">but </w:t>
      </w:r>
      <w:r w:rsidR="00FC7BA8">
        <w:rPr>
          <w:rFonts w:ascii="Book Antiqua" w:hAnsi="Book Antiqua" w:cs="Arial"/>
        </w:rPr>
        <w:t xml:space="preserve">the expert made clear </w:t>
      </w:r>
      <w:r w:rsidRPr="003F6DC5">
        <w:rPr>
          <w:rFonts w:ascii="Book Antiqua" w:hAnsi="Book Antiqua" w:cs="Arial"/>
        </w:rPr>
        <w:t>the traditional practice of a widow having to marry another family member only came into play if certain conditions were present. In this particular case</w:t>
      </w:r>
      <w:r w:rsidR="00FC7BA8">
        <w:rPr>
          <w:rFonts w:ascii="Book Antiqua" w:hAnsi="Book Antiqua" w:cs="Arial"/>
        </w:rPr>
        <w:t xml:space="preserve">, </w:t>
      </w:r>
      <w:r w:rsidRPr="003F6DC5">
        <w:rPr>
          <w:rFonts w:ascii="Book Antiqua" w:hAnsi="Book Antiqua" w:cs="Arial"/>
        </w:rPr>
        <w:t xml:space="preserve">the Judge concluded none of those conditions were present. </w:t>
      </w:r>
    </w:p>
    <w:p w14:paraId="3DD7B663" w14:textId="77777777" w:rsidR="003F6DC5" w:rsidRPr="003F6DC5" w:rsidRDefault="00FC7BA8" w:rsidP="00F51A86">
      <w:pPr>
        <w:numPr>
          <w:ilvl w:val="0"/>
          <w:numId w:val="3"/>
        </w:numPr>
        <w:spacing w:before="240"/>
        <w:jc w:val="both"/>
        <w:rPr>
          <w:rFonts w:ascii="Book Antiqua" w:hAnsi="Book Antiqua" w:cs="Arial"/>
        </w:rPr>
      </w:pPr>
      <w:r>
        <w:rPr>
          <w:rFonts w:ascii="Book Antiqua" w:hAnsi="Book Antiqua" w:cs="Arial"/>
        </w:rPr>
        <w:t>I have heard submissions from b</w:t>
      </w:r>
      <w:r w:rsidR="003F6DC5" w:rsidRPr="003F6DC5">
        <w:rPr>
          <w:rFonts w:ascii="Book Antiqua" w:hAnsi="Book Antiqua" w:cs="Arial"/>
        </w:rPr>
        <w:t xml:space="preserve">oth Mr </w:t>
      </w:r>
      <w:proofErr w:type="spellStart"/>
      <w:r w:rsidR="003F6DC5" w:rsidRPr="003F6DC5">
        <w:rPr>
          <w:rFonts w:ascii="Book Antiqua" w:hAnsi="Book Antiqua" w:cs="Arial"/>
        </w:rPr>
        <w:t>McVeety</w:t>
      </w:r>
      <w:proofErr w:type="spellEnd"/>
      <w:r w:rsidR="003F6DC5" w:rsidRPr="003F6DC5">
        <w:rPr>
          <w:rFonts w:ascii="Book Antiqua" w:hAnsi="Book Antiqua" w:cs="Arial"/>
        </w:rPr>
        <w:t xml:space="preserve"> and Miss Sachdev</w:t>
      </w:r>
      <w:r w:rsidR="003F6DC5">
        <w:rPr>
          <w:rFonts w:ascii="Book Antiqua" w:hAnsi="Book Antiqua" w:cs="Arial"/>
        </w:rPr>
        <w:t xml:space="preserve"> in so far as they related to paragraphs 4 to 6 of the grounds of appeal.</w:t>
      </w:r>
    </w:p>
    <w:p w14:paraId="177CD7EC" w14:textId="77777777" w:rsidR="003F6DC5" w:rsidRDefault="003F6DC5" w:rsidP="00716F72">
      <w:pPr>
        <w:numPr>
          <w:ilvl w:val="0"/>
          <w:numId w:val="3"/>
        </w:numPr>
        <w:spacing w:before="240"/>
        <w:jc w:val="both"/>
        <w:rPr>
          <w:rFonts w:ascii="Book Antiqua" w:hAnsi="Book Antiqua" w:cs="Arial"/>
        </w:rPr>
      </w:pPr>
      <w:r>
        <w:rPr>
          <w:rFonts w:ascii="Book Antiqua" w:hAnsi="Book Antiqua" w:cs="Arial"/>
        </w:rPr>
        <w:t xml:space="preserve">The appellant and her late husband had no children. According to the evidence the appellant had been living in </w:t>
      </w:r>
      <w:proofErr w:type="spellStart"/>
      <w:r>
        <w:rPr>
          <w:rFonts w:ascii="Book Antiqua" w:hAnsi="Book Antiqua" w:cs="Arial"/>
        </w:rPr>
        <w:t>Qualadze</w:t>
      </w:r>
      <w:proofErr w:type="spellEnd"/>
      <w:r>
        <w:rPr>
          <w:rFonts w:ascii="Book Antiqua" w:hAnsi="Book Antiqua" w:cs="Arial"/>
        </w:rPr>
        <w:t xml:space="preserve"> (</w:t>
      </w:r>
      <w:proofErr w:type="spellStart"/>
      <w:r>
        <w:rPr>
          <w:rFonts w:ascii="Book Antiqua" w:hAnsi="Book Antiqua" w:cs="Arial"/>
        </w:rPr>
        <w:t>Qaladiza</w:t>
      </w:r>
      <w:proofErr w:type="spellEnd"/>
      <w:r>
        <w:rPr>
          <w:rFonts w:ascii="Book Antiqua" w:hAnsi="Book Antiqua" w:cs="Arial"/>
        </w:rPr>
        <w:t>) and Miss Sachdev submitted that this was not a rural area. She submitted no evidence to support this argument and background evidence suggests that it is a city of over 120,000 inhabitants.</w:t>
      </w:r>
      <w:r w:rsidR="00981F5B">
        <w:rPr>
          <w:rFonts w:ascii="Book Antiqua" w:hAnsi="Book Antiqua" w:cs="Arial"/>
        </w:rPr>
        <w:t xml:space="preserve"> She originated from </w:t>
      </w:r>
      <w:proofErr w:type="spellStart"/>
      <w:r w:rsidR="00981F5B">
        <w:rPr>
          <w:rFonts w:ascii="Book Antiqua" w:hAnsi="Book Antiqua" w:cs="Arial"/>
        </w:rPr>
        <w:t>Ranya</w:t>
      </w:r>
      <w:proofErr w:type="spellEnd"/>
      <w:r w:rsidR="00981F5B">
        <w:rPr>
          <w:rFonts w:ascii="Book Antiqua" w:hAnsi="Book Antiqua" w:cs="Arial"/>
        </w:rPr>
        <w:t xml:space="preserve">, which is also a large </w:t>
      </w:r>
      <w:r w:rsidR="00FC7BA8">
        <w:rPr>
          <w:rFonts w:ascii="Book Antiqua" w:hAnsi="Book Antiqua" w:cs="Arial"/>
        </w:rPr>
        <w:t>city</w:t>
      </w:r>
      <w:r w:rsidR="00981F5B">
        <w:rPr>
          <w:rFonts w:ascii="Book Antiqua" w:hAnsi="Book Antiqua" w:cs="Arial"/>
        </w:rPr>
        <w:t xml:space="preserve"> of over 200,000 in population. Additionally, whilst Miss Sachdev submitted that </w:t>
      </w:r>
      <w:r w:rsidR="00FC7BA8">
        <w:rPr>
          <w:rFonts w:ascii="Book Antiqua" w:hAnsi="Book Antiqua" w:cs="Arial"/>
        </w:rPr>
        <w:t xml:space="preserve">his </w:t>
      </w:r>
      <w:r w:rsidR="00981F5B">
        <w:rPr>
          <w:rFonts w:ascii="Book Antiqua" w:hAnsi="Book Antiqua" w:cs="Arial"/>
        </w:rPr>
        <w:t xml:space="preserve">family did not know of her savings and the value of her jewellery or where it was stored I failed to see the relevance when assessing whether the appellant was poor or had access to some form of resources. I am satisfied that the findings made in paragraph 32 were open to the Judge. There was no evidence to support </w:t>
      </w:r>
      <w:r w:rsidR="00FC7BA8">
        <w:rPr>
          <w:rFonts w:ascii="Book Antiqua" w:hAnsi="Book Antiqua" w:cs="Arial"/>
        </w:rPr>
        <w:t>the appellant’s</w:t>
      </w:r>
      <w:r w:rsidR="00981F5B">
        <w:rPr>
          <w:rFonts w:ascii="Book Antiqua" w:hAnsi="Book Antiqua" w:cs="Arial"/>
        </w:rPr>
        <w:t xml:space="preserve"> claim that she would have been obliged to marry her deceased husband’s brother.</w:t>
      </w:r>
    </w:p>
    <w:p w14:paraId="2B74380D" w14:textId="77777777" w:rsidR="00981F5B" w:rsidRDefault="00981F5B" w:rsidP="00716F72">
      <w:pPr>
        <w:numPr>
          <w:ilvl w:val="0"/>
          <w:numId w:val="3"/>
        </w:numPr>
        <w:spacing w:before="240"/>
        <w:jc w:val="both"/>
        <w:rPr>
          <w:rFonts w:ascii="Book Antiqua" w:hAnsi="Book Antiqua" w:cs="Arial"/>
        </w:rPr>
      </w:pPr>
      <w:r>
        <w:rPr>
          <w:rFonts w:ascii="Book Antiqua" w:hAnsi="Book Antiqua" w:cs="Arial"/>
        </w:rPr>
        <w:t xml:space="preserve">The appellant had family to whom she could turn to and she clearly had access to funds. She could not claim she had no income when she was able, quite quickly, to </w:t>
      </w:r>
      <w:r w:rsidR="00FC7BA8">
        <w:rPr>
          <w:rFonts w:ascii="Book Antiqua" w:hAnsi="Book Antiqua" w:cs="Arial"/>
        </w:rPr>
        <w:t>raise</w:t>
      </w:r>
      <w:r>
        <w:rPr>
          <w:rFonts w:ascii="Book Antiqua" w:hAnsi="Book Antiqua" w:cs="Arial"/>
        </w:rPr>
        <w:t xml:space="preserve"> $12,000. On the basis of my finding that the Judge was entitled to conclude she did not have to live with her husband’s family I further find that </w:t>
      </w:r>
      <w:r w:rsidR="00FC7BA8">
        <w:rPr>
          <w:rFonts w:ascii="Book Antiqua" w:hAnsi="Book Antiqua" w:cs="Arial"/>
        </w:rPr>
        <w:t>the appellant</w:t>
      </w:r>
      <w:r>
        <w:rPr>
          <w:rFonts w:ascii="Book Antiqua" w:hAnsi="Book Antiqua" w:cs="Arial"/>
        </w:rPr>
        <w:t xml:space="preserve"> did not need to fall back on her deceased husband’s family for support because firstly</w:t>
      </w:r>
      <w:r w:rsidR="00FC7BA8">
        <w:rPr>
          <w:rFonts w:ascii="Book Antiqua" w:hAnsi="Book Antiqua" w:cs="Arial"/>
        </w:rPr>
        <w:t>,</w:t>
      </w:r>
      <w:r>
        <w:rPr>
          <w:rFonts w:ascii="Book Antiqua" w:hAnsi="Book Antiqua" w:cs="Arial"/>
        </w:rPr>
        <w:t xml:space="preserve"> </w:t>
      </w:r>
      <w:r w:rsidR="00FC7BA8">
        <w:rPr>
          <w:rFonts w:ascii="Book Antiqua" w:hAnsi="Book Antiqua" w:cs="Arial"/>
        </w:rPr>
        <w:t xml:space="preserve">she </w:t>
      </w:r>
      <w:r>
        <w:rPr>
          <w:rFonts w:ascii="Book Antiqua" w:hAnsi="Book Antiqua" w:cs="Arial"/>
        </w:rPr>
        <w:t>had recourse to funds and secondly, she had the support of her own family network.</w:t>
      </w:r>
    </w:p>
    <w:p w14:paraId="249710DC" w14:textId="77777777" w:rsidR="00981F5B" w:rsidRDefault="00981F5B" w:rsidP="00716F72">
      <w:pPr>
        <w:numPr>
          <w:ilvl w:val="0"/>
          <w:numId w:val="3"/>
        </w:numPr>
        <w:spacing w:before="240"/>
        <w:jc w:val="both"/>
        <w:rPr>
          <w:rFonts w:ascii="Book Antiqua" w:hAnsi="Book Antiqua" w:cs="Arial"/>
        </w:rPr>
      </w:pPr>
      <w:r>
        <w:rPr>
          <w:rFonts w:ascii="Book Antiqua" w:hAnsi="Book Antiqua" w:cs="Arial"/>
        </w:rPr>
        <w:t>The Judge was critical about the appellant remaining in Iraq for four years based on the account she had given. Whilst she may, understandably, had been depressed following her husband’s death the Judges finding she had the support of her family to enable her to deal with the inheritance procedures</w:t>
      </w:r>
      <w:r w:rsidR="00645E57">
        <w:rPr>
          <w:rFonts w:ascii="Book Antiqua" w:hAnsi="Book Antiqua" w:cs="Arial"/>
        </w:rPr>
        <w:t xml:space="preserve"> was a finding open to the Judge </w:t>
      </w:r>
      <w:r w:rsidR="00FC7BA8">
        <w:rPr>
          <w:rFonts w:ascii="Book Antiqua" w:hAnsi="Book Antiqua" w:cs="Arial"/>
        </w:rPr>
        <w:t>because he had</w:t>
      </w:r>
      <w:r w:rsidR="00645E57">
        <w:rPr>
          <w:rFonts w:ascii="Book Antiqua" w:hAnsi="Book Antiqua" w:cs="Arial"/>
        </w:rPr>
        <w:t xml:space="preserve"> rejected her claim that her deceased husband’s brother had control over her. Miss Sachdev’s submission is merely a reiteration of the argument advanced to the Judge and that account was rejected</w:t>
      </w:r>
      <w:r w:rsidR="00FC7BA8">
        <w:rPr>
          <w:rFonts w:ascii="Book Antiqua" w:hAnsi="Book Antiqua" w:cs="Arial"/>
        </w:rPr>
        <w:t xml:space="preserve"> by him with reasons</w:t>
      </w:r>
      <w:r w:rsidR="00645E57">
        <w:rPr>
          <w:rFonts w:ascii="Book Antiqua" w:hAnsi="Book Antiqua" w:cs="Arial"/>
        </w:rPr>
        <w:t>.</w:t>
      </w:r>
    </w:p>
    <w:p w14:paraId="526E7BFF" w14:textId="77777777" w:rsidR="00981F5B" w:rsidRDefault="00981F5B" w:rsidP="00716F72">
      <w:pPr>
        <w:numPr>
          <w:ilvl w:val="0"/>
          <w:numId w:val="3"/>
        </w:numPr>
        <w:spacing w:before="240"/>
        <w:jc w:val="both"/>
        <w:rPr>
          <w:rFonts w:ascii="Book Antiqua" w:hAnsi="Book Antiqua" w:cs="Arial"/>
        </w:rPr>
      </w:pPr>
      <w:r>
        <w:rPr>
          <w:rFonts w:ascii="Book Antiqua" w:hAnsi="Book Antiqua" w:cs="Arial"/>
        </w:rPr>
        <w:t xml:space="preserve">The Judge is criticised for not taking into account the fact she had suffered a bereavement. In paragraphs 30 and 31 the Judge considered her mental and medical condition </w:t>
      </w:r>
      <w:r w:rsidR="008C4BD5">
        <w:rPr>
          <w:rFonts w:ascii="Book Antiqua" w:hAnsi="Book Antiqua" w:cs="Arial"/>
        </w:rPr>
        <w:t xml:space="preserve">but </w:t>
      </w:r>
      <w:r>
        <w:rPr>
          <w:rFonts w:ascii="Book Antiqua" w:hAnsi="Book Antiqua" w:cs="Arial"/>
        </w:rPr>
        <w:t xml:space="preserve">there was an absence of medical evidence before the Judge and whilst I </w:t>
      </w:r>
      <w:r>
        <w:rPr>
          <w:rFonts w:ascii="Book Antiqua" w:hAnsi="Book Antiqua" w:cs="Arial"/>
        </w:rPr>
        <w:lastRenderedPageBreak/>
        <w:t xml:space="preserve">accept an x-ray </w:t>
      </w:r>
      <w:r w:rsidR="008C4BD5">
        <w:rPr>
          <w:rFonts w:ascii="Book Antiqua" w:hAnsi="Book Antiqua" w:cs="Arial"/>
        </w:rPr>
        <w:t xml:space="preserve">is not a treatment I am satisfied </w:t>
      </w:r>
      <w:r>
        <w:rPr>
          <w:rFonts w:ascii="Book Antiqua" w:hAnsi="Book Antiqua" w:cs="Arial"/>
        </w:rPr>
        <w:t>the Judge</w:t>
      </w:r>
      <w:r w:rsidR="008C4BD5">
        <w:rPr>
          <w:rFonts w:ascii="Book Antiqua" w:hAnsi="Book Antiqua" w:cs="Arial"/>
        </w:rPr>
        <w:t xml:space="preserve">, </w:t>
      </w:r>
      <w:r>
        <w:rPr>
          <w:rFonts w:ascii="Book Antiqua" w:hAnsi="Book Antiqua" w:cs="Arial"/>
        </w:rPr>
        <w:t>at paragraph 31</w:t>
      </w:r>
      <w:r w:rsidR="008C4BD5">
        <w:rPr>
          <w:rFonts w:ascii="Book Antiqua" w:hAnsi="Book Antiqua" w:cs="Arial"/>
        </w:rPr>
        <w:t xml:space="preserve">, </w:t>
      </w:r>
      <w:r>
        <w:rPr>
          <w:rFonts w:ascii="Book Antiqua" w:hAnsi="Book Antiqua" w:cs="Arial"/>
        </w:rPr>
        <w:t xml:space="preserve">did not make an adverse finding on this point but did make an adverse finding that she had failed to produce any medical evidence to support her claims that she had at any time been suffering from a mental health disorder that would </w:t>
      </w:r>
      <w:r w:rsidR="008C4BD5">
        <w:rPr>
          <w:rFonts w:ascii="Book Antiqua" w:hAnsi="Book Antiqua" w:cs="Arial"/>
        </w:rPr>
        <w:t>lead</w:t>
      </w:r>
      <w:r>
        <w:rPr>
          <w:rFonts w:ascii="Book Antiqua" w:hAnsi="Book Antiqua" w:cs="Arial"/>
        </w:rPr>
        <w:t xml:space="preserve"> her to self-harm.</w:t>
      </w:r>
    </w:p>
    <w:p w14:paraId="7397C8B0" w14:textId="77777777" w:rsidR="008C4BD5" w:rsidRDefault="00645E57" w:rsidP="00716F72">
      <w:pPr>
        <w:numPr>
          <w:ilvl w:val="0"/>
          <w:numId w:val="3"/>
        </w:numPr>
        <w:spacing w:before="240"/>
        <w:jc w:val="both"/>
        <w:rPr>
          <w:rFonts w:ascii="Book Antiqua" w:hAnsi="Book Antiqua" w:cs="Arial"/>
        </w:rPr>
      </w:pPr>
      <w:r>
        <w:rPr>
          <w:rFonts w:ascii="Book Antiqua" w:hAnsi="Book Antiqua" w:cs="Arial"/>
        </w:rPr>
        <w:t>The matters raised at paragraphs 8, 9 and 10 in the grounds of appeal are a disagreement with the Judge</w:t>
      </w:r>
      <w:r w:rsidR="00D82918">
        <w:rPr>
          <w:rFonts w:ascii="Book Antiqua" w:hAnsi="Book Antiqua" w:cs="Arial"/>
        </w:rPr>
        <w:t>’</w:t>
      </w:r>
      <w:r>
        <w:rPr>
          <w:rFonts w:ascii="Book Antiqua" w:hAnsi="Book Antiqua" w:cs="Arial"/>
        </w:rPr>
        <w:t>s conclusions. Those findings have to be considered against the earlier findings</w:t>
      </w:r>
      <w:r w:rsidR="00AD7CE2">
        <w:rPr>
          <w:rFonts w:ascii="Book Antiqua" w:hAnsi="Book Antiqua" w:cs="Arial"/>
        </w:rPr>
        <w:t xml:space="preserve"> which the Judge had made regarding her background. </w:t>
      </w:r>
    </w:p>
    <w:p w14:paraId="20FB0D16" w14:textId="77777777" w:rsidR="008C4BD5" w:rsidRDefault="00AD7CE2" w:rsidP="00716F72">
      <w:pPr>
        <w:numPr>
          <w:ilvl w:val="0"/>
          <w:numId w:val="3"/>
        </w:numPr>
        <w:spacing w:before="240"/>
        <w:jc w:val="both"/>
        <w:rPr>
          <w:rFonts w:ascii="Book Antiqua" w:hAnsi="Book Antiqua" w:cs="Arial"/>
        </w:rPr>
      </w:pPr>
      <w:r>
        <w:rPr>
          <w:rFonts w:ascii="Book Antiqua" w:hAnsi="Book Antiqua" w:cs="Arial"/>
        </w:rPr>
        <w:t xml:space="preserve">In particular, the Judge considered her account of threats made but rejected her account that the brother-in-law would not have attended at the house </w:t>
      </w:r>
      <w:r w:rsidR="008C4BD5">
        <w:rPr>
          <w:rFonts w:ascii="Book Antiqua" w:hAnsi="Book Antiqua" w:cs="Arial"/>
        </w:rPr>
        <w:t>in circumstances where</w:t>
      </w:r>
      <w:r>
        <w:rPr>
          <w:rFonts w:ascii="Book Antiqua" w:hAnsi="Book Antiqua" w:cs="Arial"/>
        </w:rPr>
        <w:t xml:space="preserve"> she claimed he was an influential member of the KDP. </w:t>
      </w:r>
    </w:p>
    <w:p w14:paraId="5A31D64A" w14:textId="77777777" w:rsidR="008C4BD5" w:rsidRDefault="00AD7CE2" w:rsidP="00716F72">
      <w:pPr>
        <w:numPr>
          <w:ilvl w:val="0"/>
          <w:numId w:val="3"/>
        </w:numPr>
        <w:spacing w:before="240"/>
        <w:jc w:val="both"/>
        <w:rPr>
          <w:rFonts w:ascii="Book Antiqua" w:hAnsi="Book Antiqua" w:cs="Arial"/>
        </w:rPr>
      </w:pPr>
      <w:r>
        <w:rPr>
          <w:rFonts w:ascii="Book Antiqua" w:hAnsi="Book Antiqua" w:cs="Arial"/>
        </w:rPr>
        <w:t xml:space="preserve">The Judge also assessed and considered her interview </w:t>
      </w:r>
      <w:r w:rsidR="008C4BD5">
        <w:rPr>
          <w:rFonts w:ascii="Book Antiqua" w:hAnsi="Book Antiqua" w:cs="Arial"/>
        </w:rPr>
        <w:t xml:space="preserve">about her brother-in-law </w:t>
      </w:r>
      <w:r>
        <w:rPr>
          <w:rFonts w:ascii="Book Antiqua" w:hAnsi="Book Antiqua" w:cs="Arial"/>
        </w:rPr>
        <w:t>and whilst the statement may have been submitted to the respondent the adverse finding that she has embellished her claim is one that has to be looked at against the whole evidence and not in isolation. On its own</w:t>
      </w:r>
      <w:r w:rsidR="008C4BD5">
        <w:rPr>
          <w:rFonts w:ascii="Book Antiqua" w:hAnsi="Book Antiqua" w:cs="Arial"/>
        </w:rPr>
        <w:t>,</w:t>
      </w:r>
      <w:r>
        <w:rPr>
          <w:rFonts w:ascii="Book Antiqua" w:hAnsi="Book Antiqua" w:cs="Arial"/>
        </w:rPr>
        <w:t xml:space="preserve"> it could be argued the Judge had made an error but when considered against the </w:t>
      </w:r>
      <w:r w:rsidR="008C4BD5">
        <w:rPr>
          <w:rFonts w:ascii="Book Antiqua" w:hAnsi="Book Antiqua" w:cs="Arial"/>
        </w:rPr>
        <w:t xml:space="preserve">totality of </w:t>
      </w:r>
      <w:r>
        <w:rPr>
          <w:rFonts w:ascii="Book Antiqua" w:hAnsi="Book Antiqua" w:cs="Arial"/>
        </w:rPr>
        <w:t xml:space="preserve">other findings I am satisfied that any error is not material. </w:t>
      </w:r>
    </w:p>
    <w:p w14:paraId="44F6B1CB" w14:textId="77777777" w:rsidR="00645E57" w:rsidRDefault="008C4BD5" w:rsidP="00716F72">
      <w:pPr>
        <w:numPr>
          <w:ilvl w:val="0"/>
          <w:numId w:val="3"/>
        </w:numPr>
        <w:spacing w:before="240"/>
        <w:jc w:val="both"/>
        <w:rPr>
          <w:rFonts w:ascii="Book Antiqua" w:hAnsi="Book Antiqua" w:cs="Arial"/>
        </w:rPr>
      </w:pPr>
      <w:r>
        <w:rPr>
          <w:rFonts w:ascii="Book Antiqua" w:hAnsi="Book Antiqua" w:cs="Arial"/>
        </w:rPr>
        <w:t>T</w:t>
      </w:r>
      <w:r w:rsidR="00AD7CE2">
        <w:rPr>
          <w:rFonts w:ascii="Book Antiqua" w:hAnsi="Book Antiqua" w:cs="Arial"/>
        </w:rPr>
        <w:t xml:space="preserve">he Judge’s findings at paragraph 38 were clearly open to </w:t>
      </w:r>
      <w:r w:rsidR="00EE74B9">
        <w:rPr>
          <w:rFonts w:ascii="Book Antiqua" w:hAnsi="Book Antiqua" w:cs="Arial"/>
        </w:rPr>
        <w:t>him</w:t>
      </w:r>
      <w:r w:rsidR="00AD7CE2">
        <w:rPr>
          <w:rFonts w:ascii="Book Antiqua" w:hAnsi="Book Antiqua" w:cs="Arial"/>
        </w:rPr>
        <w:t xml:space="preserve"> and the argument advanced today are a disagreement with that conclusion.</w:t>
      </w:r>
    </w:p>
    <w:p w14:paraId="470F9B94" w14:textId="77777777" w:rsidR="00AD7CE2" w:rsidRDefault="00AD7CE2" w:rsidP="00716F72">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did accept that an inconsistency in her interview was not put to her</w:t>
      </w:r>
      <w:r w:rsidR="008C4BD5">
        <w:rPr>
          <w:rFonts w:ascii="Book Antiqua" w:hAnsi="Book Antiqua" w:cs="Arial"/>
        </w:rPr>
        <w:t xml:space="preserve">, </w:t>
      </w:r>
      <w:r>
        <w:rPr>
          <w:rFonts w:ascii="Book Antiqua" w:hAnsi="Book Antiqua" w:cs="Arial"/>
        </w:rPr>
        <w:t>but I am satisfied that this would not amount to material error.</w:t>
      </w:r>
    </w:p>
    <w:p w14:paraId="3CD046A5" w14:textId="77777777" w:rsidR="00AD7CE2" w:rsidRDefault="00AD7CE2" w:rsidP="00716F72">
      <w:pPr>
        <w:numPr>
          <w:ilvl w:val="0"/>
          <w:numId w:val="3"/>
        </w:numPr>
        <w:spacing w:before="240"/>
        <w:jc w:val="both"/>
        <w:rPr>
          <w:rFonts w:ascii="Book Antiqua" w:hAnsi="Book Antiqua" w:cs="Arial"/>
        </w:rPr>
      </w:pPr>
      <w:r>
        <w:rPr>
          <w:rFonts w:ascii="Book Antiqua" w:hAnsi="Book Antiqua" w:cs="Arial"/>
        </w:rPr>
        <w:t>This was a detailed and well-constructed decision in which all issues were properly considered. There is no material error in law</w:t>
      </w:r>
    </w:p>
    <w:bookmarkEnd w:id="2"/>
    <w:p w14:paraId="1D330587" w14:textId="7E418E61"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14:paraId="4967E0DD" w14:textId="77777777"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5D3338">
        <w:rPr>
          <w:rFonts w:ascii="Book Antiqua" w:hAnsi="Book Antiqua" w:cs="Arial"/>
        </w:rPr>
        <w:t>no</w:t>
      </w:r>
      <w:r w:rsidR="00CD5CE4">
        <w:rPr>
          <w:rFonts w:ascii="Book Antiqua" w:hAnsi="Book Antiqua" w:cs="Arial"/>
        </w:rPr>
        <w:t xml:space="preserve"> </w:t>
      </w:r>
      <w:r>
        <w:rPr>
          <w:rFonts w:ascii="Book Antiqua" w:hAnsi="Book Antiqua" w:cs="Arial"/>
        </w:rPr>
        <w:t>error in law and</w:t>
      </w:r>
      <w:r w:rsidR="005D3338">
        <w:rPr>
          <w:rFonts w:ascii="Book Antiqua" w:hAnsi="Book Antiqua" w:cs="Arial"/>
        </w:rPr>
        <w:t xml:space="preserve"> I dismiss the appeal.</w:t>
      </w:r>
    </w:p>
    <w:p w14:paraId="312A4971" w14:textId="14CA8FDA" w:rsidR="00864126" w:rsidRDefault="00864126" w:rsidP="000369F5">
      <w:pPr>
        <w:tabs>
          <w:tab w:val="left" w:pos="2520"/>
        </w:tabs>
        <w:jc w:val="both"/>
        <w:rPr>
          <w:rFonts w:ascii="Book Antiqua" w:hAnsi="Book Antiqua" w:cs="Arial"/>
        </w:rPr>
      </w:pPr>
    </w:p>
    <w:p w14:paraId="39FD6621" w14:textId="77777777" w:rsidR="00482961" w:rsidRDefault="00482961" w:rsidP="000369F5">
      <w:pPr>
        <w:tabs>
          <w:tab w:val="left" w:pos="2520"/>
        </w:tabs>
        <w:jc w:val="both"/>
        <w:rPr>
          <w:rFonts w:ascii="Book Antiqua" w:hAnsi="Book Antiqua" w:cs="Arial"/>
        </w:rPr>
      </w:pPr>
    </w:p>
    <w:p w14:paraId="3E502EA5" w14:textId="77777777"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F82F31">
        <w:rPr>
          <w:rFonts w:ascii="Book Antiqua" w:hAnsi="Book Antiqua" w:cs="Arial"/>
        </w:rPr>
        <w:t>25</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14:paraId="251A4B6E" w14:textId="77777777" w:rsidR="00F90160" w:rsidRDefault="00F90160" w:rsidP="00864126">
      <w:pPr>
        <w:tabs>
          <w:tab w:val="left" w:pos="2520"/>
        </w:tabs>
        <w:jc w:val="both"/>
        <w:rPr>
          <w:rFonts w:ascii="Book Antiqua" w:hAnsi="Book Antiqua" w:cs="Arial"/>
        </w:rPr>
      </w:pPr>
    </w:p>
    <w:p w14:paraId="7CCC8C7B" w14:textId="65F808AC" w:rsidR="00F90160" w:rsidRDefault="001B1081"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14:anchorId="19E14CFF" wp14:editId="4850FC9E">
            <wp:extent cx="1038225"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571500"/>
                    </a:xfrm>
                    <a:prstGeom prst="rect">
                      <a:avLst/>
                    </a:prstGeom>
                    <a:noFill/>
                    <a:ln>
                      <a:noFill/>
                    </a:ln>
                  </pic:spPr>
                </pic:pic>
              </a:graphicData>
            </a:graphic>
          </wp:inline>
        </w:drawing>
      </w:r>
    </w:p>
    <w:p w14:paraId="4E363C80" w14:textId="77777777"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p w14:paraId="11BBD10C" w14:textId="77777777" w:rsidR="005D3338" w:rsidRDefault="005D3338" w:rsidP="000369F5">
      <w:pPr>
        <w:tabs>
          <w:tab w:val="left" w:pos="2520"/>
        </w:tabs>
        <w:jc w:val="both"/>
        <w:rPr>
          <w:rFonts w:ascii="Book Antiqua" w:hAnsi="Book Antiqua" w:cs="Arial"/>
        </w:rPr>
      </w:pPr>
    </w:p>
    <w:sectPr w:rsidR="005D3338"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1EDB5" w14:textId="77777777" w:rsidR="00F136F9" w:rsidRDefault="00F136F9">
      <w:r>
        <w:separator/>
      </w:r>
    </w:p>
  </w:endnote>
  <w:endnote w:type="continuationSeparator" w:id="0">
    <w:p w14:paraId="4983EE03" w14:textId="77777777" w:rsidR="00F136F9" w:rsidRDefault="00F13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F51C5" w14:textId="70EF975E"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74C81">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F803" w14:textId="77777777"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33596" w14:textId="77777777" w:rsidR="00F136F9" w:rsidRDefault="00F136F9">
      <w:r>
        <w:separator/>
      </w:r>
    </w:p>
  </w:footnote>
  <w:footnote w:type="continuationSeparator" w:id="0">
    <w:p w14:paraId="348E418B" w14:textId="77777777" w:rsidR="00F136F9" w:rsidRDefault="00F13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66722" w14:textId="77777777"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4835E2">
      <w:rPr>
        <w:rFonts w:ascii="Book Antiqua" w:hAnsi="Book Antiqua" w:cs="Arial"/>
        <w:sz w:val="16"/>
        <w:szCs w:val="16"/>
      </w:rPr>
      <w:t>PA</w:t>
    </w:r>
    <w:r w:rsidRPr="00D97AF0">
      <w:rPr>
        <w:rFonts w:ascii="Book Antiqua" w:hAnsi="Book Antiqua" w:cs="Arial"/>
        <w:sz w:val="16"/>
        <w:szCs w:val="16"/>
      </w:rPr>
      <w:t>/</w:t>
    </w:r>
    <w:r w:rsidR="004835E2">
      <w:rPr>
        <w:rFonts w:ascii="Book Antiqua" w:hAnsi="Book Antiqua" w:cs="Arial"/>
        <w:sz w:val="16"/>
        <w:szCs w:val="16"/>
      </w:rPr>
      <w:t>00280</w:t>
    </w:r>
    <w:r>
      <w:rPr>
        <w:rFonts w:ascii="Book Antiqua" w:hAnsi="Book Antiqua" w:cs="Arial"/>
        <w:sz w:val="16"/>
        <w:szCs w:val="16"/>
      </w:rPr>
      <w:t>/201</w:t>
    </w:r>
    <w:r w:rsidR="007D466F">
      <w:rPr>
        <w:rFonts w:ascii="Book Antiqua" w:hAnsi="Book Antiqua" w:cs="Arial"/>
        <w:sz w:val="16"/>
        <w:szCs w:val="16"/>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7847D" w14:textId="77777777"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F69F94C-085E-49CD-8F09-C58095C1D60A}"/>
    <w:docVar w:name="dgnword-eventsink" w:val="2266763760640"/>
  </w:docVars>
  <w:rsids>
    <w:rsidRoot w:val="00A25C94"/>
    <w:rsid w:val="00000412"/>
    <w:rsid w:val="00000621"/>
    <w:rsid w:val="000008B1"/>
    <w:rsid w:val="00002241"/>
    <w:rsid w:val="000036C2"/>
    <w:rsid w:val="0000577C"/>
    <w:rsid w:val="00006A0D"/>
    <w:rsid w:val="00033D3D"/>
    <w:rsid w:val="000369F5"/>
    <w:rsid w:val="00060A81"/>
    <w:rsid w:val="00071A7E"/>
    <w:rsid w:val="000746C0"/>
    <w:rsid w:val="00074D1D"/>
    <w:rsid w:val="00080FDA"/>
    <w:rsid w:val="00087037"/>
    <w:rsid w:val="00087B4B"/>
    <w:rsid w:val="00092580"/>
    <w:rsid w:val="00095513"/>
    <w:rsid w:val="000A32A2"/>
    <w:rsid w:val="000D5D94"/>
    <w:rsid w:val="000E483B"/>
    <w:rsid w:val="000E79C1"/>
    <w:rsid w:val="000F1FBC"/>
    <w:rsid w:val="000F2C33"/>
    <w:rsid w:val="001165A7"/>
    <w:rsid w:val="00132F1C"/>
    <w:rsid w:val="00151BB7"/>
    <w:rsid w:val="00167D3A"/>
    <w:rsid w:val="001A1E2C"/>
    <w:rsid w:val="001A2421"/>
    <w:rsid w:val="001B1081"/>
    <w:rsid w:val="001B67F3"/>
    <w:rsid w:val="001C1452"/>
    <w:rsid w:val="001E12F7"/>
    <w:rsid w:val="001F2716"/>
    <w:rsid w:val="001F48D4"/>
    <w:rsid w:val="001F4C3C"/>
    <w:rsid w:val="0020133A"/>
    <w:rsid w:val="00203454"/>
    <w:rsid w:val="00207617"/>
    <w:rsid w:val="00254625"/>
    <w:rsid w:val="00283659"/>
    <w:rsid w:val="00284E94"/>
    <w:rsid w:val="002865D5"/>
    <w:rsid w:val="00290EAB"/>
    <w:rsid w:val="00291D5E"/>
    <w:rsid w:val="002A15E9"/>
    <w:rsid w:val="002A1EC1"/>
    <w:rsid w:val="002A2720"/>
    <w:rsid w:val="002A2AFF"/>
    <w:rsid w:val="002A437B"/>
    <w:rsid w:val="002A5F30"/>
    <w:rsid w:val="002B33A2"/>
    <w:rsid w:val="002C009E"/>
    <w:rsid w:val="002C1535"/>
    <w:rsid w:val="002C25AF"/>
    <w:rsid w:val="002C4E73"/>
    <w:rsid w:val="002D68BF"/>
    <w:rsid w:val="002F05A0"/>
    <w:rsid w:val="002F1559"/>
    <w:rsid w:val="00305FBC"/>
    <w:rsid w:val="0031059E"/>
    <w:rsid w:val="0031445F"/>
    <w:rsid w:val="0033030E"/>
    <w:rsid w:val="00334945"/>
    <w:rsid w:val="0033509F"/>
    <w:rsid w:val="00336CBF"/>
    <w:rsid w:val="00337EBB"/>
    <w:rsid w:val="0035239B"/>
    <w:rsid w:val="003546C8"/>
    <w:rsid w:val="00364F67"/>
    <w:rsid w:val="003756EF"/>
    <w:rsid w:val="00376F8F"/>
    <w:rsid w:val="00385CDF"/>
    <w:rsid w:val="00392D87"/>
    <w:rsid w:val="003A5739"/>
    <w:rsid w:val="003A7CF2"/>
    <w:rsid w:val="003B50F0"/>
    <w:rsid w:val="003C0DF3"/>
    <w:rsid w:val="003C0FE8"/>
    <w:rsid w:val="003C5CE5"/>
    <w:rsid w:val="003C609D"/>
    <w:rsid w:val="003D21BE"/>
    <w:rsid w:val="003D3D7D"/>
    <w:rsid w:val="003E267B"/>
    <w:rsid w:val="003E36BE"/>
    <w:rsid w:val="003E4B44"/>
    <w:rsid w:val="003E7CD1"/>
    <w:rsid w:val="003F6DC5"/>
    <w:rsid w:val="00402B9E"/>
    <w:rsid w:val="00423932"/>
    <w:rsid w:val="004249CB"/>
    <w:rsid w:val="0044127D"/>
    <w:rsid w:val="00442A49"/>
    <w:rsid w:val="004448DB"/>
    <w:rsid w:val="00446C9A"/>
    <w:rsid w:val="00456521"/>
    <w:rsid w:val="00464E5B"/>
    <w:rsid w:val="00465231"/>
    <w:rsid w:val="00477193"/>
    <w:rsid w:val="00482961"/>
    <w:rsid w:val="004835E2"/>
    <w:rsid w:val="004852B5"/>
    <w:rsid w:val="00494161"/>
    <w:rsid w:val="004A1848"/>
    <w:rsid w:val="004B4552"/>
    <w:rsid w:val="004B7003"/>
    <w:rsid w:val="004D0B09"/>
    <w:rsid w:val="004E4682"/>
    <w:rsid w:val="00502F93"/>
    <w:rsid w:val="00507FEC"/>
    <w:rsid w:val="00510F0E"/>
    <w:rsid w:val="00516E48"/>
    <w:rsid w:val="00534696"/>
    <w:rsid w:val="00541D19"/>
    <w:rsid w:val="005479E1"/>
    <w:rsid w:val="005570FD"/>
    <w:rsid w:val="005575EA"/>
    <w:rsid w:val="00564626"/>
    <w:rsid w:val="00564C2A"/>
    <w:rsid w:val="005721AE"/>
    <w:rsid w:val="0057790C"/>
    <w:rsid w:val="00593795"/>
    <w:rsid w:val="005A45CC"/>
    <w:rsid w:val="005A75FF"/>
    <w:rsid w:val="005A7A22"/>
    <w:rsid w:val="005B4942"/>
    <w:rsid w:val="005B7789"/>
    <w:rsid w:val="005C04A8"/>
    <w:rsid w:val="005C3A83"/>
    <w:rsid w:val="005D3338"/>
    <w:rsid w:val="005E6A6E"/>
    <w:rsid w:val="005F03F6"/>
    <w:rsid w:val="006059EF"/>
    <w:rsid w:val="006121C8"/>
    <w:rsid w:val="00622725"/>
    <w:rsid w:val="00640E14"/>
    <w:rsid w:val="00641A27"/>
    <w:rsid w:val="00642840"/>
    <w:rsid w:val="00645E57"/>
    <w:rsid w:val="0064774D"/>
    <w:rsid w:val="0065791C"/>
    <w:rsid w:val="00657E4E"/>
    <w:rsid w:val="00677176"/>
    <w:rsid w:val="00690B8A"/>
    <w:rsid w:val="006A5EDB"/>
    <w:rsid w:val="006C5C33"/>
    <w:rsid w:val="006D1DFA"/>
    <w:rsid w:val="006D506B"/>
    <w:rsid w:val="006D5949"/>
    <w:rsid w:val="006D79F6"/>
    <w:rsid w:val="006E3C90"/>
    <w:rsid w:val="006F08DA"/>
    <w:rsid w:val="006F382C"/>
    <w:rsid w:val="006F6265"/>
    <w:rsid w:val="00704B61"/>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96B83"/>
    <w:rsid w:val="007A1F28"/>
    <w:rsid w:val="007A3249"/>
    <w:rsid w:val="007A3ED6"/>
    <w:rsid w:val="007B0824"/>
    <w:rsid w:val="007B0892"/>
    <w:rsid w:val="007C2556"/>
    <w:rsid w:val="007D466F"/>
    <w:rsid w:val="007E544D"/>
    <w:rsid w:val="007F2507"/>
    <w:rsid w:val="008303B8"/>
    <w:rsid w:val="00833DCE"/>
    <w:rsid w:val="00836A93"/>
    <w:rsid w:val="00841581"/>
    <w:rsid w:val="00842418"/>
    <w:rsid w:val="00845317"/>
    <w:rsid w:val="008458D6"/>
    <w:rsid w:val="0084729B"/>
    <w:rsid w:val="00864126"/>
    <w:rsid w:val="0087166E"/>
    <w:rsid w:val="00871D34"/>
    <w:rsid w:val="00876A5B"/>
    <w:rsid w:val="00882779"/>
    <w:rsid w:val="00887B2E"/>
    <w:rsid w:val="00892884"/>
    <w:rsid w:val="008B270C"/>
    <w:rsid w:val="008C3D3D"/>
    <w:rsid w:val="008C4BD5"/>
    <w:rsid w:val="008D0F1C"/>
    <w:rsid w:val="008D4131"/>
    <w:rsid w:val="008F1932"/>
    <w:rsid w:val="008F294D"/>
    <w:rsid w:val="00911478"/>
    <w:rsid w:val="00916A58"/>
    <w:rsid w:val="00921062"/>
    <w:rsid w:val="0093083E"/>
    <w:rsid w:val="00941D3B"/>
    <w:rsid w:val="00943442"/>
    <w:rsid w:val="009451FF"/>
    <w:rsid w:val="009553DD"/>
    <w:rsid w:val="00955B0E"/>
    <w:rsid w:val="00966B05"/>
    <w:rsid w:val="00966ECF"/>
    <w:rsid w:val="009727A3"/>
    <w:rsid w:val="00981F5B"/>
    <w:rsid w:val="00987774"/>
    <w:rsid w:val="009936D5"/>
    <w:rsid w:val="009A11E8"/>
    <w:rsid w:val="009A43A1"/>
    <w:rsid w:val="009B7464"/>
    <w:rsid w:val="009C37C7"/>
    <w:rsid w:val="009D1549"/>
    <w:rsid w:val="009E1661"/>
    <w:rsid w:val="009E4E62"/>
    <w:rsid w:val="009F5220"/>
    <w:rsid w:val="009F7C4D"/>
    <w:rsid w:val="00A01A21"/>
    <w:rsid w:val="00A15234"/>
    <w:rsid w:val="00A201AB"/>
    <w:rsid w:val="00A25C94"/>
    <w:rsid w:val="00A31C8B"/>
    <w:rsid w:val="00A54733"/>
    <w:rsid w:val="00A75B2C"/>
    <w:rsid w:val="00A845DC"/>
    <w:rsid w:val="00A97AEE"/>
    <w:rsid w:val="00AC5CF6"/>
    <w:rsid w:val="00AC7862"/>
    <w:rsid w:val="00AD533F"/>
    <w:rsid w:val="00AD7CE2"/>
    <w:rsid w:val="00AE3CA0"/>
    <w:rsid w:val="00AE4EA7"/>
    <w:rsid w:val="00B144FA"/>
    <w:rsid w:val="00B14D3A"/>
    <w:rsid w:val="00B16B53"/>
    <w:rsid w:val="00B16F58"/>
    <w:rsid w:val="00B2111F"/>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2AA8"/>
    <w:rsid w:val="00BB5B56"/>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4C81"/>
    <w:rsid w:val="00C74D85"/>
    <w:rsid w:val="00C8281B"/>
    <w:rsid w:val="00C9551E"/>
    <w:rsid w:val="00C977BA"/>
    <w:rsid w:val="00CB6E35"/>
    <w:rsid w:val="00CD4902"/>
    <w:rsid w:val="00CD5CE4"/>
    <w:rsid w:val="00CE1A46"/>
    <w:rsid w:val="00CF253F"/>
    <w:rsid w:val="00CF56B4"/>
    <w:rsid w:val="00D1444B"/>
    <w:rsid w:val="00D20F09"/>
    <w:rsid w:val="00D22636"/>
    <w:rsid w:val="00D24AD7"/>
    <w:rsid w:val="00D40FD9"/>
    <w:rsid w:val="00D42256"/>
    <w:rsid w:val="00D53769"/>
    <w:rsid w:val="00D65BCA"/>
    <w:rsid w:val="00D67604"/>
    <w:rsid w:val="00D74CFD"/>
    <w:rsid w:val="00D82918"/>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73E3"/>
    <w:rsid w:val="00EE3D9F"/>
    <w:rsid w:val="00EE45D8"/>
    <w:rsid w:val="00EE74B9"/>
    <w:rsid w:val="00EF110B"/>
    <w:rsid w:val="00EF63DD"/>
    <w:rsid w:val="00F004CD"/>
    <w:rsid w:val="00F12507"/>
    <w:rsid w:val="00F136F9"/>
    <w:rsid w:val="00F17EF5"/>
    <w:rsid w:val="00F22EDA"/>
    <w:rsid w:val="00F26555"/>
    <w:rsid w:val="00F3224D"/>
    <w:rsid w:val="00F33E0E"/>
    <w:rsid w:val="00F3723B"/>
    <w:rsid w:val="00F42F8D"/>
    <w:rsid w:val="00F472AE"/>
    <w:rsid w:val="00F51A86"/>
    <w:rsid w:val="00F5664C"/>
    <w:rsid w:val="00F64613"/>
    <w:rsid w:val="00F72B81"/>
    <w:rsid w:val="00F77A3E"/>
    <w:rsid w:val="00F82F31"/>
    <w:rsid w:val="00F90160"/>
    <w:rsid w:val="00F9182B"/>
    <w:rsid w:val="00FB050B"/>
    <w:rsid w:val="00FB7E80"/>
    <w:rsid w:val="00FC2590"/>
    <w:rsid w:val="00FC377D"/>
    <w:rsid w:val="00FC7BA8"/>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95FAC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789515076">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DBF6C-835E-4E6B-8254-12D1CC50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2486</Words>
  <Characters>11808</Characters>
  <Application>Microsoft Office Word</Application>
  <DocSecurity>0</DocSecurity>
  <Lines>98</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2018-08-21T10:58:00Z</dcterms:created>
  <dcterms:modified xsi:type="dcterms:W3CDTF">2018-08-21T10:58:00Z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