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92F" w:rsidRDefault="001D592F" w:rsidP="00B74B3C">
      <w:pPr>
        <w:jc w:val="center"/>
        <w:rPr>
          <w:rFonts w:ascii="Book Antiqua" w:hAnsi="Book Antiqua" w:cs="Arial"/>
          <w:color w:val="000000"/>
        </w:rPr>
      </w:pPr>
    </w:p>
    <w:p w:rsidR="00545B34" w:rsidRDefault="00212A44" w:rsidP="00B74B3C">
      <w:pPr>
        <w:jc w:val="center"/>
        <w:rPr>
          <w:rFonts w:ascii="Book Antiqua" w:hAnsi="Book Antiqua" w:cs="Arial"/>
          <w:color w:val="000000"/>
        </w:rPr>
      </w:pPr>
      <w:r w:rsidRPr="00E44430">
        <w:rPr>
          <w:noProof/>
        </w:rPr>
        <w:drawing>
          <wp:inline distT="0" distB="0" distL="0" distR="0">
            <wp:extent cx="1396800" cy="10728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396800" cy="107280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r w:rsidR="0029727A">
        <w:rPr>
          <w:rFonts w:ascii="Book Antiqua" w:hAnsi="Book Antiqua" w:cs="Arial"/>
          <w:b/>
          <w:color w:val="000000"/>
        </w:rPr>
        <w:t>PA/00301/2018</w:t>
      </w:r>
    </w:p>
    <w:p w:rsidR="00545B34" w:rsidRPr="00106B9E" w:rsidRDefault="00545B34" w:rsidP="005E51FD">
      <w:pPr>
        <w:jc w:val="center"/>
        <w:rPr>
          <w:rFonts w:ascii="Book Antiqua" w:hAnsi="Book Antiqua" w:cs="Arial"/>
          <w:color w:val="000000"/>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tbl>
      <w:tblPr>
        <w:tblW w:w="10106" w:type="dxa"/>
        <w:tblLook w:val="01E0" w:firstRow="1" w:lastRow="1" w:firstColumn="1" w:lastColumn="1" w:noHBand="0" w:noVBand="0"/>
      </w:tblPr>
      <w:tblGrid>
        <w:gridCol w:w="4962"/>
        <w:gridCol w:w="5144"/>
      </w:tblGrid>
      <w:tr w:rsidR="00633A16" w:rsidRPr="00106B9E" w:rsidTr="001D592F">
        <w:trPr>
          <w:trHeight w:val="388"/>
        </w:trPr>
        <w:tc>
          <w:tcPr>
            <w:tcW w:w="4962" w:type="dxa"/>
          </w:tcPr>
          <w:p w:rsidR="00633A16" w:rsidRPr="00106B9E" w:rsidRDefault="00633A16" w:rsidP="00633A16">
            <w:pPr>
              <w:jc w:val="both"/>
              <w:rPr>
                <w:rFonts w:ascii="Book Antiqua" w:hAnsi="Book Antiqua" w:cs="Arial"/>
                <w:b/>
              </w:rPr>
            </w:pPr>
            <w:r w:rsidRPr="00106B9E">
              <w:rPr>
                <w:rFonts w:ascii="Book Antiqua" w:hAnsi="Book Antiqua" w:cs="Arial"/>
                <w:b/>
              </w:rPr>
              <w:t xml:space="preserve">Heard at </w:t>
            </w:r>
            <w:r w:rsidRPr="001D592F">
              <w:rPr>
                <w:rFonts w:ascii="Book Antiqua" w:hAnsi="Book Antiqua" w:cs="Arial"/>
                <w:b/>
              </w:rPr>
              <w:t>Field House</w:t>
            </w:r>
            <w:r w:rsidRPr="00106B9E">
              <w:rPr>
                <w:rFonts w:ascii="Book Antiqua" w:hAnsi="Book Antiqua" w:cs="Arial"/>
                <w:b/>
              </w:rPr>
              <w:t xml:space="preserve">  </w:t>
            </w:r>
          </w:p>
        </w:tc>
        <w:tc>
          <w:tcPr>
            <w:tcW w:w="5144" w:type="dxa"/>
          </w:tcPr>
          <w:p w:rsidR="00633A16" w:rsidRPr="00106B9E" w:rsidRDefault="001D592F" w:rsidP="00633A16">
            <w:pPr>
              <w:jc w:val="both"/>
              <w:rPr>
                <w:rFonts w:ascii="Book Antiqua" w:hAnsi="Book Antiqua" w:cs="Arial"/>
                <w:b/>
                <w:color w:val="000000"/>
              </w:rPr>
            </w:pPr>
            <w:r>
              <w:rPr>
                <w:rFonts w:ascii="Book Antiqua" w:hAnsi="Book Antiqua" w:cs="Arial"/>
                <w:b/>
                <w:color w:val="000000"/>
              </w:rPr>
              <w:t xml:space="preserve">   </w:t>
            </w:r>
            <w:r w:rsidR="00633A16" w:rsidRPr="00106B9E">
              <w:rPr>
                <w:rFonts w:ascii="Book Antiqua" w:hAnsi="Book Antiqua" w:cs="Arial"/>
                <w:b/>
                <w:color w:val="000000"/>
              </w:rPr>
              <w:t>Decision</w:t>
            </w:r>
            <w:r w:rsidR="00633A16">
              <w:rPr>
                <w:rFonts w:ascii="Book Antiqua" w:hAnsi="Book Antiqua" w:cs="Arial"/>
                <w:b/>
                <w:color w:val="000000"/>
              </w:rPr>
              <w:t xml:space="preserve"> and Reason</w:t>
            </w:r>
            <w:r w:rsidR="00633A16" w:rsidRPr="00106B9E">
              <w:rPr>
                <w:rFonts w:ascii="Book Antiqua" w:hAnsi="Book Antiqua" w:cs="Arial"/>
                <w:b/>
                <w:color w:val="000000"/>
              </w:rPr>
              <w:t xml:space="preserve"> Promulgated</w:t>
            </w:r>
          </w:p>
        </w:tc>
      </w:tr>
      <w:tr w:rsidR="00633A16" w:rsidRPr="00106B9E" w:rsidTr="001D592F">
        <w:trPr>
          <w:trHeight w:val="201"/>
        </w:trPr>
        <w:tc>
          <w:tcPr>
            <w:tcW w:w="4962" w:type="dxa"/>
          </w:tcPr>
          <w:p w:rsidR="00633A16" w:rsidRPr="005F291B" w:rsidRDefault="00633A16" w:rsidP="00633A16">
            <w:pPr>
              <w:jc w:val="both"/>
              <w:rPr>
                <w:rFonts w:ascii="Book Antiqua" w:hAnsi="Book Antiqua" w:cs="Arial"/>
                <w:b/>
              </w:rPr>
            </w:pPr>
            <w:r w:rsidRPr="005F291B">
              <w:rPr>
                <w:rFonts w:ascii="Book Antiqua" w:hAnsi="Book Antiqua" w:cs="Arial"/>
                <w:b/>
              </w:rPr>
              <w:t>On 3 July 2018</w:t>
            </w:r>
          </w:p>
        </w:tc>
        <w:tc>
          <w:tcPr>
            <w:tcW w:w="5144" w:type="dxa"/>
          </w:tcPr>
          <w:p w:rsidR="00633A16" w:rsidRPr="00106B9E" w:rsidRDefault="001D592F" w:rsidP="00633A16">
            <w:pPr>
              <w:jc w:val="both"/>
              <w:rPr>
                <w:rFonts w:ascii="Book Antiqua" w:hAnsi="Book Antiqua" w:cs="Arial"/>
                <w:b/>
              </w:rPr>
            </w:pPr>
            <w:r>
              <w:rPr>
                <w:rFonts w:ascii="Book Antiqua" w:hAnsi="Book Antiqua" w:cs="Arial"/>
                <w:b/>
              </w:rPr>
              <w:t xml:space="preserve">   </w:t>
            </w:r>
            <w:r w:rsidR="00633A16">
              <w:rPr>
                <w:rFonts w:ascii="Book Antiqua" w:hAnsi="Book Antiqua" w:cs="Arial"/>
                <w:b/>
              </w:rPr>
              <w:t xml:space="preserve">On </w:t>
            </w:r>
            <w:r w:rsidR="005F291B">
              <w:rPr>
                <w:rFonts w:ascii="Book Antiqua" w:hAnsi="Book Antiqua" w:cs="Arial"/>
                <w:b/>
              </w:rPr>
              <w:t>12 July 2018</w:t>
            </w:r>
          </w:p>
        </w:tc>
      </w:tr>
      <w:tr w:rsidR="00633A16" w:rsidRPr="00106B9E" w:rsidTr="001D592F">
        <w:trPr>
          <w:trHeight w:val="201"/>
        </w:trPr>
        <w:tc>
          <w:tcPr>
            <w:tcW w:w="4962" w:type="dxa"/>
          </w:tcPr>
          <w:p w:rsidR="00633A16" w:rsidRPr="00106B9E" w:rsidRDefault="00633A16" w:rsidP="00633A16">
            <w:pPr>
              <w:jc w:val="both"/>
              <w:rPr>
                <w:rFonts w:ascii="Book Antiqua" w:hAnsi="Book Antiqua" w:cs="Arial"/>
                <w:b/>
              </w:rPr>
            </w:pPr>
          </w:p>
        </w:tc>
        <w:tc>
          <w:tcPr>
            <w:tcW w:w="5144" w:type="dxa"/>
          </w:tcPr>
          <w:p w:rsidR="00633A16" w:rsidRPr="00106B9E" w:rsidRDefault="00633A16" w:rsidP="00633A16">
            <w:pPr>
              <w:jc w:val="both"/>
              <w:rPr>
                <w:rFonts w:ascii="Book Antiqua" w:hAnsi="Book Antiqua" w:cs="Arial"/>
                <w:b/>
              </w:rPr>
            </w:pPr>
          </w:p>
        </w:tc>
      </w:tr>
    </w:tbl>
    <w:p w:rsidR="00545B34" w:rsidRPr="00106B9E"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5E51FD">
      <w:pPr>
        <w:jc w:val="center"/>
        <w:rPr>
          <w:rFonts w:ascii="Book Antiqua" w:hAnsi="Book Antiqua" w:cs="Arial"/>
          <w:b/>
        </w:rPr>
      </w:pPr>
    </w:p>
    <w:p w:rsidR="00545B34" w:rsidRPr="00CB1B50" w:rsidRDefault="00545B34" w:rsidP="002B37DF">
      <w:pPr>
        <w:outlineLvl w:val="0"/>
        <w:rPr>
          <w:rFonts w:ascii="Book Antiqua" w:hAnsi="Book Antiqua" w:cs="Arial"/>
          <w:b/>
          <w:color w:val="000000"/>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Pr="00CB1B50" w:rsidRDefault="00545B34"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856DD6" w:rsidRDefault="0029727A" w:rsidP="005E51FD">
      <w:pPr>
        <w:jc w:val="center"/>
        <w:rPr>
          <w:rFonts w:ascii="Book Antiqua" w:hAnsi="Book Antiqua" w:cs="Arial"/>
          <w:b/>
          <w:color w:val="000000"/>
        </w:rPr>
      </w:pPr>
      <w:r w:rsidRPr="00856DD6">
        <w:rPr>
          <w:rFonts w:ascii="Book Antiqua" w:hAnsi="Book Antiqua" w:cs="Arial"/>
          <w:b/>
        </w:rPr>
        <w:t xml:space="preserve">R </w:t>
      </w:r>
      <w:r w:rsidR="00856DD6" w:rsidRPr="00856DD6">
        <w:rPr>
          <w:rFonts w:ascii="Book Antiqua" w:hAnsi="Book Antiqua" w:cs="Arial"/>
          <w:b/>
        </w:rPr>
        <w:t>H</w:t>
      </w:r>
      <w:r w:rsidR="00545B34" w:rsidRPr="00856DD6">
        <w:rPr>
          <w:rFonts w:ascii="Book Antiqua" w:hAnsi="Book Antiqua" w:cs="Arial"/>
          <w:b/>
          <w:color w:val="000000"/>
        </w:rPr>
        <w:t xml:space="preserve"> </w:t>
      </w:r>
    </w:p>
    <w:p w:rsidR="00545B34" w:rsidRPr="001D592F" w:rsidRDefault="00545B34" w:rsidP="005E51FD">
      <w:pPr>
        <w:jc w:val="center"/>
        <w:rPr>
          <w:rFonts w:ascii="Book Antiqua" w:hAnsi="Book Antiqua" w:cs="Arial"/>
          <w:color w:val="000000"/>
        </w:rPr>
      </w:pPr>
      <w:r w:rsidRPr="001D592F">
        <w:rPr>
          <w:rFonts w:ascii="Book Antiqua" w:hAnsi="Book Antiqua" w:cs="Arial"/>
          <w:color w:val="000000"/>
        </w:rPr>
        <w:t xml:space="preserve">(ANONYMITY </w:t>
      </w:r>
      <w:r w:rsidR="0029727A" w:rsidRPr="001D592F">
        <w:rPr>
          <w:rFonts w:ascii="Book Antiqua" w:hAnsi="Book Antiqua" w:cs="Arial"/>
          <w:color w:val="000000"/>
        </w:rPr>
        <w:t>DIRECTION MADE</w:t>
      </w:r>
      <w:r w:rsidRPr="001D592F">
        <w:rPr>
          <w:rFonts w:ascii="Book Antiqua" w:hAnsi="Book Antiqua" w:cs="Arial"/>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1D592F" w:rsidRDefault="001D592F"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CB1B50" w:rsidRDefault="00545B34" w:rsidP="005E51FD">
      <w:pPr>
        <w:rPr>
          <w:rFonts w:ascii="Book Antiqua" w:hAnsi="Book Antiqua" w:cs="Arial"/>
        </w:rPr>
      </w:pPr>
    </w:p>
    <w:p w:rsidR="00545B34" w:rsidRPr="00CB1B50" w:rsidRDefault="00545B34" w:rsidP="005E51FD">
      <w:pPr>
        <w:tabs>
          <w:tab w:val="left" w:pos="2520"/>
        </w:tabs>
        <w:outlineLvl w:val="0"/>
        <w:rPr>
          <w:rFonts w:ascii="Book Antiqua" w:hAnsi="Book Antiqua" w:cs="Arial"/>
        </w:rPr>
      </w:pPr>
      <w:r w:rsidRPr="00CB1B50">
        <w:rPr>
          <w:rFonts w:ascii="Book Antiqua" w:hAnsi="Book Antiqua" w:cs="Arial"/>
        </w:rPr>
        <w:t xml:space="preserve">For the Appellant: </w:t>
      </w:r>
      <w:r w:rsidR="001D592F">
        <w:rPr>
          <w:rFonts w:ascii="Book Antiqua" w:hAnsi="Book Antiqua" w:cs="Arial"/>
        </w:rPr>
        <w:t xml:space="preserve">   </w:t>
      </w:r>
      <w:r w:rsidR="0029727A">
        <w:rPr>
          <w:rFonts w:ascii="Book Antiqua" w:hAnsi="Book Antiqua" w:cs="Arial"/>
        </w:rPr>
        <w:t xml:space="preserve">Ms R </w:t>
      </w:r>
      <w:proofErr w:type="spellStart"/>
      <w:r w:rsidR="0029727A">
        <w:rPr>
          <w:rFonts w:ascii="Book Antiqua" w:hAnsi="Book Antiqua" w:cs="Arial"/>
        </w:rPr>
        <w:t>Akth</w:t>
      </w:r>
      <w:r w:rsidR="000C6972">
        <w:rPr>
          <w:rFonts w:ascii="Book Antiqua" w:hAnsi="Book Antiqua" w:cs="Arial"/>
        </w:rPr>
        <w:t>a</w:t>
      </w:r>
      <w:r w:rsidR="0029727A">
        <w:rPr>
          <w:rFonts w:ascii="Book Antiqua" w:hAnsi="Book Antiqua" w:cs="Arial"/>
        </w:rPr>
        <w:t>r</w:t>
      </w:r>
      <w:proofErr w:type="spellEnd"/>
      <w:r w:rsidR="0029727A">
        <w:rPr>
          <w:rFonts w:ascii="Book Antiqua" w:hAnsi="Book Antiqua" w:cs="Arial"/>
        </w:rPr>
        <w:t xml:space="preserve"> (counsel) </w:t>
      </w:r>
      <w:r w:rsidR="002B37DF">
        <w:rPr>
          <w:rFonts w:ascii="Book Antiqua" w:hAnsi="Book Antiqua" w:cs="Arial"/>
        </w:rPr>
        <w:t>instructed by</w:t>
      </w:r>
      <w:r w:rsidR="0029727A">
        <w:rPr>
          <w:rFonts w:ascii="Book Antiqua" w:hAnsi="Book Antiqua" w:cs="Arial"/>
        </w:rPr>
        <w:t xml:space="preserve"> Edward </w:t>
      </w:r>
      <w:proofErr w:type="spellStart"/>
      <w:r w:rsidR="0029727A">
        <w:rPr>
          <w:rFonts w:ascii="Book Antiqua" w:hAnsi="Book Antiqua" w:cs="Arial"/>
        </w:rPr>
        <w:t>Alam</w:t>
      </w:r>
      <w:proofErr w:type="spellEnd"/>
      <w:r w:rsidR="0029727A">
        <w:rPr>
          <w:rFonts w:ascii="Book Antiqua" w:hAnsi="Book Antiqua" w:cs="Arial"/>
        </w:rPr>
        <w:t xml:space="preserve"> &amp; Associates</w:t>
      </w:r>
    </w:p>
    <w:p w:rsidR="00545B34" w:rsidRPr="00CB1B50" w:rsidRDefault="00545B34" w:rsidP="005E51FD">
      <w:pPr>
        <w:tabs>
          <w:tab w:val="left" w:pos="2520"/>
        </w:tabs>
        <w:rPr>
          <w:rFonts w:ascii="Book Antiqua" w:hAnsi="Book Antiqua" w:cs="Arial"/>
        </w:rPr>
      </w:pPr>
      <w:r w:rsidRPr="00CB1B50">
        <w:rPr>
          <w:rFonts w:ascii="Book Antiqua" w:hAnsi="Book Antiqua" w:cs="Arial"/>
        </w:rPr>
        <w:t xml:space="preserve">For the Respondent: </w:t>
      </w:r>
      <w:r w:rsidR="0029727A">
        <w:rPr>
          <w:rFonts w:ascii="Book Antiqua" w:hAnsi="Book Antiqua" w:cs="Arial"/>
        </w:rPr>
        <w:t xml:space="preserve">Mr D Mills, </w:t>
      </w:r>
      <w:r w:rsidR="002B37DF">
        <w:rPr>
          <w:rFonts w:ascii="Book Antiqua" w:hAnsi="Book Antiqua" w:cs="Arial"/>
        </w:rPr>
        <w:t>Senior Home Office Presenting Officer</w:t>
      </w:r>
    </w:p>
    <w:p w:rsidR="001D592F" w:rsidRDefault="001D592F" w:rsidP="001D592F">
      <w:pPr>
        <w:spacing w:before="240"/>
        <w:jc w:val="center"/>
        <w:rPr>
          <w:rFonts w:ascii="Book Antiqua" w:hAnsi="Book Antiqua" w:cs="Arial"/>
          <w:b/>
          <w:u w:val="single"/>
        </w:rPr>
      </w:pPr>
    </w:p>
    <w:p w:rsidR="00545B34" w:rsidRPr="00CB1B50" w:rsidRDefault="00545B34" w:rsidP="001D592F">
      <w:pPr>
        <w:spacing w:before="240"/>
        <w:jc w:val="center"/>
        <w:rPr>
          <w:rFonts w:ascii="Book Antiqua" w:hAnsi="Book Antiqua" w:cs="Arial"/>
          <w:b/>
          <w:u w:val="single"/>
        </w:rPr>
      </w:pPr>
      <w:r w:rsidRPr="00CB1B50">
        <w:rPr>
          <w:rFonts w:ascii="Book Antiqua" w:hAnsi="Book Antiqua" w:cs="Arial"/>
          <w:b/>
          <w:u w:val="single"/>
        </w:rPr>
        <w:t>DE</w:t>
      </w:r>
      <w:r w:rsidR="00755830" w:rsidRPr="00CB1B50">
        <w:rPr>
          <w:rFonts w:ascii="Book Antiqua" w:hAnsi="Book Antiqua" w:cs="Arial"/>
          <w:b/>
          <w:u w:val="single"/>
        </w:rPr>
        <w:t>CISION</w:t>
      </w:r>
      <w:r w:rsidRPr="00CB1B50">
        <w:rPr>
          <w:rFonts w:ascii="Book Antiqua" w:hAnsi="Book Antiqua" w:cs="Arial"/>
          <w:b/>
          <w:u w:val="single"/>
        </w:rPr>
        <w:t xml:space="preserve"> AND REASONS</w:t>
      </w:r>
    </w:p>
    <w:p w:rsidR="0029727A" w:rsidRDefault="0029727A" w:rsidP="002B37DF">
      <w:pPr>
        <w:jc w:val="both"/>
        <w:rPr>
          <w:rFonts w:ascii="Book Antiqua" w:hAnsi="Book Antiqua" w:cs="Arial"/>
        </w:rPr>
      </w:pPr>
    </w:p>
    <w:p w:rsidR="00856DD6" w:rsidRPr="0018264B" w:rsidRDefault="002B37DF" w:rsidP="00856DD6">
      <w:pPr>
        <w:spacing w:before="240"/>
        <w:jc w:val="both"/>
        <w:rPr>
          <w:rFonts w:ascii="Book Antiqua" w:hAnsi="Book Antiqua" w:cs="Arial"/>
        </w:rPr>
      </w:pPr>
      <w:r w:rsidRPr="0018264B">
        <w:rPr>
          <w:rFonts w:ascii="Book Antiqua" w:hAnsi="Book Antiqua" w:cs="Arial"/>
        </w:rPr>
        <w:t xml:space="preserve">1. </w:t>
      </w:r>
      <w:r w:rsidR="00856DD6" w:rsidRPr="0018264B">
        <w:rPr>
          <w:rFonts w:ascii="Book Antiqua" w:hAnsi="Book Antiqua" w:cs="Arial"/>
        </w:rPr>
        <w:t xml:space="preserve">I make an anonymity order under Rule 14 of the Tribunal Procedure (Upper Tribunal) Rules 2008, precluding publication of any information regarding the proceedings which would be likely to lead members of the public to identify the appellant because this is a protection claim. </w:t>
      </w:r>
    </w:p>
    <w:p w:rsidR="0029727A" w:rsidRPr="0018264B" w:rsidRDefault="0029727A" w:rsidP="0029727A">
      <w:pPr>
        <w:jc w:val="both"/>
        <w:rPr>
          <w:rFonts w:ascii="Book Antiqua" w:hAnsi="Book Antiqua" w:cs="Arial"/>
        </w:rPr>
      </w:pPr>
    </w:p>
    <w:p w:rsidR="00545B34" w:rsidRPr="0018264B" w:rsidRDefault="0029727A" w:rsidP="0029727A">
      <w:pPr>
        <w:jc w:val="both"/>
        <w:rPr>
          <w:rFonts w:ascii="Book Antiqua" w:hAnsi="Book Antiqua" w:cs="Arial"/>
        </w:rPr>
      </w:pPr>
      <w:r w:rsidRPr="0018264B">
        <w:rPr>
          <w:rFonts w:ascii="Book Antiqua" w:hAnsi="Book Antiqua" w:cs="Arial"/>
        </w:rPr>
        <w:t xml:space="preserve">2. </w:t>
      </w:r>
      <w:r w:rsidR="00545B34" w:rsidRPr="0018264B">
        <w:rPr>
          <w:rFonts w:ascii="Book Antiqua" w:hAnsi="Book Antiqua" w:cs="Arial"/>
        </w:rPr>
        <w:t>This is an appeal by the Appellant against the decision of First-tier Tribunal Judge</w:t>
      </w:r>
      <w:r w:rsidR="00207C3C" w:rsidRPr="0018264B">
        <w:rPr>
          <w:rFonts w:ascii="Book Antiqua" w:hAnsi="Book Antiqua" w:cs="Arial"/>
        </w:rPr>
        <w:t xml:space="preserve"> </w:t>
      </w:r>
      <w:r w:rsidR="00CE6C59" w:rsidRPr="0018264B">
        <w:rPr>
          <w:rFonts w:ascii="Book Antiqua" w:hAnsi="Book Antiqua" w:cs="Arial"/>
        </w:rPr>
        <w:t>Behan</w:t>
      </w:r>
      <w:r w:rsidR="00545B34" w:rsidRPr="0018264B">
        <w:rPr>
          <w:rFonts w:ascii="Book Antiqua" w:hAnsi="Book Antiqua" w:cs="Arial"/>
        </w:rPr>
        <w:t xml:space="preserve"> promulgated on </w:t>
      </w:r>
      <w:r w:rsidR="00CE6C59" w:rsidRPr="0018264B">
        <w:rPr>
          <w:rFonts w:ascii="Book Antiqua" w:hAnsi="Book Antiqua" w:cs="Arial"/>
        </w:rPr>
        <w:t>16 April 2018</w:t>
      </w:r>
      <w:r w:rsidR="00545B34" w:rsidRPr="0018264B">
        <w:rPr>
          <w:rFonts w:ascii="Book Antiqua" w:hAnsi="Book Antiqua" w:cs="Arial"/>
        </w:rPr>
        <w:t>, which dismissed the Appellant’s appeal</w:t>
      </w:r>
      <w:r w:rsidR="00CE6C59" w:rsidRPr="0018264B">
        <w:rPr>
          <w:rFonts w:ascii="Book Antiqua" w:hAnsi="Book Antiqua" w:cs="Arial"/>
        </w:rPr>
        <w:t>.</w:t>
      </w:r>
    </w:p>
    <w:p w:rsidR="00CE6C59" w:rsidRPr="0018264B" w:rsidRDefault="00CE6C59" w:rsidP="005E51FD">
      <w:pPr>
        <w:jc w:val="both"/>
        <w:rPr>
          <w:rFonts w:ascii="Book Antiqua" w:hAnsi="Book Antiqua" w:cs="Arial"/>
        </w:rPr>
      </w:pPr>
    </w:p>
    <w:p w:rsidR="001D592F" w:rsidRDefault="001D592F" w:rsidP="005E51FD">
      <w:pPr>
        <w:jc w:val="both"/>
        <w:rPr>
          <w:rFonts w:ascii="Book Antiqua" w:hAnsi="Book Antiqua" w:cs="Arial"/>
          <w:u w:val="single"/>
        </w:rPr>
      </w:pPr>
    </w:p>
    <w:p w:rsidR="00545B34" w:rsidRPr="0018264B" w:rsidRDefault="00545B34" w:rsidP="005E51FD">
      <w:pPr>
        <w:jc w:val="both"/>
        <w:rPr>
          <w:rFonts w:ascii="Book Antiqua" w:hAnsi="Book Antiqua" w:cs="Arial"/>
          <w:u w:val="single"/>
        </w:rPr>
      </w:pPr>
      <w:r w:rsidRPr="0018264B">
        <w:rPr>
          <w:rFonts w:ascii="Book Antiqua" w:hAnsi="Book Antiqua" w:cs="Arial"/>
          <w:u w:val="single"/>
        </w:rPr>
        <w:lastRenderedPageBreak/>
        <w:t>Background</w:t>
      </w:r>
    </w:p>
    <w:p w:rsidR="00545B34" w:rsidRPr="0018264B" w:rsidRDefault="00545B34" w:rsidP="005E51FD">
      <w:pPr>
        <w:ind w:left="360"/>
        <w:jc w:val="both"/>
        <w:rPr>
          <w:rFonts w:ascii="Book Antiqua" w:hAnsi="Book Antiqua" w:cs="Arial"/>
        </w:rPr>
      </w:pPr>
    </w:p>
    <w:p w:rsidR="00545B34" w:rsidRPr="0018264B" w:rsidRDefault="00CE6C59" w:rsidP="00CE6C59">
      <w:pPr>
        <w:jc w:val="both"/>
        <w:rPr>
          <w:rFonts w:ascii="Book Antiqua" w:hAnsi="Book Antiqua" w:cs="Arial"/>
        </w:rPr>
      </w:pPr>
      <w:r w:rsidRPr="0018264B">
        <w:rPr>
          <w:rFonts w:ascii="Book Antiqua" w:hAnsi="Book Antiqua" w:cs="Arial"/>
        </w:rPr>
        <w:t xml:space="preserve">3. </w:t>
      </w:r>
      <w:r w:rsidR="00087FA9" w:rsidRPr="0018264B">
        <w:rPr>
          <w:rFonts w:ascii="Book Antiqua" w:hAnsi="Book Antiqua" w:cs="Arial"/>
        </w:rPr>
        <w:t>The Appellant</w:t>
      </w:r>
      <w:r w:rsidR="00545B34" w:rsidRPr="0018264B">
        <w:rPr>
          <w:rFonts w:ascii="Book Antiqua" w:hAnsi="Book Antiqua" w:cs="Arial"/>
        </w:rPr>
        <w:t xml:space="preserve"> was born on </w:t>
      </w:r>
      <w:r w:rsidRPr="0018264B">
        <w:rPr>
          <w:rFonts w:ascii="Book Antiqua" w:hAnsi="Book Antiqua" w:cs="Arial"/>
        </w:rPr>
        <w:t>03 May 1975</w:t>
      </w:r>
      <w:r w:rsidR="00545B34" w:rsidRPr="0018264B">
        <w:rPr>
          <w:rFonts w:ascii="Book Antiqua" w:hAnsi="Book Antiqua" w:cs="Arial"/>
        </w:rPr>
        <w:t xml:space="preserve"> </w:t>
      </w:r>
      <w:r w:rsidR="00087FA9" w:rsidRPr="0018264B">
        <w:rPr>
          <w:rFonts w:ascii="Book Antiqua" w:hAnsi="Book Antiqua" w:cs="Arial"/>
        </w:rPr>
        <w:t xml:space="preserve">and is a </w:t>
      </w:r>
      <w:r w:rsidR="00622E11" w:rsidRPr="0018264B">
        <w:rPr>
          <w:rFonts w:ascii="Book Antiqua" w:hAnsi="Book Antiqua" w:cs="Arial"/>
        </w:rPr>
        <w:t>national</w:t>
      </w:r>
      <w:r w:rsidR="00087FA9" w:rsidRPr="0018264B">
        <w:rPr>
          <w:rFonts w:ascii="Book Antiqua" w:hAnsi="Book Antiqua" w:cs="Arial"/>
        </w:rPr>
        <w:t xml:space="preserve"> of</w:t>
      </w:r>
      <w:r w:rsidR="00545B34" w:rsidRPr="0018264B">
        <w:rPr>
          <w:rFonts w:ascii="Book Antiqua" w:hAnsi="Book Antiqua" w:cs="Arial"/>
        </w:rPr>
        <w:t xml:space="preserve"> </w:t>
      </w:r>
      <w:r w:rsidRPr="0018264B">
        <w:rPr>
          <w:rFonts w:ascii="Book Antiqua" w:hAnsi="Book Antiqua" w:cs="Arial"/>
        </w:rPr>
        <w:t>Bangladesh</w:t>
      </w:r>
      <w:r w:rsidR="00545B34" w:rsidRPr="0018264B">
        <w:rPr>
          <w:rFonts w:ascii="Book Antiqua" w:hAnsi="Book Antiqua" w:cs="Arial"/>
        </w:rPr>
        <w:t>.</w:t>
      </w:r>
      <w:r w:rsidRPr="0018264B">
        <w:rPr>
          <w:rFonts w:ascii="Book Antiqua" w:hAnsi="Book Antiqua" w:cs="Arial"/>
        </w:rPr>
        <w:t xml:space="preserve"> On 26/07/2017 the appellant made a protection claim. </w:t>
      </w:r>
      <w:r w:rsidR="00545B34" w:rsidRPr="0018264B">
        <w:rPr>
          <w:rFonts w:ascii="Book Antiqua" w:hAnsi="Book Antiqua" w:cs="Arial"/>
        </w:rPr>
        <w:t xml:space="preserve">On </w:t>
      </w:r>
      <w:r w:rsidRPr="0018264B">
        <w:rPr>
          <w:rFonts w:ascii="Book Antiqua" w:hAnsi="Book Antiqua" w:cs="Arial"/>
        </w:rPr>
        <w:t>19 December 2017</w:t>
      </w:r>
      <w:r w:rsidR="00545B34" w:rsidRPr="0018264B">
        <w:rPr>
          <w:rFonts w:ascii="Book Antiqua" w:hAnsi="Book Antiqua" w:cs="Arial"/>
        </w:rPr>
        <w:t xml:space="preserve"> the Secretary of State refused the Appellant’s application. </w:t>
      </w:r>
    </w:p>
    <w:p w:rsidR="00545B34" w:rsidRPr="0018264B" w:rsidRDefault="00545B34" w:rsidP="005E51FD">
      <w:pPr>
        <w:pStyle w:val="ListParagraph"/>
        <w:rPr>
          <w:rFonts w:ascii="Book Antiqua" w:hAnsi="Book Antiqua" w:cs="Arial"/>
        </w:rPr>
      </w:pPr>
    </w:p>
    <w:p w:rsidR="00545B34" w:rsidRPr="0018264B" w:rsidRDefault="00545B34" w:rsidP="005E51FD">
      <w:pPr>
        <w:jc w:val="both"/>
        <w:rPr>
          <w:rFonts w:ascii="Book Antiqua" w:hAnsi="Book Antiqua" w:cs="Arial"/>
          <w:u w:val="single"/>
        </w:rPr>
      </w:pPr>
      <w:r w:rsidRPr="0018264B">
        <w:rPr>
          <w:rFonts w:ascii="Book Antiqua" w:hAnsi="Book Antiqua" w:cs="Arial"/>
          <w:u w:val="single"/>
        </w:rPr>
        <w:t>The Judge’s Decision</w:t>
      </w:r>
    </w:p>
    <w:p w:rsidR="00CE6C59" w:rsidRPr="0018264B" w:rsidRDefault="00CE6C59" w:rsidP="005E51FD">
      <w:pPr>
        <w:jc w:val="both"/>
        <w:rPr>
          <w:rFonts w:ascii="Book Antiqua" w:hAnsi="Book Antiqua" w:cs="Arial"/>
          <w:u w:val="single"/>
        </w:rPr>
      </w:pPr>
    </w:p>
    <w:p w:rsidR="00545B34" w:rsidRPr="0018264B" w:rsidRDefault="00CE6C59" w:rsidP="00CE6C59">
      <w:pPr>
        <w:jc w:val="both"/>
        <w:rPr>
          <w:rFonts w:ascii="Book Antiqua" w:hAnsi="Book Antiqua" w:cs="Arial"/>
          <w:color w:val="000000"/>
        </w:rPr>
      </w:pPr>
      <w:r w:rsidRPr="0018264B">
        <w:rPr>
          <w:rFonts w:ascii="Book Antiqua" w:hAnsi="Book Antiqua" w:cs="Arial"/>
        </w:rPr>
        <w:t xml:space="preserve">4. </w:t>
      </w:r>
      <w:r w:rsidR="00545B34" w:rsidRPr="0018264B">
        <w:rPr>
          <w:rFonts w:ascii="Book Antiqua" w:hAnsi="Book Antiqua" w:cs="Arial"/>
        </w:rPr>
        <w:t>The Appellant appealed to the First-tier Tribunal</w:t>
      </w:r>
      <w:r w:rsidR="00850890" w:rsidRPr="0018264B">
        <w:rPr>
          <w:rFonts w:ascii="Book Antiqua" w:hAnsi="Book Antiqua" w:cs="Arial"/>
        </w:rPr>
        <w:t>.</w:t>
      </w:r>
      <w:r w:rsidR="00545B34" w:rsidRPr="0018264B">
        <w:rPr>
          <w:rFonts w:ascii="Book Antiqua" w:hAnsi="Book Antiqua" w:cs="Arial"/>
        </w:rPr>
        <w:t xml:space="preserve"> First-tier Tribunal Judge </w:t>
      </w:r>
      <w:r w:rsidRPr="0018264B">
        <w:rPr>
          <w:rFonts w:ascii="Book Antiqua" w:hAnsi="Book Antiqua" w:cs="Arial"/>
        </w:rPr>
        <w:t>Behan</w:t>
      </w:r>
      <w:r w:rsidR="00850890" w:rsidRPr="0018264B">
        <w:rPr>
          <w:rFonts w:ascii="Book Antiqua" w:hAnsi="Book Antiqua" w:cs="Arial"/>
        </w:rPr>
        <w:t xml:space="preserve"> (</w:t>
      </w:r>
      <w:r w:rsidR="00545B34" w:rsidRPr="0018264B">
        <w:rPr>
          <w:rFonts w:ascii="Book Antiqua" w:hAnsi="Book Antiqua" w:cs="Arial"/>
        </w:rPr>
        <w:t xml:space="preserve">“the Judge”) dismissed the appeal against the Respondent’s decision. Grounds of appeal were lodged and on </w:t>
      </w:r>
      <w:r w:rsidRPr="0018264B">
        <w:rPr>
          <w:rFonts w:ascii="Book Antiqua" w:hAnsi="Book Antiqua" w:cs="Arial"/>
        </w:rPr>
        <w:t xml:space="preserve">8 May 2018 </w:t>
      </w:r>
      <w:r w:rsidR="00545B34" w:rsidRPr="0018264B">
        <w:rPr>
          <w:rFonts w:ascii="Book Antiqua" w:hAnsi="Book Antiqua" w:cs="Arial"/>
        </w:rPr>
        <w:t xml:space="preserve">Judge </w:t>
      </w:r>
      <w:r w:rsidRPr="0018264B">
        <w:rPr>
          <w:rFonts w:ascii="Book Antiqua" w:hAnsi="Book Antiqua" w:cs="Arial"/>
        </w:rPr>
        <w:t>Pickup</w:t>
      </w:r>
      <w:r w:rsidR="00545B34" w:rsidRPr="0018264B">
        <w:rPr>
          <w:rFonts w:ascii="Book Antiqua" w:hAnsi="Book Antiqua" w:cs="Arial"/>
        </w:rPr>
        <w:t xml:space="preserve"> gave </w:t>
      </w:r>
      <w:r w:rsidR="00850890" w:rsidRPr="0018264B">
        <w:rPr>
          <w:rFonts w:ascii="Book Antiqua" w:hAnsi="Book Antiqua" w:cs="Arial"/>
          <w:color w:val="000000"/>
        </w:rPr>
        <w:t>permission to appeal stating</w:t>
      </w:r>
      <w:r w:rsidRPr="0018264B">
        <w:rPr>
          <w:rFonts w:ascii="Book Antiqua" w:hAnsi="Book Antiqua" w:cs="Arial"/>
          <w:color w:val="000000"/>
        </w:rPr>
        <w:t xml:space="preserve"> inter alia</w:t>
      </w:r>
    </w:p>
    <w:p w:rsidR="00CE6C59" w:rsidRPr="0018264B" w:rsidRDefault="00CE6C59" w:rsidP="00CE6C59">
      <w:pPr>
        <w:jc w:val="both"/>
        <w:rPr>
          <w:rFonts w:ascii="Book Antiqua" w:hAnsi="Book Antiqua" w:cs="Arial"/>
          <w:color w:val="000000"/>
          <w:sz w:val="22"/>
          <w:szCs w:val="22"/>
        </w:rPr>
      </w:pPr>
    </w:p>
    <w:p w:rsidR="00CE6C59" w:rsidRPr="0018264B" w:rsidRDefault="00CE6C59" w:rsidP="00692AD9">
      <w:pPr>
        <w:ind w:left="720"/>
        <w:jc w:val="both"/>
        <w:rPr>
          <w:rFonts w:ascii="Book Antiqua" w:hAnsi="Book Antiqua" w:cs="Arial"/>
          <w:color w:val="000000"/>
          <w:sz w:val="22"/>
          <w:szCs w:val="22"/>
        </w:rPr>
      </w:pPr>
      <w:r w:rsidRPr="0018264B">
        <w:rPr>
          <w:rFonts w:ascii="Book Antiqua" w:hAnsi="Book Antiqua" w:cs="Arial"/>
          <w:color w:val="000000"/>
          <w:sz w:val="22"/>
          <w:szCs w:val="22"/>
        </w:rPr>
        <w:t>It is arguable that there was procedural unfairness in refusing to adjourn and in continuing with the hearing when the appellant was unfit to give evidence. There was no medical evidence and the appellant’s representative appears to have taken a point of principle and declined to take instructions from his client. The appellant was not called to give evidence and the Judge therefore r</w:t>
      </w:r>
      <w:r w:rsidR="00692AD9" w:rsidRPr="0018264B">
        <w:rPr>
          <w:rFonts w:ascii="Book Antiqua" w:hAnsi="Book Antiqua" w:cs="Arial"/>
          <w:color w:val="000000"/>
          <w:sz w:val="22"/>
          <w:szCs w:val="22"/>
        </w:rPr>
        <w:t>e</w:t>
      </w:r>
      <w:r w:rsidRPr="0018264B">
        <w:rPr>
          <w:rFonts w:ascii="Book Antiqua" w:hAnsi="Book Antiqua" w:cs="Arial"/>
          <w:color w:val="000000"/>
          <w:sz w:val="22"/>
          <w:szCs w:val="22"/>
        </w:rPr>
        <w:t>duced the credit to be given to his claim to be a BNP activist in Bangladesh. Subsequently, it transpires that the appellant was suffering from gastroenteritis.</w:t>
      </w:r>
    </w:p>
    <w:p w:rsidR="00CE6C59" w:rsidRPr="0018264B" w:rsidRDefault="00CE6C59" w:rsidP="00CE6C59">
      <w:pPr>
        <w:jc w:val="both"/>
        <w:rPr>
          <w:rFonts w:ascii="Book Antiqua" w:hAnsi="Book Antiqua" w:cs="Arial"/>
          <w:color w:val="000000"/>
          <w:sz w:val="22"/>
          <w:szCs w:val="22"/>
        </w:rPr>
      </w:pPr>
    </w:p>
    <w:p w:rsidR="00CE6C59" w:rsidRPr="0018264B" w:rsidRDefault="00CE6C59" w:rsidP="00CE6C59">
      <w:pPr>
        <w:jc w:val="both"/>
        <w:rPr>
          <w:rFonts w:ascii="Book Antiqua" w:hAnsi="Book Antiqua" w:cs="Arial"/>
          <w:color w:val="000000"/>
          <w:u w:val="single"/>
        </w:rPr>
      </w:pPr>
      <w:r w:rsidRPr="0018264B">
        <w:rPr>
          <w:rFonts w:ascii="Book Antiqua" w:hAnsi="Book Antiqua" w:cs="Arial"/>
          <w:color w:val="000000"/>
          <w:u w:val="single"/>
        </w:rPr>
        <w:t>The hearing</w:t>
      </w:r>
    </w:p>
    <w:p w:rsidR="00CE6C59" w:rsidRPr="0018264B" w:rsidRDefault="00CE6C59" w:rsidP="00CE6C59">
      <w:pPr>
        <w:jc w:val="both"/>
        <w:rPr>
          <w:rFonts w:ascii="Book Antiqua" w:hAnsi="Book Antiqua" w:cs="Arial"/>
          <w:color w:val="000000"/>
        </w:rPr>
      </w:pPr>
    </w:p>
    <w:p w:rsidR="00CE6C59" w:rsidRPr="0018264B" w:rsidRDefault="00CE6C59" w:rsidP="00CE6C59">
      <w:pPr>
        <w:jc w:val="both"/>
        <w:rPr>
          <w:rFonts w:ascii="Book Antiqua" w:hAnsi="Book Antiqua" w:cs="Arial"/>
          <w:color w:val="000000"/>
        </w:rPr>
      </w:pPr>
      <w:r w:rsidRPr="0018264B">
        <w:rPr>
          <w:rFonts w:ascii="Book Antiqua" w:hAnsi="Book Antiqua" w:cs="Arial"/>
          <w:color w:val="000000"/>
        </w:rPr>
        <w:t xml:space="preserve">5. For the respondent Mr Mills told me that the decision contains an error of law. The respondent now correctly concedes that the </w:t>
      </w:r>
      <w:r w:rsidR="000C6972" w:rsidRPr="0018264B">
        <w:rPr>
          <w:rFonts w:ascii="Book Antiqua" w:hAnsi="Book Antiqua" w:cs="Arial"/>
          <w:color w:val="000000"/>
        </w:rPr>
        <w:t>J</w:t>
      </w:r>
      <w:r w:rsidRPr="0018264B">
        <w:rPr>
          <w:rFonts w:ascii="Book Antiqua" w:hAnsi="Book Antiqua" w:cs="Arial"/>
          <w:color w:val="000000"/>
        </w:rPr>
        <w:t xml:space="preserve">udge’s refusal to adjourn the hearing has given rise to procedural unfairness, and the decision can no longer stand. Both Mr Mills and </w:t>
      </w:r>
      <w:r w:rsidR="000C6972" w:rsidRPr="0018264B">
        <w:rPr>
          <w:rFonts w:ascii="Book Antiqua" w:hAnsi="Book Antiqua" w:cs="Arial"/>
          <w:color w:val="000000"/>
        </w:rPr>
        <w:t>Ms</w:t>
      </w:r>
      <w:r w:rsidRPr="0018264B">
        <w:rPr>
          <w:rFonts w:ascii="Book Antiqua" w:hAnsi="Book Antiqua" w:cs="Arial"/>
          <w:color w:val="000000"/>
        </w:rPr>
        <w:t xml:space="preserve"> </w:t>
      </w:r>
      <w:proofErr w:type="spellStart"/>
      <w:r w:rsidRPr="0018264B">
        <w:rPr>
          <w:rFonts w:ascii="Book Antiqua" w:hAnsi="Book Antiqua" w:cs="Arial"/>
          <w:color w:val="000000"/>
        </w:rPr>
        <w:t>Akth</w:t>
      </w:r>
      <w:r w:rsidR="000C6972" w:rsidRPr="0018264B">
        <w:rPr>
          <w:rFonts w:ascii="Book Antiqua" w:hAnsi="Book Antiqua" w:cs="Arial"/>
          <w:color w:val="000000"/>
        </w:rPr>
        <w:t>a</w:t>
      </w:r>
      <w:r w:rsidRPr="0018264B">
        <w:rPr>
          <w:rFonts w:ascii="Book Antiqua" w:hAnsi="Book Antiqua" w:cs="Arial"/>
          <w:color w:val="000000"/>
        </w:rPr>
        <w:t>r</w:t>
      </w:r>
      <w:proofErr w:type="spellEnd"/>
      <w:r w:rsidRPr="0018264B">
        <w:rPr>
          <w:rFonts w:ascii="Book Antiqua" w:hAnsi="Book Antiqua" w:cs="Arial"/>
          <w:color w:val="000000"/>
        </w:rPr>
        <w:t xml:space="preserve"> asked me to set the decision aside and to remit this case to the </w:t>
      </w:r>
      <w:r w:rsidR="000C6972" w:rsidRPr="0018264B">
        <w:rPr>
          <w:rFonts w:ascii="Book Antiqua" w:hAnsi="Book Antiqua" w:cs="Arial"/>
          <w:color w:val="000000"/>
        </w:rPr>
        <w:t>F</w:t>
      </w:r>
      <w:r w:rsidRPr="0018264B">
        <w:rPr>
          <w:rFonts w:ascii="Book Antiqua" w:hAnsi="Book Antiqua" w:cs="Arial"/>
          <w:color w:val="000000"/>
        </w:rPr>
        <w:t xml:space="preserve">irst-tier </w:t>
      </w:r>
      <w:r w:rsidR="000C6972" w:rsidRPr="0018264B">
        <w:rPr>
          <w:rFonts w:ascii="Book Antiqua" w:hAnsi="Book Antiqua" w:cs="Arial"/>
          <w:color w:val="000000"/>
        </w:rPr>
        <w:t>T</w:t>
      </w:r>
      <w:r w:rsidRPr="0018264B">
        <w:rPr>
          <w:rFonts w:ascii="Book Antiqua" w:hAnsi="Book Antiqua" w:cs="Arial"/>
          <w:color w:val="000000"/>
        </w:rPr>
        <w:t>ribunal to be determined of new.</w:t>
      </w:r>
    </w:p>
    <w:p w:rsidR="00CE6C59" w:rsidRPr="0018264B" w:rsidRDefault="00CE6C59" w:rsidP="00CE6C59">
      <w:pPr>
        <w:jc w:val="both"/>
        <w:rPr>
          <w:rFonts w:ascii="Book Antiqua" w:hAnsi="Book Antiqua" w:cs="Arial"/>
          <w:color w:val="000000"/>
        </w:rPr>
      </w:pPr>
    </w:p>
    <w:p w:rsidR="00CE6C59" w:rsidRPr="0018264B" w:rsidRDefault="00CE6C59" w:rsidP="00CE6C59">
      <w:pPr>
        <w:jc w:val="both"/>
        <w:rPr>
          <w:rFonts w:ascii="Book Antiqua" w:hAnsi="Book Antiqua" w:cs="Arial"/>
          <w:color w:val="000000"/>
          <w:u w:val="single"/>
        </w:rPr>
      </w:pPr>
      <w:r w:rsidRPr="0018264B">
        <w:rPr>
          <w:rFonts w:ascii="Book Antiqua" w:hAnsi="Book Antiqua" w:cs="Arial"/>
          <w:color w:val="000000"/>
          <w:u w:val="single"/>
        </w:rPr>
        <w:t>Analysis</w:t>
      </w:r>
    </w:p>
    <w:p w:rsidR="00CE6C59" w:rsidRPr="0018264B" w:rsidRDefault="00CE6C59" w:rsidP="00CE6C59">
      <w:pPr>
        <w:jc w:val="both"/>
        <w:rPr>
          <w:rFonts w:ascii="Book Antiqua" w:hAnsi="Book Antiqua" w:cs="Arial"/>
          <w:color w:val="000000"/>
        </w:rPr>
      </w:pPr>
    </w:p>
    <w:p w:rsidR="000C6972" w:rsidRPr="0018264B" w:rsidRDefault="00CE6C59" w:rsidP="000C6972">
      <w:pPr>
        <w:jc w:val="both"/>
        <w:rPr>
          <w:rFonts w:ascii="Book Antiqua" w:hAnsi="Book Antiqua" w:cs="Arial"/>
        </w:rPr>
      </w:pPr>
      <w:r w:rsidRPr="0018264B">
        <w:rPr>
          <w:rFonts w:ascii="Book Antiqua" w:hAnsi="Book Antiqua" w:cs="Arial"/>
          <w:color w:val="000000"/>
        </w:rPr>
        <w:t xml:space="preserve">6. </w:t>
      </w:r>
      <w:r w:rsidR="000C6972" w:rsidRPr="0018264B">
        <w:rPr>
          <w:rFonts w:ascii="Book Antiqua" w:hAnsi="Book Antiqua" w:cs="Arial"/>
        </w:rPr>
        <w:t xml:space="preserve">In </w:t>
      </w:r>
      <w:proofErr w:type="spellStart"/>
      <w:r w:rsidR="000C6972" w:rsidRPr="0018264B">
        <w:rPr>
          <w:rFonts w:ascii="Book Antiqua" w:hAnsi="Book Antiqua" w:cs="Arial"/>
          <w:u w:val="single"/>
        </w:rPr>
        <w:t>Nwaigwe</w:t>
      </w:r>
      <w:proofErr w:type="spellEnd"/>
      <w:r w:rsidR="000C6972" w:rsidRPr="0018264B">
        <w:rPr>
          <w:rFonts w:ascii="Book Antiqua" w:hAnsi="Book Antiqua" w:cs="Arial"/>
          <w:u w:val="single"/>
        </w:rPr>
        <w:t xml:space="preserve"> (adjournment: fairness)</w:t>
      </w:r>
      <w:r w:rsidR="000C6972" w:rsidRPr="0018264B">
        <w:rPr>
          <w:rFonts w:ascii="Book Antiqua" w:hAnsi="Book Antiqua" w:cs="Arial"/>
        </w:rPr>
        <w:t xml:space="preserve"> [2014] UKUT 00418 (IAC) it was held that if a Tribunal refuses to accede to an adjournment request, such decision could, in principle, be erroneous in law in several respects: these include a failure to take into account all material considerations; permitting immaterial considerations to intrude; denying the party concerned a fair hearing; failing to apply the correct test; and acting irrationally.  In practice, in most cases the question will be whether the refusal deprived the affected party of his right to a fair hearing.  Where an adjournment refusal is challenged on fairness grounds, it is important to recognise that the question for the Upper Tribunal is not whether the First-tier Tribunal acted reasonably.  Rather, the test to be applied is that of fairness:  was there any deprivation of the affected party’s right to a fair hearing?</w:t>
      </w:r>
    </w:p>
    <w:p w:rsidR="00545B34" w:rsidRPr="0018264B" w:rsidRDefault="00545B34" w:rsidP="000C6972">
      <w:pPr>
        <w:jc w:val="both"/>
        <w:rPr>
          <w:rFonts w:ascii="Book Antiqua" w:hAnsi="Book Antiqua" w:cs="Arial"/>
        </w:rPr>
      </w:pPr>
    </w:p>
    <w:p w:rsidR="00CE6C59" w:rsidRPr="0018264B" w:rsidRDefault="00CE6C59" w:rsidP="00CE6C59">
      <w:pPr>
        <w:jc w:val="both"/>
        <w:rPr>
          <w:rFonts w:ascii="Book Antiqua" w:hAnsi="Book Antiqua" w:cs="Arial"/>
        </w:rPr>
      </w:pPr>
      <w:r w:rsidRPr="0018264B">
        <w:rPr>
          <w:rFonts w:ascii="Book Antiqua" w:hAnsi="Book Antiqua" w:cs="Arial"/>
        </w:rPr>
        <w:t xml:space="preserve">7. It is now clear that the appellant was suffering from gastroenteritis on the day of the hearing before the </w:t>
      </w:r>
      <w:r w:rsidR="000C6972" w:rsidRPr="0018264B">
        <w:rPr>
          <w:rFonts w:ascii="Book Antiqua" w:hAnsi="Book Antiqua" w:cs="Arial"/>
        </w:rPr>
        <w:t>F</w:t>
      </w:r>
      <w:r w:rsidRPr="0018264B">
        <w:rPr>
          <w:rFonts w:ascii="Book Antiqua" w:hAnsi="Book Antiqua" w:cs="Arial"/>
        </w:rPr>
        <w:t xml:space="preserve">irst-tier tribunal. He could not have been expected to participate in the hearing. The combination of the appellant’s illness and the </w:t>
      </w:r>
      <w:r w:rsidR="000C6972" w:rsidRPr="0018264B">
        <w:rPr>
          <w:rFonts w:ascii="Book Antiqua" w:hAnsi="Book Antiqua" w:cs="Arial"/>
        </w:rPr>
        <w:t>J</w:t>
      </w:r>
      <w:r w:rsidRPr="0018264B">
        <w:rPr>
          <w:rFonts w:ascii="Book Antiqua" w:hAnsi="Book Antiqua" w:cs="Arial"/>
        </w:rPr>
        <w:t>udge’s refusal to adjourn effectively excluded the appellant from his own appeal hearing.</w:t>
      </w:r>
    </w:p>
    <w:p w:rsidR="00CE6C59" w:rsidRPr="0018264B" w:rsidRDefault="00CE6C59" w:rsidP="00CE6C59">
      <w:pPr>
        <w:jc w:val="both"/>
        <w:rPr>
          <w:rFonts w:ascii="Book Antiqua" w:hAnsi="Book Antiqua" w:cs="Arial"/>
        </w:rPr>
      </w:pPr>
    </w:p>
    <w:p w:rsidR="00CE6C59" w:rsidRPr="0018264B" w:rsidRDefault="00CE6C59" w:rsidP="00CE6C59">
      <w:pPr>
        <w:jc w:val="both"/>
        <w:rPr>
          <w:rFonts w:ascii="Book Antiqua" w:hAnsi="Book Antiqua" w:cs="Arial"/>
        </w:rPr>
      </w:pPr>
      <w:r w:rsidRPr="0018264B">
        <w:rPr>
          <w:rFonts w:ascii="Book Antiqua" w:hAnsi="Book Antiqua" w:cs="Arial"/>
        </w:rPr>
        <w:lastRenderedPageBreak/>
        <w:t>8. I therefore find that the decision promulgated on 16 April 2018 contains a material error of law, because the proceedings were tainted by unfairness. I set the decision aside.</w:t>
      </w:r>
    </w:p>
    <w:p w:rsidR="00CE6C59" w:rsidRPr="0018264B" w:rsidRDefault="00CE6C59" w:rsidP="00CE6C59">
      <w:pPr>
        <w:jc w:val="both"/>
        <w:rPr>
          <w:rFonts w:ascii="Book Antiqua" w:hAnsi="Book Antiqua" w:cs="Arial"/>
        </w:rPr>
      </w:pPr>
    </w:p>
    <w:p w:rsidR="00CE6C59" w:rsidRPr="0018264B" w:rsidRDefault="00CE6C59" w:rsidP="00CE6C59">
      <w:pPr>
        <w:jc w:val="both"/>
        <w:rPr>
          <w:rFonts w:ascii="Book Antiqua" w:hAnsi="Book Antiqua" w:cs="Arial"/>
        </w:rPr>
      </w:pPr>
      <w:r w:rsidRPr="0018264B">
        <w:rPr>
          <w:rFonts w:ascii="Book Antiqua" w:hAnsi="Book Antiqua" w:cs="Arial"/>
        </w:rPr>
        <w:t>9. I cannot substitute my own decision because a new fact-finding exercise is necessary.</w:t>
      </w:r>
    </w:p>
    <w:p w:rsidR="00946365" w:rsidRPr="0018264B" w:rsidRDefault="00946365" w:rsidP="00946365">
      <w:pPr>
        <w:spacing w:before="240"/>
        <w:jc w:val="both"/>
        <w:rPr>
          <w:rFonts w:ascii="Book Antiqua" w:hAnsi="Book Antiqua" w:cs="Calibri"/>
          <w:u w:val="single"/>
        </w:rPr>
      </w:pPr>
      <w:r w:rsidRPr="0018264B">
        <w:rPr>
          <w:rFonts w:ascii="Book Antiqua" w:hAnsi="Book Antiqua" w:cs="Calibri"/>
          <w:u w:val="single"/>
        </w:rPr>
        <w:t>Remittal to First-Tier Tribunal</w:t>
      </w:r>
    </w:p>
    <w:p w:rsidR="00946365" w:rsidRPr="0018264B" w:rsidRDefault="00946365" w:rsidP="00946365">
      <w:pPr>
        <w:spacing w:before="240"/>
        <w:jc w:val="both"/>
        <w:rPr>
          <w:rFonts w:ascii="Book Antiqua" w:hAnsi="Book Antiqua" w:cs="Calibri"/>
        </w:rPr>
      </w:pPr>
      <w:r w:rsidRPr="0018264B">
        <w:rPr>
          <w:rFonts w:ascii="Book Antiqua" w:hAnsi="Book Antiqua" w:cs="Calibri"/>
        </w:rPr>
        <w:t>10. Under Part 3 paragraph 7.2(b) of the Upper Tribunal Practice Statement of the 25</w:t>
      </w:r>
      <w:r w:rsidRPr="0018264B">
        <w:rPr>
          <w:rFonts w:ascii="Book Antiqua" w:hAnsi="Book Antiqua" w:cs="Calibri"/>
          <w:vertAlign w:val="superscript"/>
        </w:rPr>
        <w:t>th</w:t>
      </w:r>
      <w:r w:rsidRPr="0018264B">
        <w:rPr>
          <w:rFonts w:ascii="Book Antiqua" w:hAnsi="Book Antiqua" w:cs="Calibri"/>
        </w:rPr>
        <w:t xml:space="preserve"> of September 2012 the case may be remitted to the First-tier Tribunal if the Upper Tribunal is satisfied that:</w:t>
      </w:r>
    </w:p>
    <w:p w:rsidR="00946365" w:rsidRPr="0018264B" w:rsidRDefault="00946365" w:rsidP="00946365">
      <w:pPr>
        <w:spacing w:before="240"/>
        <w:ind w:left="360" w:firstLine="60"/>
        <w:jc w:val="both"/>
        <w:rPr>
          <w:rFonts w:ascii="Book Antiqua" w:hAnsi="Book Antiqua" w:cs="Calibri"/>
          <w:color w:val="000000"/>
          <w:sz w:val="22"/>
          <w:szCs w:val="22"/>
          <w:lang w:eastAsia="en-US"/>
        </w:rPr>
      </w:pPr>
      <w:r w:rsidRPr="0018264B">
        <w:rPr>
          <w:rFonts w:ascii="Book Antiqua" w:hAnsi="Book Antiqua" w:cs="Calibri"/>
          <w:color w:val="000000"/>
          <w:sz w:val="22"/>
          <w:szCs w:val="22"/>
          <w:lang w:eastAsia="en-US"/>
        </w:rPr>
        <w:t xml:space="preserve">(a) the effect of the error has been to deprive a party before the First-tier Tribunal of a fair hearing or other opportunity for that party’s case to be put to and considered by the First-tier Tribunal; or </w:t>
      </w:r>
    </w:p>
    <w:p w:rsidR="00946365" w:rsidRPr="0018264B" w:rsidRDefault="00946365" w:rsidP="00946365">
      <w:pPr>
        <w:autoSpaceDE w:val="0"/>
        <w:autoSpaceDN w:val="0"/>
        <w:adjustRightInd w:val="0"/>
        <w:ind w:left="360"/>
        <w:rPr>
          <w:rFonts w:ascii="Book Antiqua" w:hAnsi="Book Antiqua" w:cs="Calibri"/>
          <w:color w:val="000000"/>
          <w:sz w:val="22"/>
          <w:szCs w:val="22"/>
          <w:lang w:eastAsia="en-US"/>
        </w:rPr>
      </w:pPr>
    </w:p>
    <w:p w:rsidR="00946365" w:rsidRPr="0018264B" w:rsidRDefault="00946365" w:rsidP="00946365">
      <w:pPr>
        <w:autoSpaceDE w:val="0"/>
        <w:autoSpaceDN w:val="0"/>
        <w:adjustRightInd w:val="0"/>
        <w:ind w:left="360"/>
        <w:rPr>
          <w:rFonts w:ascii="Book Antiqua" w:hAnsi="Book Antiqua" w:cs="Calibri"/>
          <w:color w:val="000000"/>
          <w:sz w:val="22"/>
          <w:szCs w:val="22"/>
          <w:lang w:eastAsia="en-US"/>
        </w:rPr>
      </w:pPr>
      <w:r w:rsidRPr="0018264B">
        <w:rPr>
          <w:rFonts w:ascii="Book Antiqua" w:hAnsi="Book Antiqua" w:cs="Calibri"/>
          <w:color w:val="000000"/>
          <w:sz w:val="22"/>
          <w:szCs w:val="22"/>
          <w:lang w:eastAsia="en-US"/>
        </w:rPr>
        <w:t xml:space="preserve">(b) the nature or extent of any judicial fact finding which is necessary in order for the decision in the appeal to be re-made is such that, having regard to the overriding objective in rule 2, it is appropriate to remit the case to the First-tier Tribunal. </w:t>
      </w:r>
    </w:p>
    <w:p w:rsidR="00946365" w:rsidRPr="0018264B" w:rsidRDefault="00946365" w:rsidP="00946365">
      <w:pPr>
        <w:spacing w:before="240"/>
        <w:jc w:val="both"/>
        <w:rPr>
          <w:rFonts w:ascii="Book Antiqua" w:hAnsi="Book Antiqua" w:cs="Calibri"/>
        </w:rPr>
      </w:pPr>
      <w:r w:rsidRPr="0018264B">
        <w:rPr>
          <w:rFonts w:ascii="Book Antiqua" w:hAnsi="Book Antiqua" w:cs="Calibri"/>
        </w:rPr>
        <w:t xml:space="preserve">11. In this case I have determined that the case should be remitted because a new fact-finding exercise is required.  None of the findings of fact are to stand and a complete re hearing is necessary. </w:t>
      </w:r>
    </w:p>
    <w:p w:rsidR="00946365" w:rsidRPr="0018264B" w:rsidRDefault="00946365" w:rsidP="00946365">
      <w:pPr>
        <w:spacing w:before="240"/>
        <w:jc w:val="both"/>
        <w:rPr>
          <w:rFonts w:ascii="Book Antiqua" w:hAnsi="Book Antiqua" w:cs="Calibri"/>
        </w:rPr>
      </w:pPr>
      <w:r w:rsidRPr="0018264B">
        <w:rPr>
          <w:rFonts w:ascii="Book Antiqua" w:hAnsi="Book Antiqua" w:cs="Calibri"/>
        </w:rPr>
        <w:t xml:space="preserve">12. I remit the matter to the First-tier Tribunal sitting at Hatton Cross to be heard before any First-tier Judge other than Judge Behan. </w:t>
      </w:r>
    </w:p>
    <w:p w:rsidR="00946365" w:rsidRPr="0018264B" w:rsidRDefault="00946365" w:rsidP="00946365">
      <w:pPr>
        <w:spacing w:before="240"/>
        <w:jc w:val="both"/>
        <w:rPr>
          <w:rFonts w:ascii="Book Antiqua" w:hAnsi="Book Antiqua" w:cs="Calibri"/>
        </w:rPr>
      </w:pPr>
      <w:r w:rsidRPr="0018264B">
        <w:rPr>
          <w:rFonts w:ascii="Book Antiqua" w:hAnsi="Book Antiqua" w:cs="Calibri"/>
          <w:b/>
        </w:rPr>
        <w:t>Decision</w:t>
      </w:r>
    </w:p>
    <w:p w:rsidR="00946365" w:rsidRPr="00520DD6" w:rsidRDefault="00946365" w:rsidP="00946365">
      <w:pPr>
        <w:spacing w:before="240"/>
        <w:jc w:val="both"/>
        <w:rPr>
          <w:rFonts w:ascii="Book Antiqua" w:hAnsi="Book Antiqua" w:cs="Calibri"/>
          <w:b/>
        </w:rPr>
      </w:pPr>
      <w:r w:rsidRPr="0018264B">
        <w:rPr>
          <w:rFonts w:ascii="Book Antiqua" w:hAnsi="Book Antiqua" w:cs="Calibri"/>
          <w:b/>
        </w:rPr>
        <w:t>18. The decision of the First-tier Tribunal is tainted by material errors of</w:t>
      </w:r>
      <w:r w:rsidRPr="00520DD6">
        <w:rPr>
          <w:rFonts w:ascii="Book Antiqua" w:hAnsi="Book Antiqua" w:cs="Calibri"/>
          <w:b/>
        </w:rPr>
        <w:t xml:space="preserve"> law.</w:t>
      </w:r>
    </w:p>
    <w:p w:rsidR="0018264B" w:rsidRDefault="00946365" w:rsidP="0018264B">
      <w:pPr>
        <w:spacing w:before="240"/>
        <w:jc w:val="both"/>
        <w:rPr>
          <w:rFonts w:ascii="Book Antiqua" w:hAnsi="Book Antiqua" w:cs="Calibri"/>
          <w:b/>
        </w:rPr>
      </w:pPr>
      <w:r w:rsidRPr="00520DD6">
        <w:rPr>
          <w:rFonts w:ascii="Book Antiqua" w:hAnsi="Book Antiqua" w:cs="Calibri"/>
          <w:b/>
        </w:rPr>
        <w:t xml:space="preserve">19. I set aside the Judge’s decision promulgated on </w:t>
      </w:r>
      <w:r>
        <w:rPr>
          <w:rFonts w:ascii="Book Antiqua" w:hAnsi="Book Antiqua" w:cs="Calibri"/>
          <w:b/>
        </w:rPr>
        <w:t>16 April</w:t>
      </w:r>
      <w:r w:rsidRPr="00520DD6">
        <w:rPr>
          <w:rFonts w:ascii="Book Antiqua" w:hAnsi="Book Antiqua" w:cs="Arial"/>
          <w:b/>
        </w:rPr>
        <w:t xml:space="preserve"> 2018</w:t>
      </w:r>
      <w:r w:rsidRPr="00520DD6">
        <w:rPr>
          <w:rFonts w:ascii="Book Antiqua" w:hAnsi="Book Antiqua" w:cs="Calibri"/>
          <w:b/>
        </w:rPr>
        <w:t xml:space="preserve">. The appeal is remitted to the First-tier Tribunal to be determined of new. </w:t>
      </w:r>
    </w:p>
    <w:p w:rsidR="000D4169" w:rsidRDefault="000D4169" w:rsidP="0018264B">
      <w:pPr>
        <w:spacing w:before="240"/>
        <w:jc w:val="both"/>
        <w:rPr>
          <w:rFonts w:ascii="Book Antiqua" w:hAnsi="Book Antiqua" w:cs="Calibri"/>
        </w:rPr>
      </w:pPr>
    </w:p>
    <w:p w:rsidR="00946365" w:rsidRPr="0018264B" w:rsidRDefault="000D4169" w:rsidP="0018264B">
      <w:pPr>
        <w:spacing w:before="240"/>
        <w:jc w:val="both"/>
        <w:rPr>
          <w:rFonts w:ascii="Book Antiqua" w:hAnsi="Book Antiqua" w:cs="Calibri"/>
          <w:b/>
        </w:rPr>
      </w:pPr>
      <w:r>
        <w:rPr>
          <w:noProof/>
        </w:rPr>
        <w:drawing>
          <wp:anchor distT="0" distB="0" distL="114300" distR="114300" simplePos="0" relativeHeight="251657728" behindDoc="0" locked="0" layoutInCell="1" allowOverlap="0">
            <wp:simplePos x="0" y="0"/>
            <wp:positionH relativeFrom="page">
              <wp:posOffset>1139825</wp:posOffset>
            </wp:positionH>
            <wp:positionV relativeFrom="page">
              <wp:posOffset>7575550</wp:posOffset>
            </wp:positionV>
            <wp:extent cx="2867025" cy="971550"/>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264B">
        <w:rPr>
          <w:rFonts w:ascii="Book Antiqua" w:hAnsi="Book Antiqua" w:cs="Calibri"/>
        </w:rPr>
        <w:t>S</w:t>
      </w:r>
      <w:r w:rsidR="00946365" w:rsidRPr="00D91937">
        <w:rPr>
          <w:rFonts w:ascii="Book Antiqua" w:hAnsi="Book Antiqua" w:cs="Calibri"/>
        </w:rPr>
        <w:t xml:space="preserve">igned                </w:t>
      </w:r>
      <w:r w:rsidR="00946365">
        <w:rPr>
          <w:rFonts w:ascii="Book Antiqua" w:hAnsi="Book Antiqua" w:cs="Calibri"/>
        </w:rPr>
        <w:t xml:space="preserve">                               </w:t>
      </w:r>
      <w:r w:rsidR="00946365" w:rsidRPr="00D91937">
        <w:rPr>
          <w:rFonts w:ascii="Book Antiqua" w:hAnsi="Book Antiqua" w:cs="Calibri"/>
        </w:rPr>
        <w:t xml:space="preserve">                                              Date </w:t>
      </w:r>
      <w:r w:rsidR="00946365">
        <w:rPr>
          <w:rFonts w:ascii="Book Antiqua" w:hAnsi="Book Antiqua" w:cs="Calibri"/>
        </w:rPr>
        <w:t>9 July 2018</w:t>
      </w:r>
      <w:r w:rsidR="00946365" w:rsidRPr="00D91937">
        <w:rPr>
          <w:rFonts w:ascii="Book Antiqua" w:hAnsi="Book Antiqua" w:cs="Calibri"/>
        </w:rPr>
        <w:t xml:space="preserve">    </w:t>
      </w:r>
    </w:p>
    <w:p w:rsidR="00946365" w:rsidRPr="00D91937" w:rsidRDefault="00946365" w:rsidP="00946365">
      <w:pPr>
        <w:tabs>
          <w:tab w:val="left" w:pos="2520"/>
        </w:tabs>
        <w:rPr>
          <w:rFonts w:ascii="Book Antiqua" w:hAnsi="Book Antiqua" w:cs="Calibri"/>
        </w:rPr>
      </w:pPr>
    </w:p>
    <w:p w:rsidR="00946365" w:rsidRPr="00177209" w:rsidRDefault="00946365" w:rsidP="0018264B">
      <w:pPr>
        <w:tabs>
          <w:tab w:val="left" w:pos="2520"/>
        </w:tabs>
        <w:rPr>
          <w:rFonts w:ascii="Book Antiqua" w:hAnsi="Book Antiqua" w:cs="Arial"/>
          <w:color w:val="000000"/>
        </w:rPr>
      </w:pPr>
      <w:r w:rsidRPr="00D91937">
        <w:rPr>
          <w:rFonts w:ascii="Book Antiqua" w:hAnsi="Book Antiqua" w:cs="Calibri"/>
        </w:rPr>
        <w:t>Deputy Upper Tribunal Judge Doyle</w:t>
      </w:r>
    </w:p>
    <w:p w:rsidR="00946365" w:rsidRPr="003A71FC" w:rsidRDefault="00946365" w:rsidP="00946365">
      <w:pPr>
        <w:jc w:val="both"/>
        <w:rPr>
          <w:rFonts w:ascii="Book Antiqua" w:hAnsi="Book Antiqua" w:cs="Arial"/>
          <w:color w:val="000000"/>
        </w:rPr>
      </w:pPr>
      <w:bookmarkStart w:id="0" w:name="_GoBack"/>
      <w:bookmarkEnd w:id="0"/>
    </w:p>
    <w:sectPr w:rsidR="00946365" w:rsidRPr="003A71FC" w:rsidSect="001D592F">
      <w:headerReference w:type="default" r:id="rId9"/>
      <w:footerReference w:type="default" r:id="rId10"/>
      <w:footerReference w:type="first" r:id="rId11"/>
      <w:pgSz w:w="11906" w:h="16838"/>
      <w:pgMar w:top="56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E18" w:rsidRDefault="00A51E18" w:rsidP="00100C3C">
      <w:r>
        <w:separator/>
      </w:r>
    </w:p>
  </w:endnote>
  <w:endnote w:type="continuationSeparator" w:id="0">
    <w:p w:rsidR="00A51E18" w:rsidRDefault="00A51E18"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FF7" w:rsidRPr="000D4169" w:rsidRDefault="00191FF7">
    <w:pPr>
      <w:pStyle w:val="Footer"/>
      <w:jc w:val="center"/>
      <w:rPr>
        <w:rFonts w:ascii="Book Antiqua" w:hAnsi="Book Antiqua"/>
      </w:rPr>
    </w:pPr>
    <w:r w:rsidRPr="000D4169">
      <w:rPr>
        <w:rFonts w:ascii="Book Antiqua" w:hAnsi="Book Antiqua"/>
      </w:rPr>
      <w:fldChar w:fldCharType="begin"/>
    </w:r>
    <w:r w:rsidRPr="000D4169">
      <w:rPr>
        <w:rFonts w:ascii="Book Antiqua" w:hAnsi="Book Antiqua"/>
      </w:rPr>
      <w:instrText xml:space="preserve"> PAGE   \* MERGEFORMAT </w:instrText>
    </w:r>
    <w:r w:rsidRPr="000D4169">
      <w:rPr>
        <w:rFonts w:ascii="Book Antiqua" w:hAnsi="Book Antiqua"/>
      </w:rPr>
      <w:fldChar w:fldCharType="separate"/>
    </w:r>
    <w:r w:rsidR="00F719DD">
      <w:rPr>
        <w:rFonts w:ascii="Book Antiqua" w:hAnsi="Book Antiqua"/>
        <w:noProof/>
      </w:rPr>
      <w:t>3</w:t>
    </w:r>
    <w:r w:rsidRPr="000D4169">
      <w:rPr>
        <w:rFonts w:ascii="Book Antiqua" w:hAnsi="Book Antiqua"/>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FF7" w:rsidRPr="001D592F" w:rsidRDefault="00191FF7" w:rsidP="00191FF7">
    <w:pPr>
      <w:pStyle w:val="Footer"/>
      <w:jc w:val="center"/>
      <w:rPr>
        <w:rFonts w:ascii="Book Antiqua" w:hAnsi="Book Antiqua"/>
        <w:b/>
      </w:rPr>
    </w:pPr>
    <w:r w:rsidRPr="001D592F">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E18" w:rsidRDefault="00A51E18" w:rsidP="00100C3C">
      <w:r>
        <w:separator/>
      </w:r>
    </w:p>
  </w:footnote>
  <w:footnote w:type="continuationSeparator" w:id="0">
    <w:p w:rsidR="00A51E18" w:rsidRDefault="00A51E18"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A7E" w:rsidRDefault="00257A7E" w:rsidP="00257A7E">
    <w:pPr>
      <w:pStyle w:val="Header"/>
      <w:jc w:val="right"/>
      <w:rPr>
        <w:rFonts w:ascii="Book Antiqua" w:hAnsi="Book Antiqua" w:cs="Arial"/>
        <w:color w:val="000000"/>
        <w:sz w:val="16"/>
        <w:szCs w:val="16"/>
      </w:rPr>
    </w:pPr>
    <w:r w:rsidRPr="001D592F">
      <w:rPr>
        <w:rFonts w:ascii="Book Antiqua" w:hAnsi="Book Antiqua" w:cs="Arial"/>
        <w:color w:val="000000"/>
        <w:sz w:val="16"/>
        <w:szCs w:val="16"/>
      </w:rPr>
      <w:t>Appeal Number: PA/00301/2018</w:t>
    </w:r>
  </w:p>
  <w:p w:rsidR="001D592F" w:rsidRPr="001D592F" w:rsidRDefault="001D592F" w:rsidP="00257A7E">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6C8C"/>
    <w:rsid w:val="00057D63"/>
    <w:rsid w:val="00087FA9"/>
    <w:rsid w:val="000A151F"/>
    <w:rsid w:val="000C6972"/>
    <w:rsid w:val="000C7AB3"/>
    <w:rsid w:val="000D4169"/>
    <w:rsid w:val="00100A74"/>
    <w:rsid w:val="00100C3C"/>
    <w:rsid w:val="00101152"/>
    <w:rsid w:val="00106B9E"/>
    <w:rsid w:val="001103E5"/>
    <w:rsid w:val="00125BE8"/>
    <w:rsid w:val="00156F09"/>
    <w:rsid w:val="00175865"/>
    <w:rsid w:val="0018264B"/>
    <w:rsid w:val="00191FF7"/>
    <w:rsid w:val="00193D40"/>
    <w:rsid w:val="001C525B"/>
    <w:rsid w:val="001D0D8E"/>
    <w:rsid w:val="001D0EA7"/>
    <w:rsid w:val="001D592F"/>
    <w:rsid w:val="001E400D"/>
    <w:rsid w:val="001F7535"/>
    <w:rsid w:val="00206AD6"/>
    <w:rsid w:val="00207C3C"/>
    <w:rsid w:val="00212A44"/>
    <w:rsid w:val="002328A4"/>
    <w:rsid w:val="002479DB"/>
    <w:rsid w:val="00250580"/>
    <w:rsid w:val="0025433B"/>
    <w:rsid w:val="00257A7E"/>
    <w:rsid w:val="002606C4"/>
    <w:rsid w:val="002679F8"/>
    <w:rsid w:val="00286604"/>
    <w:rsid w:val="00286813"/>
    <w:rsid w:val="0029727A"/>
    <w:rsid w:val="002B10FF"/>
    <w:rsid w:val="002B37DF"/>
    <w:rsid w:val="002C57F5"/>
    <w:rsid w:val="002D3A23"/>
    <w:rsid w:val="00337E31"/>
    <w:rsid w:val="003705A9"/>
    <w:rsid w:val="00376746"/>
    <w:rsid w:val="0038281F"/>
    <w:rsid w:val="00394B69"/>
    <w:rsid w:val="003A4F86"/>
    <w:rsid w:val="003B4C45"/>
    <w:rsid w:val="003E1CC7"/>
    <w:rsid w:val="003E368E"/>
    <w:rsid w:val="00440EE7"/>
    <w:rsid w:val="00451F8E"/>
    <w:rsid w:val="00496085"/>
    <w:rsid w:val="004B4D22"/>
    <w:rsid w:val="004C11B0"/>
    <w:rsid w:val="004C3399"/>
    <w:rsid w:val="00503FAE"/>
    <w:rsid w:val="0052314A"/>
    <w:rsid w:val="0052555D"/>
    <w:rsid w:val="00535119"/>
    <w:rsid w:val="00544C99"/>
    <w:rsid w:val="00545B34"/>
    <w:rsid w:val="005537BC"/>
    <w:rsid w:val="00576476"/>
    <w:rsid w:val="00586795"/>
    <w:rsid w:val="005949C8"/>
    <w:rsid w:val="005D6496"/>
    <w:rsid w:val="005E51FD"/>
    <w:rsid w:val="005F291B"/>
    <w:rsid w:val="005F7BFE"/>
    <w:rsid w:val="00622E11"/>
    <w:rsid w:val="00633A16"/>
    <w:rsid w:val="00662F00"/>
    <w:rsid w:val="0068187C"/>
    <w:rsid w:val="00692AD9"/>
    <w:rsid w:val="006A6CBF"/>
    <w:rsid w:val="006B3761"/>
    <w:rsid w:val="006B4EEE"/>
    <w:rsid w:val="006D4FF0"/>
    <w:rsid w:val="006F1422"/>
    <w:rsid w:val="006F6689"/>
    <w:rsid w:val="00703BAB"/>
    <w:rsid w:val="0071333E"/>
    <w:rsid w:val="007258A2"/>
    <w:rsid w:val="007311FD"/>
    <w:rsid w:val="007344E6"/>
    <w:rsid w:val="00755830"/>
    <w:rsid w:val="007702AD"/>
    <w:rsid w:val="007921BE"/>
    <w:rsid w:val="0079558F"/>
    <w:rsid w:val="007A6B68"/>
    <w:rsid w:val="007A76EA"/>
    <w:rsid w:val="007C3085"/>
    <w:rsid w:val="00802508"/>
    <w:rsid w:val="008045DC"/>
    <w:rsid w:val="00846BC6"/>
    <w:rsid w:val="00850890"/>
    <w:rsid w:val="00851608"/>
    <w:rsid w:val="00856DD6"/>
    <w:rsid w:val="008743FA"/>
    <w:rsid w:val="008768BA"/>
    <w:rsid w:val="0088245D"/>
    <w:rsid w:val="008A1E22"/>
    <w:rsid w:val="008B64E3"/>
    <w:rsid w:val="008E5837"/>
    <w:rsid w:val="009014D6"/>
    <w:rsid w:val="00904942"/>
    <w:rsid w:val="00912ADE"/>
    <w:rsid w:val="00946365"/>
    <w:rsid w:val="00951A7F"/>
    <w:rsid w:val="00963C62"/>
    <w:rsid w:val="00987890"/>
    <w:rsid w:val="00991B39"/>
    <w:rsid w:val="009C17A7"/>
    <w:rsid w:val="009C4477"/>
    <w:rsid w:val="009C7AD9"/>
    <w:rsid w:val="009E3C93"/>
    <w:rsid w:val="00A033BF"/>
    <w:rsid w:val="00A318AF"/>
    <w:rsid w:val="00A51E18"/>
    <w:rsid w:val="00A52BA2"/>
    <w:rsid w:val="00A72A15"/>
    <w:rsid w:val="00A75FBA"/>
    <w:rsid w:val="00A822BE"/>
    <w:rsid w:val="00A84187"/>
    <w:rsid w:val="00A84ABA"/>
    <w:rsid w:val="00A94A10"/>
    <w:rsid w:val="00AC1C4E"/>
    <w:rsid w:val="00AD1956"/>
    <w:rsid w:val="00AD1D26"/>
    <w:rsid w:val="00AD6AA7"/>
    <w:rsid w:val="00B17E67"/>
    <w:rsid w:val="00B20F7E"/>
    <w:rsid w:val="00B234FF"/>
    <w:rsid w:val="00B66B6A"/>
    <w:rsid w:val="00B74B3C"/>
    <w:rsid w:val="00B96515"/>
    <w:rsid w:val="00BA7D3F"/>
    <w:rsid w:val="00BF1784"/>
    <w:rsid w:val="00C02574"/>
    <w:rsid w:val="00C11224"/>
    <w:rsid w:val="00C3034E"/>
    <w:rsid w:val="00C51FA3"/>
    <w:rsid w:val="00C57B75"/>
    <w:rsid w:val="00C736F6"/>
    <w:rsid w:val="00C76422"/>
    <w:rsid w:val="00C8431F"/>
    <w:rsid w:val="00C91439"/>
    <w:rsid w:val="00C914E4"/>
    <w:rsid w:val="00CA1765"/>
    <w:rsid w:val="00CB1B50"/>
    <w:rsid w:val="00CD37F5"/>
    <w:rsid w:val="00CD4491"/>
    <w:rsid w:val="00CE46A0"/>
    <w:rsid w:val="00CE6C59"/>
    <w:rsid w:val="00CF53A6"/>
    <w:rsid w:val="00D15FB3"/>
    <w:rsid w:val="00D16669"/>
    <w:rsid w:val="00D23A33"/>
    <w:rsid w:val="00D44CE1"/>
    <w:rsid w:val="00D45AD5"/>
    <w:rsid w:val="00D55991"/>
    <w:rsid w:val="00D77083"/>
    <w:rsid w:val="00D903CC"/>
    <w:rsid w:val="00D905E2"/>
    <w:rsid w:val="00DB2691"/>
    <w:rsid w:val="00DB4A2E"/>
    <w:rsid w:val="00DC358B"/>
    <w:rsid w:val="00DD3D9E"/>
    <w:rsid w:val="00DF0A76"/>
    <w:rsid w:val="00DF7CE8"/>
    <w:rsid w:val="00E050B8"/>
    <w:rsid w:val="00E204FA"/>
    <w:rsid w:val="00E40F9B"/>
    <w:rsid w:val="00E4195B"/>
    <w:rsid w:val="00E41B40"/>
    <w:rsid w:val="00E44430"/>
    <w:rsid w:val="00E50FC7"/>
    <w:rsid w:val="00E620CF"/>
    <w:rsid w:val="00E87A0E"/>
    <w:rsid w:val="00E92C51"/>
    <w:rsid w:val="00EA79DE"/>
    <w:rsid w:val="00F232EA"/>
    <w:rsid w:val="00F44074"/>
    <w:rsid w:val="00F55A1F"/>
    <w:rsid w:val="00F56A71"/>
    <w:rsid w:val="00F719DD"/>
    <w:rsid w:val="00F73763"/>
    <w:rsid w:val="00F751BB"/>
    <w:rsid w:val="00F833C5"/>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2BC36D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2018-07-27T12:59:00Z</dcterms:created>
  <dcterms:modified xsi:type="dcterms:W3CDTF">2018-07-27T13:00:00Z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