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AC71BF" w:rsidP="00C321B5">
      <w:pPr>
        <w:jc w:val="center"/>
        <w:rPr>
          <w:rFonts w:ascii="Book Antiqua" w:hAnsi="Book Antiqua" w:cs="Arial"/>
          <w:sz w:val="16"/>
          <w:szCs w:val="1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81pt">
            <v:imagedata r:id="rId7" o:title=""/>
          </v:shape>
        </w:pict>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AC71BF" w:rsidRDefault="00C321B5" w:rsidP="00B626FA">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AC71BF">
        <w:rPr>
          <w:rFonts w:ascii="Book Antiqua" w:hAnsi="Book Antiqua" w:cs="Arial"/>
          <w:b/>
        </w:rPr>
        <w:t xml:space="preserve">   </w:t>
      </w:r>
      <w:proofErr w:type="gramEnd"/>
      <w:r w:rsidR="00AC71BF">
        <w:rPr>
          <w:rFonts w:ascii="Book Antiqua" w:hAnsi="Book Antiqua" w:cs="Arial"/>
          <w:b/>
        </w:rPr>
        <w:t xml:space="preserve">                   </w:t>
      </w:r>
      <w:r w:rsidR="00B3524D" w:rsidRPr="00AC71BF">
        <w:rPr>
          <w:rFonts w:ascii="Book Antiqua" w:hAnsi="Book Antiqua" w:cs="Arial"/>
          <w:b/>
        </w:rPr>
        <w:t>Appeal Number</w:t>
      </w:r>
      <w:r w:rsidR="00D53769" w:rsidRPr="00AC71BF">
        <w:rPr>
          <w:rFonts w:ascii="Book Antiqua" w:hAnsi="Book Antiqua" w:cs="Arial"/>
          <w:b/>
        </w:rPr>
        <w:t>:</w:t>
      </w:r>
      <w:r w:rsidR="00B3524D" w:rsidRPr="00AC71BF">
        <w:rPr>
          <w:rFonts w:ascii="Book Antiqua" w:hAnsi="Book Antiqua" w:cs="Arial"/>
          <w:b/>
        </w:rPr>
        <w:t xml:space="preserve"> </w:t>
      </w:r>
      <w:r w:rsidR="00B4682A" w:rsidRPr="00AC71BF">
        <w:rPr>
          <w:rFonts w:ascii="Book Antiqua" w:hAnsi="Book Antiqua" w:cs="Arial"/>
          <w:b/>
          <w:caps/>
        </w:rPr>
        <w:t>PA/00350/2018</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53"/>
        <w:gridCol w:w="695"/>
        <w:gridCol w:w="3960"/>
      </w:tblGrid>
      <w:tr w:rsidR="00D22636" w:rsidRPr="009906BD" w:rsidTr="00AC71BF">
        <w:tc>
          <w:tcPr>
            <w:tcW w:w="5353" w:type="dxa"/>
            <w:shd w:val="clear" w:color="auto" w:fill="auto"/>
          </w:tcPr>
          <w:p w:rsidR="00D22636" w:rsidRPr="009906BD" w:rsidRDefault="00D22636" w:rsidP="009906BD">
            <w:pPr>
              <w:jc w:val="both"/>
              <w:rPr>
                <w:rFonts w:ascii="Book Antiqua" w:hAnsi="Book Antiqua" w:cs="Arial"/>
                <w:b/>
              </w:rPr>
            </w:pPr>
            <w:r w:rsidRPr="009906BD">
              <w:rPr>
                <w:rFonts w:ascii="Book Antiqua" w:hAnsi="Book Antiqua" w:cs="Arial"/>
                <w:b/>
              </w:rPr>
              <w:t xml:space="preserve">Heard at </w:t>
            </w:r>
            <w:r w:rsidR="00B4682A" w:rsidRPr="009906BD">
              <w:rPr>
                <w:rFonts w:ascii="Book Antiqua" w:hAnsi="Book Antiqua" w:cs="Arial"/>
                <w:b/>
              </w:rPr>
              <w:t xml:space="preserve">Field House </w:t>
            </w:r>
          </w:p>
        </w:tc>
        <w:tc>
          <w:tcPr>
            <w:tcW w:w="4655" w:type="dxa"/>
            <w:gridSpan w:val="2"/>
            <w:shd w:val="clear" w:color="auto" w:fill="auto"/>
          </w:tcPr>
          <w:p w:rsidR="00D22636" w:rsidRPr="009906BD" w:rsidRDefault="009F518E" w:rsidP="009906BD">
            <w:pPr>
              <w:jc w:val="both"/>
              <w:rPr>
                <w:rFonts w:ascii="Book Antiqua" w:hAnsi="Book Antiqua" w:cs="Arial"/>
                <w:b/>
              </w:rPr>
            </w:pPr>
            <w:r w:rsidRPr="009906BD">
              <w:rPr>
                <w:rFonts w:ascii="Book Antiqua" w:hAnsi="Book Antiqua" w:cs="Arial"/>
                <w:b/>
              </w:rPr>
              <w:t>Decision &amp; Reasons</w:t>
            </w:r>
            <w:r w:rsidR="00283659" w:rsidRPr="009906BD">
              <w:rPr>
                <w:rFonts w:ascii="Book Antiqua" w:hAnsi="Book Antiqua" w:cs="Arial"/>
                <w:b/>
              </w:rPr>
              <w:t xml:space="preserve"> Promulgated</w:t>
            </w:r>
          </w:p>
        </w:tc>
      </w:tr>
      <w:tr w:rsidR="00D22636" w:rsidRPr="009906BD" w:rsidTr="00AC71BF">
        <w:tc>
          <w:tcPr>
            <w:tcW w:w="5353" w:type="dxa"/>
            <w:shd w:val="clear" w:color="auto" w:fill="auto"/>
          </w:tcPr>
          <w:p w:rsidR="00D22636" w:rsidRPr="009906BD" w:rsidRDefault="00D22636" w:rsidP="009906BD">
            <w:pPr>
              <w:jc w:val="both"/>
              <w:rPr>
                <w:rFonts w:ascii="Book Antiqua" w:hAnsi="Book Antiqua" w:cs="Arial"/>
                <w:b/>
              </w:rPr>
            </w:pPr>
            <w:r w:rsidRPr="009906BD">
              <w:rPr>
                <w:rFonts w:ascii="Book Antiqua" w:hAnsi="Book Antiqua" w:cs="Arial"/>
                <w:b/>
              </w:rPr>
              <w:t xml:space="preserve">On </w:t>
            </w:r>
            <w:r w:rsidR="00B4682A" w:rsidRPr="009906BD">
              <w:rPr>
                <w:rFonts w:ascii="Book Antiqua" w:hAnsi="Book Antiqua" w:cs="Arial"/>
                <w:b/>
              </w:rPr>
              <w:t>30</w:t>
            </w:r>
            <w:r w:rsidR="00B4682A" w:rsidRPr="009906BD">
              <w:rPr>
                <w:rFonts w:ascii="Book Antiqua" w:hAnsi="Book Antiqua" w:cs="Arial"/>
                <w:b/>
                <w:vertAlign w:val="superscript"/>
              </w:rPr>
              <w:t>th</w:t>
            </w:r>
            <w:r w:rsidR="00B4682A" w:rsidRPr="009906BD">
              <w:rPr>
                <w:rFonts w:ascii="Book Antiqua" w:hAnsi="Book Antiqua" w:cs="Arial"/>
                <w:b/>
              </w:rPr>
              <w:t xml:space="preserve"> May 2018 </w:t>
            </w:r>
          </w:p>
        </w:tc>
        <w:tc>
          <w:tcPr>
            <w:tcW w:w="4655" w:type="dxa"/>
            <w:gridSpan w:val="2"/>
            <w:shd w:val="clear" w:color="auto" w:fill="auto"/>
          </w:tcPr>
          <w:p w:rsidR="00D22636" w:rsidRPr="009906BD" w:rsidRDefault="00D70031" w:rsidP="009906BD">
            <w:pPr>
              <w:jc w:val="both"/>
              <w:rPr>
                <w:rFonts w:ascii="Book Antiqua" w:hAnsi="Book Antiqua" w:cs="Arial"/>
                <w:b/>
              </w:rPr>
            </w:pPr>
            <w:r>
              <w:rPr>
                <w:rFonts w:ascii="Book Antiqua" w:hAnsi="Book Antiqua" w:cs="Arial"/>
                <w:b/>
              </w:rPr>
              <w:t>On 6</w:t>
            </w:r>
            <w:r w:rsidRPr="00D70031">
              <w:rPr>
                <w:rFonts w:ascii="Book Antiqua" w:hAnsi="Book Antiqua" w:cs="Arial"/>
                <w:b/>
                <w:vertAlign w:val="superscript"/>
              </w:rPr>
              <w:t>th</w:t>
            </w:r>
            <w:r>
              <w:rPr>
                <w:rFonts w:ascii="Book Antiqua" w:hAnsi="Book Antiqua" w:cs="Arial"/>
                <w:b/>
              </w:rPr>
              <w:t xml:space="preserve"> June 2018</w:t>
            </w:r>
          </w:p>
        </w:tc>
      </w:tr>
      <w:tr w:rsidR="00D22636" w:rsidRPr="009906BD" w:rsidTr="009906BD">
        <w:tc>
          <w:tcPr>
            <w:tcW w:w="6048" w:type="dxa"/>
            <w:gridSpan w:val="2"/>
            <w:shd w:val="clear" w:color="auto" w:fill="auto"/>
          </w:tcPr>
          <w:p w:rsidR="00D22636" w:rsidRPr="009906BD" w:rsidRDefault="00D22636" w:rsidP="009906BD">
            <w:pPr>
              <w:jc w:val="both"/>
              <w:rPr>
                <w:rFonts w:ascii="Book Antiqua" w:hAnsi="Book Antiqua" w:cs="Arial"/>
                <w:b/>
              </w:rPr>
            </w:pPr>
          </w:p>
        </w:tc>
        <w:tc>
          <w:tcPr>
            <w:tcW w:w="3960" w:type="dxa"/>
            <w:shd w:val="clear" w:color="auto" w:fill="auto"/>
          </w:tcPr>
          <w:p w:rsidR="00D22636" w:rsidRPr="009906BD" w:rsidRDefault="00D22636" w:rsidP="009906BD">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 G MACDONALD</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Pr="00B4682A" w:rsidRDefault="0013783C" w:rsidP="00742A8D">
      <w:pPr>
        <w:jc w:val="center"/>
        <w:rPr>
          <w:rFonts w:ascii="Book Antiqua" w:hAnsi="Book Antiqua" w:cs="Arial"/>
          <w:b/>
          <w:caps/>
        </w:rPr>
      </w:pPr>
      <w:r>
        <w:rPr>
          <w:rFonts w:ascii="Book Antiqua" w:hAnsi="Book Antiqua" w:cs="Arial"/>
          <w:b/>
          <w:caps/>
        </w:rPr>
        <w:t xml:space="preserve">mr </w:t>
      </w:r>
      <w:r w:rsidR="006402D1">
        <w:rPr>
          <w:rFonts w:ascii="Book Antiqua" w:hAnsi="Book Antiqua" w:cs="Arial"/>
          <w:b/>
          <w:caps/>
        </w:rPr>
        <w:t>U S C J</w:t>
      </w:r>
    </w:p>
    <w:p w:rsidR="009F518E" w:rsidRPr="00AC71BF" w:rsidRDefault="009F518E" w:rsidP="009F518E">
      <w:pPr>
        <w:jc w:val="center"/>
        <w:rPr>
          <w:rFonts w:ascii="Book Antiqua" w:hAnsi="Book Antiqua" w:cs="Arial"/>
          <w:caps/>
        </w:rPr>
      </w:pPr>
      <w:r w:rsidRPr="00AC71BF">
        <w:rPr>
          <w:rFonts w:ascii="Book Antiqua" w:hAnsi="Book Antiqua" w:cs="Arial"/>
          <w:caps/>
        </w:rPr>
        <w:t xml:space="preserve">(ANONYMITY </w:t>
      </w:r>
      <w:r w:rsidR="00532E7D" w:rsidRPr="00AC71BF">
        <w:rPr>
          <w:rFonts w:ascii="Book Antiqua" w:hAnsi="Book Antiqua" w:cs="Arial"/>
          <w:caps/>
        </w:rPr>
        <w:t>order</w:t>
      </w:r>
      <w:r w:rsidRPr="00AC71BF">
        <w:rPr>
          <w:rFonts w:ascii="Book Antiqua" w:hAnsi="Book Antiqua" w:cs="Arial"/>
          <w:caps/>
        </w:rPr>
        <w:t xml:space="preserve"> </w:t>
      </w:r>
      <w:r w:rsidR="00B4682A" w:rsidRPr="00AC71BF">
        <w:rPr>
          <w:rFonts w:ascii="Book Antiqua" w:hAnsi="Book Antiqua" w:cs="Arial"/>
          <w:caps/>
        </w:rPr>
        <w:t>made</w:t>
      </w:r>
      <w:r w:rsidRPr="00AC71BF">
        <w:rPr>
          <w:rFonts w:ascii="Book Antiqua" w:hAnsi="Book Antiqua" w:cs="Arial"/>
          <w:caps/>
        </w:rPr>
        <w:t>)</w:t>
      </w:r>
    </w:p>
    <w:p w:rsidR="00704B61" w:rsidRPr="00F5664C" w:rsidRDefault="00535F51" w:rsidP="00704B61">
      <w:pPr>
        <w:jc w:val="right"/>
        <w:rPr>
          <w:rFonts w:ascii="Book Antiqua" w:hAnsi="Book Antiqua" w:cs="Arial"/>
          <w:u w:val="single"/>
        </w:rPr>
      </w:pPr>
      <w:r>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AC71BF" w:rsidRPr="00F5664C" w:rsidRDefault="00AC71BF"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535F51"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535F51">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13783C">
        <w:rPr>
          <w:rFonts w:ascii="Book Antiqua" w:hAnsi="Book Antiqua" w:cs="Arial"/>
        </w:rPr>
        <w:t xml:space="preserve">Mr D </w:t>
      </w:r>
      <w:proofErr w:type="spellStart"/>
      <w:r w:rsidR="0013783C">
        <w:rPr>
          <w:rFonts w:ascii="Book Antiqua" w:hAnsi="Book Antiqua" w:cs="Arial"/>
        </w:rPr>
        <w:t>Kumudusena</w:t>
      </w:r>
      <w:proofErr w:type="spellEnd"/>
      <w:r w:rsidR="0013783C">
        <w:rPr>
          <w:rFonts w:ascii="Book Antiqua" w:hAnsi="Book Antiqua" w:cs="Arial"/>
        </w:rPr>
        <w:t xml:space="preserve">, </w:t>
      </w:r>
      <w:r w:rsidR="00535F51">
        <w:rPr>
          <w:rFonts w:ascii="Book Antiqua" w:hAnsi="Book Antiqua" w:cs="Arial"/>
        </w:rPr>
        <w:t>Solicitor</w:t>
      </w:r>
      <w:r w:rsidR="0013783C">
        <w:rPr>
          <w:rFonts w:ascii="Book Antiqua" w:hAnsi="Book Antiqua" w:cs="Arial"/>
        </w:rPr>
        <w:t xml:space="preserve"> instructed by </w:t>
      </w:r>
      <w:proofErr w:type="spellStart"/>
      <w:r w:rsidR="0013783C">
        <w:rPr>
          <w:rFonts w:ascii="Book Antiqua" w:hAnsi="Book Antiqua" w:cs="Arial"/>
        </w:rPr>
        <w:t>Liyon</w:t>
      </w:r>
      <w:proofErr w:type="spellEnd"/>
      <w:r w:rsidR="0013783C">
        <w:rPr>
          <w:rFonts w:ascii="Book Antiqua" w:hAnsi="Book Antiqua" w:cs="Arial"/>
        </w:rPr>
        <w:t xml:space="preserve"> Legal Ltd</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535F51">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561978">
        <w:rPr>
          <w:rFonts w:ascii="Book Antiqua" w:hAnsi="Book Antiqua" w:cs="Arial"/>
        </w:rPr>
        <w:t>M</w:t>
      </w:r>
      <w:r w:rsidR="0013783C">
        <w:rPr>
          <w:rFonts w:ascii="Book Antiqua" w:hAnsi="Book Antiqua" w:cs="Arial"/>
        </w:rPr>
        <w:t xml:space="preserve">s A Everett, Senior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B52A42" w:rsidRDefault="0013783C" w:rsidP="00B52A42">
      <w:pPr>
        <w:numPr>
          <w:ilvl w:val="0"/>
          <w:numId w:val="3"/>
        </w:numPr>
        <w:spacing w:before="240"/>
        <w:jc w:val="both"/>
        <w:rPr>
          <w:rFonts w:ascii="Book Antiqua" w:hAnsi="Book Antiqua" w:cs="Arial"/>
        </w:rPr>
      </w:pPr>
      <w:r>
        <w:rPr>
          <w:rFonts w:ascii="Book Antiqua" w:hAnsi="Book Antiqua" w:cs="Arial"/>
        </w:rPr>
        <w:t xml:space="preserve">The </w:t>
      </w:r>
      <w:r w:rsidR="00535F51">
        <w:rPr>
          <w:rFonts w:ascii="Book Antiqua" w:hAnsi="Book Antiqua" w:cs="Arial"/>
        </w:rPr>
        <w:t>Appellant</w:t>
      </w:r>
      <w:r>
        <w:rPr>
          <w:rFonts w:ascii="Book Antiqua" w:hAnsi="Book Antiqua" w:cs="Arial"/>
        </w:rPr>
        <w:t xml:space="preserve"> is a national of </w:t>
      </w:r>
      <w:smartTag w:uri="urn:schemas-microsoft-com:office:smarttags" w:element="country-region">
        <w:smartTag w:uri="urn:schemas-microsoft-com:office:smarttags" w:element="place">
          <w:r>
            <w:rPr>
              <w:rFonts w:ascii="Book Antiqua" w:hAnsi="Book Antiqua" w:cs="Arial"/>
            </w:rPr>
            <w:t>Sri Lanka</w:t>
          </w:r>
        </w:smartTag>
      </w:smartTag>
      <w:r>
        <w:rPr>
          <w:rFonts w:ascii="Book Antiqua" w:hAnsi="Book Antiqua" w:cs="Arial"/>
        </w:rPr>
        <w:t xml:space="preserve"> who entered here on 2</w:t>
      </w:r>
      <w:r w:rsidR="00DE24DF" w:rsidRPr="00DE24DF">
        <w:rPr>
          <w:rFonts w:ascii="Book Antiqua" w:hAnsi="Book Antiqua" w:cs="Arial"/>
          <w:vertAlign w:val="superscript"/>
        </w:rPr>
        <w:t>nd</w:t>
      </w:r>
      <w:r>
        <w:rPr>
          <w:rFonts w:ascii="Book Antiqua" w:hAnsi="Book Antiqua" w:cs="Arial"/>
        </w:rPr>
        <w:t xml:space="preserve"> October 2010 as a Tier 4 student.  He claimed asylum in June 2017 and the </w:t>
      </w:r>
      <w:r w:rsidR="00535F51">
        <w:rPr>
          <w:rFonts w:ascii="Book Antiqua" w:hAnsi="Book Antiqua" w:cs="Arial"/>
        </w:rPr>
        <w:t>Respondent</w:t>
      </w:r>
      <w:r>
        <w:rPr>
          <w:rFonts w:ascii="Book Antiqua" w:hAnsi="Book Antiqua" w:cs="Arial"/>
        </w:rPr>
        <w:t xml:space="preserve"> refused his claim.  The subsequent appeal before First-tier Tribunal Judge Birk was dismissed in a decision promulgated on 26</w:t>
      </w:r>
      <w:r w:rsidRPr="0013783C">
        <w:rPr>
          <w:rFonts w:ascii="Book Antiqua" w:hAnsi="Book Antiqua" w:cs="Arial"/>
          <w:vertAlign w:val="superscript"/>
        </w:rPr>
        <w:t>th</w:t>
      </w:r>
      <w:r>
        <w:rPr>
          <w:rFonts w:ascii="Book Antiqua" w:hAnsi="Book Antiqua" w:cs="Arial"/>
        </w:rPr>
        <w:t xml:space="preserve"> February 2018.  Grounds of application were lodged.  </w:t>
      </w:r>
    </w:p>
    <w:p w:rsidR="0013783C" w:rsidRDefault="0013783C" w:rsidP="00B52A42">
      <w:pPr>
        <w:numPr>
          <w:ilvl w:val="0"/>
          <w:numId w:val="3"/>
        </w:numPr>
        <w:spacing w:before="240"/>
        <w:jc w:val="both"/>
        <w:rPr>
          <w:rFonts w:ascii="Book Antiqua" w:hAnsi="Book Antiqua" w:cs="Arial"/>
        </w:rPr>
      </w:pPr>
      <w:r>
        <w:rPr>
          <w:rFonts w:ascii="Book Antiqua" w:hAnsi="Book Antiqua" w:cs="Arial"/>
        </w:rPr>
        <w:t>The first ground related to the medical evidence in that the judge was said to have inadequately dealt with the evidence of the expert</w:t>
      </w:r>
      <w:r w:rsidR="00AE045E">
        <w:rPr>
          <w:rFonts w:ascii="Book Antiqua" w:hAnsi="Book Antiqua" w:cs="Arial"/>
        </w:rPr>
        <w:t xml:space="preserve">, Dr Mason, who said that the scars were diagnostic (this is </w:t>
      </w:r>
      <w:r w:rsidR="001F2CAC">
        <w:rPr>
          <w:rFonts w:ascii="Book Antiqua" w:hAnsi="Book Antiqua" w:cs="Arial"/>
        </w:rPr>
        <w:t xml:space="preserve">highly </w:t>
      </w:r>
      <w:r w:rsidR="00AE045E">
        <w:rPr>
          <w:rFonts w:ascii="Book Antiqua" w:hAnsi="Book Antiqua" w:cs="Arial"/>
        </w:rPr>
        <w:t>misleading – the doctor</w:t>
      </w:r>
      <w:r w:rsidR="00DE24DF">
        <w:rPr>
          <w:rFonts w:ascii="Book Antiqua" w:hAnsi="Book Antiqua" w:cs="Arial"/>
        </w:rPr>
        <w:t xml:space="preserve"> did not use that word) and it wa</w:t>
      </w:r>
      <w:r w:rsidR="00AE045E">
        <w:rPr>
          <w:rFonts w:ascii="Book Antiqua" w:hAnsi="Book Antiqua" w:cs="Arial"/>
        </w:rPr>
        <w:t xml:space="preserve">s also said that the judge had put herself in the position of an expert in </w:t>
      </w:r>
      <w:r w:rsidR="00AE045E">
        <w:rPr>
          <w:rFonts w:ascii="Book Antiqua" w:hAnsi="Book Antiqua" w:cs="Arial"/>
        </w:rPr>
        <w:lastRenderedPageBreak/>
        <w:t xml:space="preserve">questioning the medical evidence.  The judge’s cursory rejection of the medical evidence was not in accordance with the law. The second </w:t>
      </w:r>
      <w:r w:rsidR="00535F51">
        <w:rPr>
          <w:rFonts w:ascii="Book Antiqua" w:hAnsi="Book Antiqua" w:cs="Arial"/>
        </w:rPr>
        <w:t>ground</w:t>
      </w:r>
      <w:r w:rsidR="00AE045E">
        <w:rPr>
          <w:rFonts w:ascii="Book Antiqua" w:hAnsi="Book Antiqua" w:cs="Arial"/>
        </w:rPr>
        <w:t xml:space="preserve"> related to the documentary evidence where the judge had said that there was no letter or statement from the lawyer explaining how he was able to obtain the documents and when he obtained them.  Reference is made to the case of </w:t>
      </w:r>
      <w:r w:rsidR="00AE045E" w:rsidRPr="00AE045E">
        <w:rPr>
          <w:rFonts w:ascii="Book Antiqua" w:hAnsi="Book Antiqua" w:cs="Arial"/>
          <w:b/>
          <w:u w:val="single"/>
        </w:rPr>
        <w:t>PJ v SSHD</w:t>
      </w:r>
      <w:r w:rsidR="00AE045E" w:rsidRPr="00AE045E">
        <w:rPr>
          <w:rFonts w:ascii="Book Antiqua" w:hAnsi="Book Antiqua" w:cs="Arial"/>
          <w:b/>
        </w:rPr>
        <w:t xml:space="preserve"> [2014] EWCA </w:t>
      </w:r>
      <w:proofErr w:type="spellStart"/>
      <w:r w:rsidR="00AE045E" w:rsidRPr="00AE045E">
        <w:rPr>
          <w:rFonts w:ascii="Book Antiqua" w:hAnsi="Book Antiqua" w:cs="Arial"/>
          <w:b/>
        </w:rPr>
        <w:t>Civ</w:t>
      </w:r>
      <w:proofErr w:type="spellEnd"/>
      <w:r w:rsidR="00AE045E" w:rsidRPr="00AE045E">
        <w:rPr>
          <w:rFonts w:ascii="Book Antiqua" w:hAnsi="Book Antiqua" w:cs="Arial"/>
          <w:b/>
        </w:rPr>
        <w:t xml:space="preserve"> 1011</w:t>
      </w:r>
      <w:r w:rsidR="00AE045E">
        <w:rPr>
          <w:rFonts w:ascii="Book Antiqua" w:hAnsi="Book Antiqua" w:cs="Arial"/>
        </w:rPr>
        <w:t xml:space="preserve"> where it was said that there was an obligation on the national authorities to seek to verify the particular documents.  The third ground related to discrepancies between the screening interview and the full interview.  The fourth ground related to the judge making findings on her own assumptions.  The fifth ground said that the judge had failed to make clear findings on the aspect of the </w:t>
      </w:r>
      <w:r w:rsidR="00535F51">
        <w:rPr>
          <w:rFonts w:ascii="Book Antiqua" w:hAnsi="Book Antiqua" w:cs="Arial"/>
        </w:rPr>
        <w:t>Appellant</w:t>
      </w:r>
      <w:r w:rsidR="00AE045E">
        <w:rPr>
          <w:rFonts w:ascii="Book Antiqua" w:hAnsi="Book Antiqua" w:cs="Arial"/>
        </w:rPr>
        <w:t xml:space="preserve">’s claim that his release would be recorded as an escape.  The final </w:t>
      </w:r>
      <w:r w:rsidR="00535F51">
        <w:rPr>
          <w:rFonts w:ascii="Book Antiqua" w:hAnsi="Book Antiqua" w:cs="Arial"/>
        </w:rPr>
        <w:t>ground</w:t>
      </w:r>
      <w:r w:rsidR="00AE045E">
        <w:rPr>
          <w:rFonts w:ascii="Book Antiqua" w:hAnsi="Book Antiqua" w:cs="Arial"/>
        </w:rPr>
        <w:t xml:space="preserve"> related to the delay in claiming asylum in that the judge found he could have claimed asylum at an earlier stage if his claim was genuine.  </w:t>
      </w:r>
      <w:r w:rsidR="00801502">
        <w:rPr>
          <w:rFonts w:ascii="Book Antiqua" w:hAnsi="Book Antiqua" w:cs="Arial"/>
        </w:rPr>
        <w:t xml:space="preserve">This however discounted the </w:t>
      </w:r>
      <w:r w:rsidR="00535F51">
        <w:rPr>
          <w:rFonts w:ascii="Book Antiqua" w:hAnsi="Book Antiqua" w:cs="Arial"/>
        </w:rPr>
        <w:t>Appellant</w:t>
      </w:r>
      <w:r w:rsidR="00801502">
        <w:rPr>
          <w:rFonts w:ascii="Book Antiqua" w:hAnsi="Book Antiqua" w:cs="Arial"/>
        </w:rPr>
        <w:t xml:space="preserve">’s evidence as to why he did not claim asylum </w:t>
      </w:r>
      <w:r w:rsidR="002B3B4F">
        <w:rPr>
          <w:rFonts w:ascii="Book Antiqua" w:hAnsi="Book Antiqua" w:cs="Arial"/>
        </w:rPr>
        <w:t>immediately</w:t>
      </w:r>
      <w:r w:rsidR="001857E6">
        <w:rPr>
          <w:rFonts w:ascii="Book Antiqua" w:hAnsi="Book Antiqua" w:cs="Arial"/>
        </w:rPr>
        <w:t xml:space="preserve">.  </w:t>
      </w:r>
    </w:p>
    <w:p w:rsidR="00801502" w:rsidRDefault="006268C0" w:rsidP="00B52A42">
      <w:pPr>
        <w:numPr>
          <w:ilvl w:val="0"/>
          <w:numId w:val="3"/>
        </w:numPr>
        <w:spacing w:before="240"/>
        <w:jc w:val="both"/>
        <w:rPr>
          <w:rFonts w:ascii="Book Antiqua" w:hAnsi="Book Antiqua" w:cs="Arial"/>
        </w:rPr>
      </w:pPr>
      <w:r>
        <w:rPr>
          <w:rFonts w:ascii="Book Antiqua" w:hAnsi="Book Antiqua" w:cs="Arial"/>
        </w:rPr>
        <w:t xml:space="preserve">The grounds were considered by First-tier Tribunal Judge </w:t>
      </w:r>
      <w:proofErr w:type="spellStart"/>
      <w:r>
        <w:rPr>
          <w:rFonts w:ascii="Book Antiqua" w:hAnsi="Book Antiqua" w:cs="Arial"/>
        </w:rPr>
        <w:t>Pullig</w:t>
      </w:r>
      <w:proofErr w:type="spellEnd"/>
      <w:r>
        <w:rPr>
          <w:rFonts w:ascii="Book Antiqua" w:hAnsi="Book Antiqua" w:cs="Arial"/>
        </w:rPr>
        <w:t xml:space="preserve"> </w:t>
      </w:r>
      <w:r w:rsidR="006E32D7">
        <w:rPr>
          <w:rFonts w:ascii="Book Antiqua" w:hAnsi="Book Antiqua" w:cs="Arial"/>
        </w:rPr>
        <w:t>who said that the judge</w:t>
      </w:r>
      <w:r w:rsidR="00C20207">
        <w:rPr>
          <w:rFonts w:ascii="Book Antiqua" w:hAnsi="Book Antiqua" w:cs="Arial"/>
        </w:rPr>
        <w:t xml:space="preserve"> may</w:t>
      </w:r>
      <w:r w:rsidR="006E32D7">
        <w:rPr>
          <w:rFonts w:ascii="Book Antiqua" w:hAnsi="Book Antiqua" w:cs="Arial"/>
        </w:rPr>
        <w:t xml:space="preserve"> have stated a higher standard of proof in concluding that the medical evidence was neither strong nor weighty.  </w:t>
      </w:r>
      <w:r w:rsidR="00FE3B76">
        <w:rPr>
          <w:rFonts w:ascii="Book Antiqua" w:hAnsi="Book Antiqua" w:cs="Arial"/>
        </w:rPr>
        <w:t xml:space="preserve">Furthermore, it was arguable that the judge’s approach was not in line with </w:t>
      </w:r>
      <w:r w:rsidR="00FE3B76" w:rsidRPr="00FE3B76">
        <w:rPr>
          <w:rFonts w:ascii="Book Antiqua" w:hAnsi="Book Antiqua" w:cs="Arial"/>
          <w:b/>
          <w:u w:val="single"/>
        </w:rPr>
        <w:t>PJ</w:t>
      </w:r>
      <w:r w:rsidR="00FE3B76">
        <w:rPr>
          <w:rFonts w:ascii="Book Antiqua" w:hAnsi="Book Antiqua" w:cs="Arial"/>
        </w:rPr>
        <w:t xml:space="preserve"> </w:t>
      </w:r>
      <w:r w:rsidR="00561978">
        <w:rPr>
          <w:rFonts w:ascii="Book Antiqua" w:hAnsi="Book Antiqua" w:cs="Arial"/>
        </w:rPr>
        <w:t>.However</w:t>
      </w:r>
      <w:r w:rsidR="00FE3B76">
        <w:rPr>
          <w:rFonts w:ascii="Book Antiqua" w:hAnsi="Book Antiqua" w:cs="Arial"/>
        </w:rPr>
        <w:t xml:space="preserve"> the</w:t>
      </w:r>
      <w:r w:rsidR="001F2CAC">
        <w:rPr>
          <w:rFonts w:ascii="Book Antiqua" w:hAnsi="Book Antiqua" w:cs="Arial"/>
        </w:rPr>
        <w:t xml:space="preserve"> judge was said to be careful in</w:t>
      </w:r>
      <w:r w:rsidR="00FE3B76">
        <w:rPr>
          <w:rFonts w:ascii="Book Antiqua" w:hAnsi="Book Antiqua" w:cs="Arial"/>
        </w:rPr>
        <w:t xml:space="preserve"> her analysis of the discrepancies between the screening and substantive interviews.</w:t>
      </w:r>
      <w:r w:rsidR="001F2CAC">
        <w:rPr>
          <w:rFonts w:ascii="Book Antiqua" w:hAnsi="Book Antiqua" w:cs="Arial"/>
        </w:rPr>
        <w:t xml:space="preserve"> Judge </w:t>
      </w:r>
      <w:proofErr w:type="spellStart"/>
      <w:r w:rsidR="001F2CAC">
        <w:rPr>
          <w:rFonts w:ascii="Book Antiqua" w:hAnsi="Book Antiqua" w:cs="Arial"/>
        </w:rPr>
        <w:t>Pu</w:t>
      </w:r>
      <w:r w:rsidR="00614C5A">
        <w:rPr>
          <w:rFonts w:ascii="Book Antiqua" w:hAnsi="Book Antiqua" w:cs="Arial"/>
        </w:rPr>
        <w:t>l</w:t>
      </w:r>
      <w:bookmarkStart w:id="0" w:name="_GoBack"/>
      <w:bookmarkEnd w:id="0"/>
      <w:r w:rsidR="001F2CAC">
        <w:rPr>
          <w:rFonts w:ascii="Book Antiqua" w:hAnsi="Book Antiqua" w:cs="Arial"/>
        </w:rPr>
        <w:t>lig</w:t>
      </w:r>
      <w:proofErr w:type="spellEnd"/>
      <w:r w:rsidR="00FE3B76">
        <w:rPr>
          <w:rFonts w:ascii="Book Antiqua" w:hAnsi="Book Antiqua" w:cs="Arial"/>
        </w:rPr>
        <w:t xml:space="preserve"> found that the judge was not in error regarding the </w:t>
      </w:r>
      <w:r w:rsidR="00535F51">
        <w:rPr>
          <w:rFonts w:ascii="Book Antiqua" w:hAnsi="Book Antiqua" w:cs="Arial"/>
        </w:rPr>
        <w:t>delay</w:t>
      </w:r>
      <w:r w:rsidR="00FE3B76">
        <w:rPr>
          <w:rFonts w:ascii="Book Antiqua" w:hAnsi="Book Antiqua" w:cs="Arial"/>
        </w:rPr>
        <w:t xml:space="preserve"> in the </w:t>
      </w:r>
      <w:r w:rsidR="009C6A6A">
        <w:rPr>
          <w:rFonts w:ascii="Book Antiqua" w:hAnsi="Book Antiqua" w:cs="Arial"/>
        </w:rPr>
        <w:t xml:space="preserve">appellant’s departure from </w:t>
      </w:r>
      <w:r w:rsidR="001F2CAC">
        <w:rPr>
          <w:rFonts w:ascii="Book Antiqua" w:hAnsi="Book Antiqua" w:cs="Arial"/>
        </w:rPr>
        <w:t>Sri Lanka and was</w:t>
      </w:r>
      <w:r w:rsidR="00FE3B76">
        <w:rPr>
          <w:rFonts w:ascii="Book Antiqua" w:hAnsi="Book Antiqua" w:cs="Arial"/>
        </w:rPr>
        <w:t xml:space="preserve"> drawing a reasonable inference from the evidence.  The grounds relating to the fact the judge had failed to make clear findings regarding the </w:t>
      </w:r>
      <w:r w:rsidR="00535F51">
        <w:rPr>
          <w:rFonts w:ascii="Book Antiqua" w:hAnsi="Book Antiqua" w:cs="Arial"/>
        </w:rPr>
        <w:t>Appellant</w:t>
      </w:r>
      <w:r w:rsidR="001F2CAC">
        <w:rPr>
          <w:rFonts w:ascii="Book Antiqua" w:hAnsi="Book Antiqua" w:cs="Arial"/>
        </w:rPr>
        <w:t xml:space="preserve">’s release was found to be </w:t>
      </w:r>
      <w:r w:rsidR="00FE3B76">
        <w:rPr>
          <w:rFonts w:ascii="Book Antiqua" w:hAnsi="Book Antiqua" w:cs="Arial"/>
        </w:rPr>
        <w:t xml:space="preserve">arguable and as was the last ground </w:t>
      </w:r>
      <w:r w:rsidR="001F2CAC">
        <w:rPr>
          <w:rFonts w:ascii="Book Antiqua" w:hAnsi="Book Antiqua" w:cs="Arial"/>
        </w:rPr>
        <w:t>relating to Section 8.</w:t>
      </w:r>
      <w:r w:rsidR="00FE3B76">
        <w:rPr>
          <w:rFonts w:ascii="Book Antiqua" w:hAnsi="Book Antiqua" w:cs="Arial"/>
        </w:rPr>
        <w:t xml:space="preserve">  </w:t>
      </w:r>
    </w:p>
    <w:p w:rsidR="00FE3B76" w:rsidRDefault="00FE3B76" w:rsidP="00B52A42">
      <w:pPr>
        <w:numPr>
          <w:ilvl w:val="0"/>
          <w:numId w:val="3"/>
        </w:numPr>
        <w:spacing w:before="240"/>
        <w:jc w:val="both"/>
        <w:rPr>
          <w:rFonts w:ascii="Book Antiqua" w:hAnsi="Book Antiqua" w:cs="Arial"/>
        </w:rPr>
      </w:pPr>
      <w:r>
        <w:rPr>
          <w:rFonts w:ascii="Book Antiqua" w:hAnsi="Book Antiqua" w:cs="Arial"/>
        </w:rPr>
        <w:t xml:space="preserve">Thus the appeal came before me on the above date.  </w:t>
      </w:r>
    </w:p>
    <w:p w:rsidR="00FE3B76" w:rsidRDefault="00FE3B76" w:rsidP="00B52A42">
      <w:pPr>
        <w:numPr>
          <w:ilvl w:val="0"/>
          <w:numId w:val="3"/>
        </w:numPr>
        <w:spacing w:before="240"/>
        <w:jc w:val="both"/>
        <w:rPr>
          <w:rFonts w:ascii="Book Antiqua" w:hAnsi="Book Antiqua" w:cs="Arial"/>
        </w:rPr>
      </w:pPr>
      <w:r>
        <w:rPr>
          <w:rFonts w:ascii="Book Antiqua" w:hAnsi="Book Antiqua" w:cs="Arial"/>
        </w:rPr>
        <w:t xml:space="preserve">For the </w:t>
      </w:r>
      <w:r w:rsidR="00535F51">
        <w:rPr>
          <w:rFonts w:ascii="Book Antiqua" w:hAnsi="Book Antiqua" w:cs="Arial"/>
        </w:rPr>
        <w:t>Appellant</w:t>
      </w:r>
      <w:r>
        <w:rPr>
          <w:rFonts w:ascii="Book Antiqua" w:hAnsi="Book Antiqua" w:cs="Arial"/>
        </w:rPr>
        <w:t xml:space="preserve">, Mr </w:t>
      </w:r>
      <w:proofErr w:type="spellStart"/>
      <w:r>
        <w:rPr>
          <w:rFonts w:ascii="Book Antiqua" w:hAnsi="Book Antiqua" w:cs="Arial"/>
        </w:rPr>
        <w:t>Kumudusena</w:t>
      </w:r>
      <w:proofErr w:type="spellEnd"/>
      <w:r>
        <w:rPr>
          <w:rFonts w:ascii="Book Antiqua" w:hAnsi="Book Antiqua" w:cs="Arial"/>
        </w:rPr>
        <w:t xml:space="preserve"> apologised for reference to the word “diagnostic” in the </w:t>
      </w:r>
      <w:r w:rsidR="00535F51">
        <w:rPr>
          <w:rFonts w:ascii="Book Antiqua" w:hAnsi="Book Antiqua" w:cs="Arial"/>
        </w:rPr>
        <w:t>grounds</w:t>
      </w:r>
      <w:r>
        <w:rPr>
          <w:rFonts w:ascii="Book Antiqua" w:hAnsi="Book Antiqua" w:cs="Arial"/>
        </w:rPr>
        <w:t xml:space="preserve">.  The doctor had found the injuries to be highly consistent and typical and the judge had not dealt with that.  Reliance was also placed </w:t>
      </w:r>
      <w:r w:rsidR="00175D27">
        <w:rPr>
          <w:rFonts w:ascii="Book Antiqua" w:hAnsi="Book Antiqua" w:cs="Arial"/>
        </w:rPr>
        <w:t xml:space="preserve">on the other grounds.  </w:t>
      </w:r>
      <w:r w:rsidR="001F2CAC">
        <w:rPr>
          <w:rFonts w:ascii="Book Antiqua" w:hAnsi="Book Antiqua" w:cs="Arial"/>
        </w:rPr>
        <w:t>The</w:t>
      </w:r>
      <w:r w:rsidR="00175D27">
        <w:rPr>
          <w:rFonts w:ascii="Book Antiqua" w:hAnsi="Book Antiqua" w:cs="Arial"/>
        </w:rPr>
        <w:t xml:space="preserve"> judge’s reasoning at paragraph </w:t>
      </w:r>
      <w:r w:rsidR="002B3B4F">
        <w:rPr>
          <w:rFonts w:ascii="Book Antiqua" w:hAnsi="Book Antiqua" w:cs="Arial"/>
        </w:rPr>
        <w:t>24 was</w:t>
      </w:r>
      <w:r w:rsidR="00175D27">
        <w:rPr>
          <w:rFonts w:ascii="Book Antiqua" w:hAnsi="Book Antiqua" w:cs="Arial"/>
        </w:rPr>
        <w:t xml:space="preserve"> not fair on the </w:t>
      </w:r>
      <w:r w:rsidR="00535F51">
        <w:rPr>
          <w:rFonts w:ascii="Book Antiqua" w:hAnsi="Book Antiqua" w:cs="Arial"/>
        </w:rPr>
        <w:t>Appellant</w:t>
      </w:r>
      <w:r w:rsidR="00175D27">
        <w:rPr>
          <w:rFonts w:ascii="Book Antiqua" w:hAnsi="Book Antiqua" w:cs="Arial"/>
        </w:rPr>
        <w:t xml:space="preserve"> in that the judge said that she found it to be of significance that he denied that he had ever been detained.  The judge said this could not be confused with the question about whether he supported terrorism and his credibility was damaged by his answer to these questions.  It was said that the judge should have </w:t>
      </w:r>
      <w:r w:rsidR="001F2CAC">
        <w:rPr>
          <w:rFonts w:ascii="Book Antiqua" w:hAnsi="Book Antiqua" w:cs="Arial"/>
        </w:rPr>
        <w:t>considered</w:t>
      </w:r>
      <w:r w:rsidR="00175D27">
        <w:rPr>
          <w:rFonts w:ascii="Book Antiqua" w:hAnsi="Book Antiqua" w:cs="Arial"/>
        </w:rPr>
        <w:t xml:space="preserve"> the fact that the </w:t>
      </w:r>
      <w:r w:rsidR="00535F51">
        <w:rPr>
          <w:rFonts w:ascii="Book Antiqua" w:hAnsi="Book Antiqua" w:cs="Arial"/>
        </w:rPr>
        <w:t>Appellant</w:t>
      </w:r>
      <w:r w:rsidR="00175D27">
        <w:rPr>
          <w:rFonts w:ascii="Book Antiqua" w:hAnsi="Book Antiqua" w:cs="Arial"/>
        </w:rPr>
        <w:t xml:space="preserve"> had made it clear in </w:t>
      </w:r>
      <w:r w:rsidR="0003270D">
        <w:rPr>
          <w:rFonts w:ascii="Book Antiqua" w:hAnsi="Book Antiqua" w:cs="Arial"/>
        </w:rPr>
        <w:t xml:space="preserve">an earlier </w:t>
      </w:r>
      <w:r w:rsidR="00175D27">
        <w:rPr>
          <w:rFonts w:ascii="Book Antiqua" w:hAnsi="Book Antiqua" w:cs="Arial"/>
        </w:rPr>
        <w:t xml:space="preserve">part of his interview that he had been detained and beaten.  </w:t>
      </w:r>
    </w:p>
    <w:p w:rsidR="00561978" w:rsidRDefault="00175D27" w:rsidP="00B52A42">
      <w:pPr>
        <w:numPr>
          <w:ilvl w:val="0"/>
          <w:numId w:val="3"/>
        </w:numPr>
        <w:spacing w:before="240"/>
        <w:jc w:val="both"/>
        <w:rPr>
          <w:rFonts w:ascii="Book Antiqua" w:hAnsi="Book Antiqua" w:cs="Arial"/>
        </w:rPr>
      </w:pPr>
      <w:r>
        <w:rPr>
          <w:rFonts w:ascii="Book Antiqua" w:hAnsi="Book Antiqua" w:cs="Arial"/>
        </w:rPr>
        <w:t xml:space="preserve">I was asked to set the decision aside having found an error in law </w:t>
      </w:r>
      <w:r w:rsidR="00F864CA">
        <w:rPr>
          <w:rFonts w:ascii="Book Antiqua" w:hAnsi="Book Antiqua" w:cs="Arial"/>
        </w:rPr>
        <w:t>and remit</w:t>
      </w:r>
      <w:r>
        <w:rPr>
          <w:rFonts w:ascii="Book Antiqua" w:hAnsi="Book Antiqua" w:cs="Arial"/>
        </w:rPr>
        <w:t xml:space="preserve"> it to the First-tier Tribunal.</w:t>
      </w:r>
      <w:r w:rsidR="001F2CAC">
        <w:rPr>
          <w:rFonts w:ascii="Book Antiqua" w:hAnsi="Book Antiqua" w:cs="Arial"/>
        </w:rPr>
        <w:t xml:space="preserve"> </w:t>
      </w:r>
    </w:p>
    <w:p w:rsidR="00175D27" w:rsidRDefault="00561978" w:rsidP="00B52A42">
      <w:pPr>
        <w:numPr>
          <w:ilvl w:val="0"/>
          <w:numId w:val="3"/>
        </w:numPr>
        <w:spacing w:before="240"/>
        <w:jc w:val="both"/>
        <w:rPr>
          <w:rFonts w:ascii="Book Antiqua" w:hAnsi="Book Antiqua" w:cs="Arial"/>
        </w:rPr>
      </w:pPr>
      <w:r>
        <w:rPr>
          <w:rFonts w:ascii="Book Antiqua" w:hAnsi="Book Antiqua" w:cs="Arial"/>
        </w:rPr>
        <w:t>F</w:t>
      </w:r>
      <w:r w:rsidR="001F2CAC">
        <w:rPr>
          <w:rFonts w:ascii="Book Antiqua" w:hAnsi="Book Antiqua" w:cs="Arial"/>
        </w:rPr>
        <w:t>or the Secretary of State M</w:t>
      </w:r>
      <w:r w:rsidR="00175D27">
        <w:rPr>
          <w:rFonts w:ascii="Book Antiqua" w:hAnsi="Book Antiqua" w:cs="Arial"/>
        </w:rPr>
        <w:t xml:space="preserve">s Everett said that the judge had dealt fairly with the medical evidence.  There was nothing wrong with her approach, even if the reasoning was brief.  The judge was entitled to point out discrepancies in the screening interview and in the full interview and had done so.  Whether there was a delay in leaving Sri Lanka or not was </w:t>
      </w:r>
      <w:r w:rsidR="00F977D8">
        <w:rPr>
          <w:rFonts w:ascii="Book Antiqua" w:hAnsi="Book Antiqua" w:cs="Arial"/>
        </w:rPr>
        <w:t xml:space="preserve">not </w:t>
      </w:r>
      <w:r w:rsidR="00175D27">
        <w:rPr>
          <w:rFonts w:ascii="Book Antiqua" w:hAnsi="Book Antiqua" w:cs="Arial"/>
        </w:rPr>
        <w:t xml:space="preserve">determinative of the outcome and the judge </w:t>
      </w:r>
      <w:r w:rsidR="00175D27">
        <w:rPr>
          <w:rFonts w:ascii="Book Antiqua" w:hAnsi="Book Antiqua" w:cs="Arial"/>
        </w:rPr>
        <w:lastRenderedPageBreak/>
        <w:t xml:space="preserve">was entitled to conclude that there was damage to the </w:t>
      </w:r>
      <w:r w:rsidR="00535F51">
        <w:rPr>
          <w:rFonts w:ascii="Book Antiqua" w:hAnsi="Book Antiqua" w:cs="Arial"/>
        </w:rPr>
        <w:t>Appellant</w:t>
      </w:r>
      <w:r w:rsidR="00175D27">
        <w:rPr>
          <w:rFonts w:ascii="Book Antiqua" w:hAnsi="Book Antiqua" w:cs="Arial"/>
        </w:rPr>
        <w:t xml:space="preserve">’s credibility </w:t>
      </w:r>
      <w:r w:rsidR="00B54ECB">
        <w:rPr>
          <w:rFonts w:ascii="Book Antiqua" w:hAnsi="Book Antiqua" w:cs="Arial"/>
        </w:rPr>
        <w:t xml:space="preserve">by the fact that he had not claimed asylum when he might have done.  </w:t>
      </w:r>
    </w:p>
    <w:p w:rsidR="00B54ECB" w:rsidRDefault="00B54ECB" w:rsidP="00B52A42">
      <w:pPr>
        <w:numPr>
          <w:ilvl w:val="0"/>
          <w:numId w:val="3"/>
        </w:numPr>
        <w:spacing w:before="240"/>
        <w:jc w:val="both"/>
        <w:rPr>
          <w:rFonts w:ascii="Book Antiqua" w:hAnsi="Book Antiqua" w:cs="Arial"/>
        </w:rPr>
      </w:pPr>
      <w:r>
        <w:rPr>
          <w:rFonts w:ascii="Book Antiqua" w:hAnsi="Book Antiqua" w:cs="Arial"/>
        </w:rPr>
        <w:t>I reserved my decision.</w:t>
      </w:r>
    </w:p>
    <w:p w:rsidR="00B54ECB" w:rsidRPr="00B54ECB" w:rsidRDefault="00B54ECB" w:rsidP="00B54ECB">
      <w:pPr>
        <w:spacing w:before="240"/>
        <w:jc w:val="both"/>
        <w:rPr>
          <w:rFonts w:ascii="Book Antiqua" w:hAnsi="Book Antiqua" w:cs="Arial"/>
          <w:b/>
          <w:u w:val="single"/>
        </w:rPr>
      </w:pPr>
      <w:r w:rsidRPr="00B54ECB">
        <w:rPr>
          <w:rFonts w:ascii="Book Antiqua" w:hAnsi="Book Antiqua" w:cs="Arial"/>
          <w:b/>
          <w:u w:val="single"/>
        </w:rPr>
        <w:t xml:space="preserve">Conclusions </w:t>
      </w:r>
    </w:p>
    <w:p w:rsidR="00B54ECB" w:rsidRDefault="001F2CAC" w:rsidP="00B52A42">
      <w:pPr>
        <w:numPr>
          <w:ilvl w:val="0"/>
          <w:numId w:val="3"/>
        </w:numPr>
        <w:spacing w:before="240"/>
        <w:jc w:val="both"/>
        <w:rPr>
          <w:rFonts w:ascii="Book Antiqua" w:hAnsi="Book Antiqua" w:cs="Arial"/>
        </w:rPr>
      </w:pPr>
      <w:r>
        <w:rPr>
          <w:rFonts w:ascii="Book Antiqua" w:hAnsi="Book Antiqua" w:cs="Arial"/>
        </w:rPr>
        <w:t>There</w:t>
      </w:r>
      <w:r w:rsidR="00B54ECB">
        <w:rPr>
          <w:rFonts w:ascii="Book Antiqua" w:hAnsi="Book Antiqua" w:cs="Arial"/>
        </w:rPr>
        <w:t xml:space="preserve"> were some discrepancies in the </w:t>
      </w:r>
      <w:r w:rsidR="00535F51">
        <w:rPr>
          <w:rFonts w:ascii="Book Antiqua" w:hAnsi="Book Antiqua" w:cs="Arial"/>
        </w:rPr>
        <w:t>Appellant</w:t>
      </w:r>
      <w:r w:rsidR="00B54ECB">
        <w:rPr>
          <w:rFonts w:ascii="Book Antiqua" w:hAnsi="Book Antiqua" w:cs="Arial"/>
        </w:rPr>
        <w:t>’s evidence as highlighted by the judge</w:t>
      </w:r>
      <w:r w:rsidR="002976D8">
        <w:rPr>
          <w:rFonts w:ascii="Book Antiqua" w:hAnsi="Book Antiqua" w:cs="Arial"/>
        </w:rPr>
        <w:t xml:space="preserve"> and it is </w:t>
      </w:r>
      <w:r w:rsidR="0092462D">
        <w:rPr>
          <w:rFonts w:ascii="Book Antiqua" w:hAnsi="Book Antiqua" w:cs="Arial"/>
        </w:rPr>
        <w:t>clear enough</w:t>
      </w:r>
      <w:r w:rsidR="002976D8">
        <w:rPr>
          <w:rFonts w:ascii="Book Antiqua" w:hAnsi="Book Antiqua" w:cs="Arial"/>
        </w:rPr>
        <w:t xml:space="preserve"> that the judge was entitled to rely on those discrepancies as matters which went to her negative credibility findings. Perhaps it could be said that </w:t>
      </w:r>
      <w:r w:rsidR="0092462D">
        <w:rPr>
          <w:rFonts w:ascii="Book Antiqua" w:hAnsi="Book Antiqua" w:cs="Arial"/>
        </w:rPr>
        <w:t xml:space="preserve">some of </w:t>
      </w:r>
      <w:r w:rsidR="00AE0E41">
        <w:rPr>
          <w:rFonts w:ascii="Book Antiqua" w:hAnsi="Book Antiqua" w:cs="Arial"/>
        </w:rPr>
        <w:t>the reasoning</w:t>
      </w:r>
      <w:r w:rsidR="00605541">
        <w:rPr>
          <w:rFonts w:ascii="Book Antiqua" w:hAnsi="Book Antiqua" w:cs="Arial"/>
        </w:rPr>
        <w:t xml:space="preserve">, for example, in paragraph 24 was quite slender and it may have been </w:t>
      </w:r>
      <w:r w:rsidR="00791691">
        <w:rPr>
          <w:rFonts w:ascii="Book Antiqua" w:hAnsi="Book Antiqua" w:cs="Arial"/>
        </w:rPr>
        <w:t xml:space="preserve">better if the judge had referred to the </w:t>
      </w:r>
      <w:r w:rsidR="00535F51">
        <w:rPr>
          <w:rFonts w:ascii="Book Antiqua" w:hAnsi="Book Antiqua" w:cs="Arial"/>
        </w:rPr>
        <w:t>Appellant</w:t>
      </w:r>
      <w:r w:rsidR="00791691">
        <w:rPr>
          <w:rFonts w:ascii="Book Antiqua" w:hAnsi="Book Antiqua" w:cs="Arial"/>
        </w:rPr>
        <w:t xml:space="preserve">’s </w:t>
      </w:r>
      <w:r w:rsidR="00535F51">
        <w:rPr>
          <w:rFonts w:ascii="Book Antiqua" w:hAnsi="Book Antiqua" w:cs="Arial"/>
        </w:rPr>
        <w:t>earlier</w:t>
      </w:r>
      <w:r w:rsidR="00791691">
        <w:rPr>
          <w:rFonts w:ascii="Book Antiqua" w:hAnsi="Book Antiqua" w:cs="Arial"/>
        </w:rPr>
        <w:t xml:space="preserve"> answer in the screening interview that he was detained and beaten, which </w:t>
      </w:r>
      <w:r w:rsidR="00535F51">
        <w:rPr>
          <w:rFonts w:ascii="Book Antiqua" w:hAnsi="Book Antiqua" w:cs="Arial"/>
        </w:rPr>
        <w:t>the</w:t>
      </w:r>
      <w:r w:rsidR="00791691">
        <w:rPr>
          <w:rFonts w:ascii="Book Antiqua" w:hAnsi="Book Antiqua" w:cs="Arial"/>
        </w:rPr>
        <w:t xml:space="preserve"> judge did not do.</w:t>
      </w:r>
      <w:r>
        <w:rPr>
          <w:rFonts w:ascii="Book Antiqua" w:hAnsi="Book Antiqua" w:cs="Arial"/>
        </w:rPr>
        <w:t xml:space="preserve"> </w:t>
      </w:r>
      <w:r w:rsidR="00A65A6B">
        <w:rPr>
          <w:rFonts w:ascii="Book Antiqua" w:hAnsi="Book Antiqua" w:cs="Arial"/>
        </w:rPr>
        <w:t>However,</w:t>
      </w:r>
      <w:r>
        <w:rPr>
          <w:rFonts w:ascii="Book Antiqua" w:hAnsi="Book Antiqua" w:cs="Arial"/>
        </w:rPr>
        <w:t xml:space="preserve"> this is not an error in law.</w:t>
      </w:r>
      <w:r w:rsidR="00791691">
        <w:rPr>
          <w:rFonts w:ascii="Book Antiqua" w:hAnsi="Book Antiqua" w:cs="Arial"/>
        </w:rPr>
        <w:t xml:space="preserve">  </w:t>
      </w:r>
    </w:p>
    <w:p w:rsidR="00791691" w:rsidRDefault="0087085C" w:rsidP="00B52A42">
      <w:pPr>
        <w:numPr>
          <w:ilvl w:val="0"/>
          <w:numId w:val="3"/>
        </w:numPr>
        <w:spacing w:before="240"/>
        <w:jc w:val="both"/>
        <w:rPr>
          <w:rFonts w:ascii="Book Antiqua" w:hAnsi="Book Antiqua" w:cs="Arial"/>
        </w:rPr>
      </w:pPr>
      <w:r>
        <w:rPr>
          <w:rFonts w:ascii="Book Antiqua" w:hAnsi="Book Antiqua" w:cs="Arial"/>
        </w:rPr>
        <w:t>There was confusion in the evidence over dates and these were</w:t>
      </w:r>
      <w:r w:rsidR="00791691">
        <w:rPr>
          <w:rFonts w:ascii="Book Antiqua" w:hAnsi="Book Antiqua" w:cs="Arial"/>
        </w:rPr>
        <w:t xml:space="preserve"> points that the judge was entitled to take, albeit they are not determinative of the outcome.  </w:t>
      </w:r>
      <w:r w:rsidR="000F0AAC">
        <w:rPr>
          <w:rFonts w:ascii="Book Antiqua" w:hAnsi="Book Antiqua" w:cs="Arial"/>
        </w:rPr>
        <w:t xml:space="preserve">Again, it seems to me that the judge was entitled to take into </w:t>
      </w:r>
      <w:r w:rsidR="00535F51">
        <w:rPr>
          <w:rFonts w:ascii="Book Antiqua" w:hAnsi="Book Antiqua" w:cs="Arial"/>
        </w:rPr>
        <w:t>account</w:t>
      </w:r>
      <w:r w:rsidR="000F0AAC">
        <w:rPr>
          <w:rFonts w:ascii="Book Antiqua" w:hAnsi="Book Antiqua" w:cs="Arial"/>
        </w:rPr>
        <w:t xml:space="preserve"> that nine months was an exceptionally long time for the </w:t>
      </w:r>
      <w:r w:rsidR="00535F51">
        <w:rPr>
          <w:rFonts w:ascii="Book Antiqua" w:hAnsi="Book Antiqua" w:cs="Arial"/>
        </w:rPr>
        <w:t>Appellant</w:t>
      </w:r>
      <w:r w:rsidR="000F0AAC">
        <w:rPr>
          <w:rFonts w:ascii="Book Antiqua" w:hAnsi="Book Antiqua" w:cs="Arial"/>
        </w:rPr>
        <w:t xml:space="preserve"> to be in hiding because the judge gave a good reason for that, namely that </w:t>
      </w:r>
      <w:r w:rsidR="00CC6AB2">
        <w:rPr>
          <w:rFonts w:ascii="Book Antiqua" w:hAnsi="Book Antiqua" w:cs="Arial"/>
        </w:rPr>
        <w:t xml:space="preserve">little detail had been </w:t>
      </w:r>
      <w:r w:rsidR="000F0AAC">
        <w:rPr>
          <w:rFonts w:ascii="Book Antiqua" w:hAnsi="Book Antiqua" w:cs="Arial"/>
        </w:rPr>
        <w:t xml:space="preserve">supplied as to </w:t>
      </w:r>
      <w:r w:rsidR="00CC6AB2">
        <w:rPr>
          <w:rFonts w:ascii="Book Antiqua" w:hAnsi="Book Antiqua" w:cs="Arial"/>
        </w:rPr>
        <w:t xml:space="preserve">why and </w:t>
      </w:r>
      <w:r w:rsidR="000F0AAC">
        <w:rPr>
          <w:rFonts w:ascii="Book Antiqua" w:hAnsi="Book Antiqua" w:cs="Arial"/>
        </w:rPr>
        <w:t xml:space="preserve">what was taking so long to </w:t>
      </w:r>
      <w:r w:rsidR="00A65A6B">
        <w:rPr>
          <w:rFonts w:ascii="Book Antiqua" w:hAnsi="Book Antiqua" w:cs="Arial"/>
        </w:rPr>
        <w:t>affect</w:t>
      </w:r>
      <w:r w:rsidR="000F0AAC">
        <w:rPr>
          <w:rFonts w:ascii="Book Antiqua" w:hAnsi="Book Antiqua" w:cs="Arial"/>
        </w:rPr>
        <w:t xml:space="preserve"> his </w:t>
      </w:r>
      <w:r w:rsidR="00CC6AB2">
        <w:rPr>
          <w:rFonts w:ascii="Book Antiqua" w:hAnsi="Book Antiqua" w:cs="Arial"/>
        </w:rPr>
        <w:t xml:space="preserve">exit.  </w:t>
      </w:r>
      <w:r w:rsidR="000F0AAC">
        <w:rPr>
          <w:rFonts w:ascii="Book Antiqua" w:hAnsi="Book Antiqua" w:cs="Arial"/>
        </w:rPr>
        <w:t xml:space="preserve">No doubt the </w:t>
      </w:r>
      <w:r w:rsidR="00535F51">
        <w:rPr>
          <w:rFonts w:ascii="Book Antiqua" w:hAnsi="Book Antiqua" w:cs="Arial"/>
        </w:rPr>
        <w:t>Appellant</w:t>
      </w:r>
      <w:r w:rsidR="000F0AAC">
        <w:rPr>
          <w:rFonts w:ascii="Book Antiqua" w:hAnsi="Book Antiqua" w:cs="Arial"/>
        </w:rPr>
        <w:t xml:space="preserve"> could have made his asylum claim sooner and it is arguable that the judge did </w:t>
      </w:r>
      <w:r w:rsidR="00A65A6B">
        <w:rPr>
          <w:rFonts w:ascii="Book Antiqua" w:hAnsi="Book Antiqua" w:cs="Arial"/>
        </w:rPr>
        <w:t>consider</w:t>
      </w:r>
      <w:r w:rsidR="000F0AAC">
        <w:rPr>
          <w:rFonts w:ascii="Book Antiqua" w:hAnsi="Book Antiqua" w:cs="Arial"/>
        </w:rPr>
        <w:t xml:space="preserve"> the </w:t>
      </w:r>
      <w:r w:rsidR="00535F51">
        <w:rPr>
          <w:rFonts w:ascii="Book Antiqua" w:hAnsi="Book Antiqua" w:cs="Arial"/>
        </w:rPr>
        <w:t>Appellant</w:t>
      </w:r>
      <w:r w:rsidR="000F0AAC">
        <w:rPr>
          <w:rFonts w:ascii="Book Antiqua" w:hAnsi="Book Antiqua" w:cs="Arial"/>
        </w:rPr>
        <w:t xml:space="preserve">’s version of events as to why he </w:t>
      </w:r>
      <w:r w:rsidR="00535F51">
        <w:rPr>
          <w:rFonts w:ascii="Book Antiqua" w:hAnsi="Book Antiqua" w:cs="Arial"/>
        </w:rPr>
        <w:t>did</w:t>
      </w:r>
      <w:r w:rsidR="000F0AAC">
        <w:rPr>
          <w:rFonts w:ascii="Book Antiqua" w:hAnsi="Book Antiqua" w:cs="Arial"/>
        </w:rPr>
        <w:t xml:space="preserve"> not claim asylum when he did, but nevertheless found that he was claiming asylum at such a late date that his credibility was damaged.  </w:t>
      </w:r>
    </w:p>
    <w:p w:rsidR="000F0AAC" w:rsidRDefault="000F0AAC" w:rsidP="00B52A42">
      <w:pPr>
        <w:numPr>
          <w:ilvl w:val="0"/>
          <w:numId w:val="3"/>
        </w:numPr>
        <w:spacing w:before="240"/>
        <w:jc w:val="both"/>
        <w:rPr>
          <w:rFonts w:ascii="Book Antiqua" w:hAnsi="Book Antiqua" w:cs="Arial"/>
        </w:rPr>
      </w:pPr>
      <w:r>
        <w:rPr>
          <w:rFonts w:ascii="Book Antiqua" w:hAnsi="Book Antiqua" w:cs="Arial"/>
        </w:rPr>
        <w:t>None of these points are determinative in themselves and the crux of this case is the</w:t>
      </w:r>
      <w:r w:rsidR="002976D8">
        <w:rPr>
          <w:rFonts w:ascii="Book Antiqua" w:hAnsi="Book Antiqua" w:cs="Arial"/>
        </w:rPr>
        <w:t xml:space="preserve"> judge’s findings on the</w:t>
      </w:r>
      <w:r>
        <w:rPr>
          <w:rFonts w:ascii="Book Antiqua" w:hAnsi="Book Antiqua" w:cs="Arial"/>
        </w:rPr>
        <w:t xml:space="preserve"> medical evidence.  </w:t>
      </w:r>
    </w:p>
    <w:p w:rsidR="000F0AAC" w:rsidRDefault="000F0AAC" w:rsidP="00B52A42">
      <w:pPr>
        <w:numPr>
          <w:ilvl w:val="0"/>
          <w:numId w:val="3"/>
        </w:numPr>
        <w:spacing w:before="240"/>
        <w:jc w:val="both"/>
        <w:rPr>
          <w:rFonts w:ascii="Book Antiqua" w:hAnsi="Book Antiqua" w:cs="Arial"/>
        </w:rPr>
      </w:pPr>
      <w:r>
        <w:rPr>
          <w:rFonts w:ascii="Book Antiqua" w:hAnsi="Book Antiqua" w:cs="Arial"/>
        </w:rPr>
        <w:t xml:space="preserve">I have concluded that the way the judge dealt with the medical evidence was not </w:t>
      </w:r>
      <w:r w:rsidR="003260C0">
        <w:rPr>
          <w:rFonts w:ascii="Book Antiqua" w:hAnsi="Book Antiqua" w:cs="Arial"/>
        </w:rPr>
        <w:t>adequate</w:t>
      </w:r>
      <w:r>
        <w:rPr>
          <w:rFonts w:ascii="Book Antiqua" w:hAnsi="Book Antiqua" w:cs="Arial"/>
        </w:rPr>
        <w:t xml:space="preserve"> and that the decision is unsafe.  </w:t>
      </w:r>
    </w:p>
    <w:p w:rsidR="000F0AAC" w:rsidRDefault="000F0AAC" w:rsidP="00B52A42">
      <w:pPr>
        <w:numPr>
          <w:ilvl w:val="0"/>
          <w:numId w:val="3"/>
        </w:numPr>
        <w:spacing w:before="240"/>
        <w:jc w:val="both"/>
        <w:rPr>
          <w:rFonts w:ascii="Book Antiqua" w:hAnsi="Book Antiqua" w:cs="Arial"/>
        </w:rPr>
      </w:pPr>
      <w:r>
        <w:rPr>
          <w:rFonts w:ascii="Book Antiqua" w:hAnsi="Book Antiqua" w:cs="Arial"/>
        </w:rPr>
        <w:t>What we have is a very clear medical report from Mr Mason who made various important findings</w:t>
      </w:r>
      <w:r w:rsidR="00F94163">
        <w:rPr>
          <w:rFonts w:ascii="Book Antiqua" w:hAnsi="Book Antiqua" w:cs="Arial"/>
        </w:rPr>
        <w:t>.</w:t>
      </w:r>
      <w:r>
        <w:rPr>
          <w:rFonts w:ascii="Book Antiqua" w:hAnsi="Book Antiqua" w:cs="Arial"/>
        </w:rPr>
        <w:t xml:space="preserve"> </w:t>
      </w:r>
      <w:r w:rsidR="00F94163">
        <w:rPr>
          <w:rFonts w:ascii="Book Antiqua" w:hAnsi="Book Antiqua" w:cs="Arial"/>
        </w:rPr>
        <w:t>At paragraph 6.1 he found that the scar on the left index finger was</w:t>
      </w:r>
      <w:r w:rsidR="00ED0EC0">
        <w:rPr>
          <w:rFonts w:ascii="Book Antiqua" w:hAnsi="Book Antiqua" w:cs="Arial"/>
        </w:rPr>
        <w:t xml:space="preserve"> </w:t>
      </w:r>
      <w:r w:rsidR="00F94163">
        <w:rPr>
          <w:rFonts w:ascii="Book Antiqua" w:hAnsi="Book Antiqua" w:cs="Arial"/>
        </w:rPr>
        <w:t xml:space="preserve">highly consistent with a scar that would result from a wound caused by attempting to ward of a blow from a hard object. At paragraph 6.2 he found that the scars were typical of the scars that would result from being beaten with a bar some years ago. At paragraph 6.3 he found the scar typical of the scar that would result from a wound </w:t>
      </w:r>
      <w:r w:rsidR="00ED0EC0">
        <w:rPr>
          <w:rFonts w:ascii="Book Antiqua" w:hAnsi="Book Antiqua" w:cs="Arial"/>
        </w:rPr>
        <w:t>described by the Appellant. At</w:t>
      </w:r>
      <w:r>
        <w:rPr>
          <w:rFonts w:ascii="Book Antiqua" w:hAnsi="Book Antiqua" w:cs="Arial"/>
        </w:rPr>
        <w:t xml:space="preserve"> paragraph 6.4 found that it w</w:t>
      </w:r>
      <w:r w:rsidR="003260C0">
        <w:rPr>
          <w:rFonts w:ascii="Book Antiqua" w:hAnsi="Book Antiqua" w:cs="Arial"/>
        </w:rPr>
        <w:t>as “extremely unlikely” that by</w:t>
      </w:r>
      <w:r>
        <w:rPr>
          <w:rFonts w:ascii="Book Antiqua" w:hAnsi="Book Antiqua" w:cs="Arial"/>
        </w:rPr>
        <w:t xml:space="preserve"> virtue of t</w:t>
      </w:r>
      <w:r w:rsidR="0092462D">
        <w:rPr>
          <w:rFonts w:ascii="Book Antiqua" w:hAnsi="Book Antiqua" w:cs="Arial"/>
        </w:rPr>
        <w:t xml:space="preserve">heir </w:t>
      </w:r>
      <w:r>
        <w:rPr>
          <w:rFonts w:ascii="Book Antiqua" w:hAnsi="Book Antiqua" w:cs="Arial"/>
        </w:rPr>
        <w:t xml:space="preserve">position and </w:t>
      </w:r>
      <w:r w:rsidR="00535F51">
        <w:rPr>
          <w:rFonts w:ascii="Book Antiqua" w:hAnsi="Book Antiqua" w:cs="Arial"/>
        </w:rPr>
        <w:t>appearance</w:t>
      </w:r>
      <w:r>
        <w:rPr>
          <w:rFonts w:ascii="Book Antiqua" w:hAnsi="Book Antiqua" w:cs="Arial"/>
        </w:rPr>
        <w:t xml:space="preserve"> that the wounds that resulted in </w:t>
      </w:r>
      <w:r w:rsidR="0092462D">
        <w:rPr>
          <w:rFonts w:ascii="Book Antiqua" w:hAnsi="Book Antiqua" w:cs="Arial"/>
        </w:rPr>
        <w:t xml:space="preserve">the scars described </w:t>
      </w:r>
      <w:r w:rsidR="00535F51">
        <w:rPr>
          <w:rFonts w:ascii="Book Antiqua" w:hAnsi="Book Antiqua" w:cs="Arial"/>
        </w:rPr>
        <w:t>were</w:t>
      </w:r>
      <w:r>
        <w:rPr>
          <w:rFonts w:ascii="Book Antiqua" w:hAnsi="Book Antiqua" w:cs="Arial"/>
        </w:rPr>
        <w:t xml:space="preserve"> self-inflicted or </w:t>
      </w:r>
      <w:r w:rsidR="00535F51">
        <w:rPr>
          <w:rFonts w:ascii="Book Antiqua" w:hAnsi="Book Antiqua" w:cs="Arial"/>
        </w:rPr>
        <w:t>were</w:t>
      </w:r>
      <w:r>
        <w:rPr>
          <w:rFonts w:ascii="Book Antiqua" w:hAnsi="Book Antiqua" w:cs="Arial"/>
        </w:rPr>
        <w:t xml:space="preserve"> inflicted with his consent, namely SIBP.  </w:t>
      </w:r>
    </w:p>
    <w:p w:rsidR="00ED0EC0" w:rsidRDefault="000F0AAC" w:rsidP="00B52A42">
      <w:pPr>
        <w:numPr>
          <w:ilvl w:val="0"/>
          <w:numId w:val="3"/>
        </w:numPr>
        <w:spacing w:before="240"/>
        <w:jc w:val="both"/>
        <w:rPr>
          <w:rFonts w:ascii="Book Antiqua" w:hAnsi="Book Antiqua" w:cs="Arial"/>
        </w:rPr>
      </w:pPr>
      <w:r>
        <w:rPr>
          <w:rFonts w:ascii="Book Antiqua" w:hAnsi="Book Antiqua" w:cs="Arial"/>
        </w:rPr>
        <w:t xml:space="preserve">His conclusions are </w:t>
      </w:r>
      <w:r w:rsidR="00016B9E">
        <w:rPr>
          <w:rFonts w:ascii="Book Antiqua" w:hAnsi="Book Antiqua" w:cs="Arial"/>
        </w:rPr>
        <w:t xml:space="preserve">that, </w:t>
      </w:r>
      <w:r>
        <w:rPr>
          <w:rFonts w:ascii="Book Antiqua" w:hAnsi="Book Antiqua" w:cs="Arial"/>
        </w:rPr>
        <w:t>in paragraph 7</w:t>
      </w:r>
      <w:r w:rsidR="00016B9E">
        <w:rPr>
          <w:rFonts w:ascii="Book Antiqua" w:hAnsi="Book Antiqua" w:cs="Arial"/>
        </w:rPr>
        <w:t>,</w:t>
      </w:r>
      <w:r>
        <w:rPr>
          <w:rFonts w:ascii="Book Antiqua" w:hAnsi="Book Antiqua" w:cs="Arial"/>
        </w:rPr>
        <w:t xml:space="preserve"> it is his overall opinion that the scars and their </w:t>
      </w:r>
      <w:r w:rsidR="00535F51">
        <w:rPr>
          <w:rFonts w:ascii="Book Antiqua" w:hAnsi="Book Antiqua" w:cs="Arial"/>
        </w:rPr>
        <w:t>appearance</w:t>
      </w:r>
      <w:r>
        <w:rPr>
          <w:rFonts w:ascii="Book Antiqua" w:hAnsi="Book Antiqua" w:cs="Arial"/>
        </w:rPr>
        <w:t xml:space="preserve"> are typical of the scars that would result fr</w:t>
      </w:r>
      <w:r w:rsidR="00016B9E">
        <w:rPr>
          <w:rFonts w:ascii="Book Antiqua" w:hAnsi="Book Antiqua" w:cs="Arial"/>
        </w:rPr>
        <w:t>o</w:t>
      </w:r>
      <w:r>
        <w:rPr>
          <w:rFonts w:ascii="Book Antiqua" w:hAnsi="Book Antiqua" w:cs="Arial"/>
        </w:rPr>
        <w:t xml:space="preserve">m </w:t>
      </w:r>
      <w:r w:rsidR="00ED0EC0">
        <w:rPr>
          <w:rFonts w:ascii="Book Antiqua" w:hAnsi="Book Antiqua" w:cs="Arial"/>
        </w:rPr>
        <w:t>injuries caused in the manner the Appellant describes</w:t>
      </w:r>
      <w:r>
        <w:rPr>
          <w:rFonts w:ascii="Book Antiqua" w:hAnsi="Book Antiqua" w:cs="Arial"/>
        </w:rPr>
        <w:t xml:space="preserve">, that is </w:t>
      </w:r>
      <w:r w:rsidR="00A65A6B">
        <w:rPr>
          <w:rFonts w:ascii="Book Antiqua" w:hAnsi="Book Antiqua" w:cs="Arial"/>
        </w:rPr>
        <w:t>because of</w:t>
      </w:r>
      <w:r>
        <w:rPr>
          <w:rFonts w:ascii="Book Antiqua" w:hAnsi="Book Antiqua" w:cs="Arial"/>
        </w:rPr>
        <w:t xml:space="preserve"> being beaten and tortured in 2010.  He applied the Istanbul Protocol. </w:t>
      </w:r>
    </w:p>
    <w:p w:rsidR="000F0AAC" w:rsidRDefault="00ED0EC0" w:rsidP="00B52A42">
      <w:pPr>
        <w:numPr>
          <w:ilvl w:val="0"/>
          <w:numId w:val="3"/>
        </w:numPr>
        <w:spacing w:before="240"/>
        <w:jc w:val="both"/>
        <w:rPr>
          <w:rFonts w:ascii="Book Antiqua" w:hAnsi="Book Antiqua" w:cs="Arial"/>
        </w:rPr>
      </w:pPr>
      <w:r>
        <w:rPr>
          <w:rFonts w:ascii="Book Antiqua" w:hAnsi="Book Antiqua" w:cs="Arial"/>
        </w:rPr>
        <w:lastRenderedPageBreak/>
        <w:t>T</w:t>
      </w:r>
      <w:r w:rsidR="000F0AAC">
        <w:rPr>
          <w:rFonts w:ascii="Book Antiqua" w:hAnsi="Book Antiqua" w:cs="Arial"/>
        </w:rPr>
        <w:t xml:space="preserve">he judge makes no reference to these findings that the scars were typical and highly consistent.  </w:t>
      </w:r>
      <w:r w:rsidR="00F27877">
        <w:rPr>
          <w:rFonts w:ascii="Book Antiqua" w:hAnsi="Book Antiqua" w:cs="Arial"/>
        </w:rPr>
        <w:t xml:space="preserve">In my view it was necessary </w:t>
      </w:r>
      <w:r w:rsidR="00472103">
        <w:rPr>
          <w:rFonts w:ascii="Book Antiqua" w:hAnsi="Book Antiqua" w:cs="Arial"/>
        </w:rPr>
        <w:t>for the judge to engage with these findings which she did not do</w:t>
      </w:r>
      <w:r w:rsidR="00F27877">
        <w:rPr>
          <w:rFonts w:ascii="Book Antiqua" w:hAnsi="Book Antiqua" w:cs="Arial"/>
        </w:rPr>
        <w:t xml:space="preserve">.  </w:t>
      </w:r>
      <w:r w:rsidR="00485595">
        <w:rPr>
          <w:rFonts w:ascii="Book Antiqua" w:hAnsi="Book Antiqua" w:cs="Arial"/>
        </w:rPr>
        <w:t>The</w:t>
      </w:r>
      <w:r w:rsidR="00F27877">
        <w:rPr>
          <w:rFonts w:ascii="Book Antiqua" w:hAnsi="Book Antiqua" w:cs="Arial"/>
        </w:rPr>
        <w:t xml:space="preserve"> judge says that she </w:t>
      </w:r>
      <w:r w:rsidR="00833AF9">
        <w:rPr>
          <w:rFonts w:ascii="Book Antiqua" w:hAnsi="Book Antiqua" w:cs="Arial"/>
        </w:rPr>
        <w:t xml:space="preserve">did not place weight on the medical evidence as being strong written evidence of torture.  </w:t>
      </w:r>
      <w:r w:rsidR="00F27877">
        <w:rPr>
          <w:rFonts w:ascii="Book Antiqua" w:hAnsi="Book Antiqua" w:cs="Arial"/>
        </w:rPr>
        <w:t>That seems to me to be an erroneous find</w:t>
      </w:r>
      <w:r w:rsidR="009A50D3">
        <w:rPr>
          <w:rFonts w:ascii="Book Antiqua" w:hAnsi="Book Antiqua" w:cs="Arial"/>
        </w:rPr>
        <w:t xml:space="preserve">ing as the expert’s </w:t>
      </w:r>
      <w:r>
        <w:rPr>
          <w:rFonts w:ascii="Book Antiqua" w:hAnsi="Book Antiqua" w:cs="Arial"/>
        </w:rPr>
        <w:t xml:space="preserve">report, </w:t>
      </w:r>
      <w:r w:rsidR="00F864CA">
        <w:rPr>
          <w:rFonts w:ascii="Book Antiqua" w:hAnsi="Book Antiqua" w:cs="Arial"/>
        </w:rPr>
        <w:t>is strong</w:t>
      </w:r>
      <w:r w:rsidR="00F27877">
        <w:rPr>
          <w:rFonts w:ascii="Book Antiqua" w:hAnsi="Book Antiqua" w:cs="Arial"/>
        </w:rPr>
        <w:t xml:space="preserve"> evidence that he was tortured because the scars were said to be</w:t>
      </w:r>
      <w:r w:rsidR="00BD715F">
        <w:rPr>
          <w:rFonts w:ascii="Book Antiqua" w:hAnsi="Book Antiqua" w:cs="Arial"/>
        </w:rPr>
        <w:t xml:space="preserve"> highly consistent and typical with that proposition.</w:t>
      </w:r>
      <w:r w:rsidR="00F27877">
        <w:rPr>
          <w:rFonts w:ascii="Book Antiqua" w:hAnsi="Book Antiqua" w:cs="Arial"/>
        </w:rPr>
        <w:t xml:space="preserve"> The judge does not enter into that arena and to </w:t>
      </w:r>
      <w:r w:rsidR="00535F51">
        <w:rPr>
          <w:rFonts w:ascii="Book Antiqua" w:hAnsi="Book Antiqua" w:cs="Arial"/>
        </w:rPr>
        <w:t>simply</w:t>
      </w:r>
      <w:r w:rsidR="00F27877">
        <w:rPr>
          <w:rFonts w:ascii="Book Antiqua" w:hAnsi="Book Antiqua" w:cs="Arial"/>
        </w:rPr>
        <w:t xml:space="preserve"> say that there is no evidence that </w:t>
      </w:r>
      <w:r w:rsidR="003260C0">
        <w:rPr>
          <w:rFonts w:ascii="Book Antiqua" w:hAnsi="Book Antiqua" w:cs="Arial"/>
        </w:rPr>
        <w:t xml:space="preserve">there </w:t>
      </w:r>
      <w:r w:rsidR="00F27877">
        <w:rPr>
          <w:rFonts w:ascii="Book Antiqua" w:hAnsi="Book Antiqua" w:cs="Arial"/>
        </w:rPr>
        <w:t xml:space="preserve">is strong or weighty evidence of torture is a material error in law.  </w:t>
      </w:r>
    </w:p>
    <w:p w:rsidR="00F27877" w:rsidRDefault="00F27877" w:rsidP="00B52A42">
      <w:pPr>
        <w:numPr>
          <w:ilvl w:val="0"/>
          <w:numId w:val="3"/>
        </w:numPr>
        <w:spacing w:before="240"/>
        <w:jc w:val="both"/>
        <w:rPr>
          <w:rFonts w:ascii="Book Antiqua" w:hAnsi="Book Antiqua" w:cs="Arial"/>
        </w:rPr>
      </w:pPr>
      <w:r>
        <w:rPr>
          <w:rFonts w:ascii="Book Antiqua" w:hAnsi="Book Antiqua" w:cs="Arial"/>
        </w:rPr>
        <w:t xml:space="preserve">It therefore seems to me that </w:t>
      </w:r>
      <w:r w:rsidR="00472103">
        <w:rPr>
          <w:rFonts w:ascii="Book Antiqua" w:hAnsi="Book Antiqua" w:cs="Arial"/>
        </w:rPr>
        <w:t xml:space="preserve">despite the discrepancies in his evidence </w:t>
      </w:r>
      <w:r>
        <w:rPr>
          <w:rFonts w:ascii="Book Antiqua" w:hAnsi="Book Antiqua" w:cs="Arial"/>
        </w:rPr>
        <w:t xml:space="preserve">the </w:t>
      </w:r>
      <w:r w:rsidR="00535F51">
        <w:rPr>
          <w:rFonts w:ascii="Book Antiqua" w:hAnsi="Book Antiqua" w:cs="Arial"/>
        </w:rPr>
        <w:t>Appellant</w:t>
      </w:r>
      <w:r>
        <w:rPr>
          <w:rFonts w:ascii="Book Antiqua" w:hAnsi="Book Antiqua" w:cs="Arial"/>
        </w:rPr>
        <w:t xml:space="preserve"> has not had a fair hearing because the judge did not deal adequ</w:t>
      </w:r>
      <w:r w:rsidR="00AE0E41">
        <w:rPr>
          <w:rFonts w:ascii="Book Antiqua" w:hAnsi="Book Antiqua" w:cs="Arial"/>
        </w:rPr>
        <w:t>ately with the medical evidence</w:t>
      </w:r>
      <w:r w:rsidR="00472103">
        <w:rPr>
          <w:rFonts w:ascii="Book Antiqua" w:hAnsi="Book Antiqua" w:cs="Arial"/>
        </w:rPr>
        <w:t xml:space="preserve"> </w:t>
      </w:r>
      <w:r w:rsidR="00C7528F">
        <w:rPr>
          <w:rFonts w:ascii="Book Antiqua" w:hAnsi="Book Antiqua" w:cs="Arial"/>
        </w:rPr>
        <w:t>which supported</w:t>
      </w:r>
      <w:r w:rsidR="00AE0E41">
        <w:rPr>
          <w:rFonts w:ascii="Book Antiqua" w:hAnsi="Book Antiqua" w:cs="Arial"/>
        </w:rPr>
        <w:t xml:space="preserve"> his case.</w:t>
      </w:r>
      <w:r>
        <w:rPr>
          <w:rFonts w:ascii="Book Antiqua" w:hAnsi="Book Antiqua" w:cs="Arial"/>
        </w:rPr>
        <w:t xml:space="preserve">  </w:t>
      </w:r>
      <w:r w:rsidR="00535F51">
        <w:rPr>
          <w:rFonts w:ascii="Book Antiqua" w:hAnsi="Book Antiqua" w:cs="Arial"/>
        </w:rPr>
        <w:t>Unfortunately</w:t>
      </w:r>
      <w:r>
        <w:rPr>
          <w:rFonts w:ascii="Book Antiqua" w:hAnsi="Book Antiqua" w:cs="Arial"/>
        </w:rPr>
        <w:t>, it seems to me that further fact-finding is necessary and this matter will have to be heard again by the First-tier Tribunal.</w:t>
      </w:r>
    </w:p>
    <w:p w:rsidR="00F27877" w:rsidRDefault="00F27877" w:rsidP="00B52A42">
      <w:pPr>
        <w:numPr>
          <w:ilvl w:val="0"/>
          <w:numId w:val="3"/>
        </w:numPr>
        <w:spacing w:before="240"/>
        <w:jc w:val="both"/>
        <w:rPr>
          <w:rFonts w:ascii="Book Antiqua" w:hAnsi="Book Antiqua" w:cs="Arial"/>
        </w:rPr>
      </w:pPr>
      <w:r>
        <w:rPr>
          <w:rFonts w:ascii="Book Antiqua" w:hAnsi="Book Antiqua" w:cs="Arial"/>
        </w:rPr>
        <w:t xml:space="preserve">The decision of the First-tier Tribunal is therefore set aside in its entirety.  No findings of the First-tier Tribunal </w:t>
      </w:r>
      <w:r w:rsidR="00F864CA">
        <w:rPr>
          <w:rFonts w:ascii="Book Antiqua" w:hAnsi="Book Antiqua" w:cs="Arial"/>
        </w:rPr>
        <w:t xml:space="preserve">are </w:t>
      </w:r>
      <w:r>
        <w:rPr>
          <w:rFonts w:ascii="Book Antiqua" w:hAnsi="Book Antiqua" w:cs="Arial"/>
        </w:rPr>
        <w:t>to stand.  Under Section 12(2)(b)(</w:t>
      </w:r>
      <w:proofErr w:type="spellStart"/>
      <w:r>
        <w:rPr>
          <w:rFonts w:ascii="Book Antiqua" w:hAnsi="Book Antiqua" w:cs="Arial"/>
        </w:rPr>
        <w:t>i</w:t>
      </w:r>
      <w:proofErr w:type="spellEnd"/>
      <w:r>
        <w:rPr>
          <w:rFonts w:ascii="Book Antiqua" w:hAnsi="Book Antiqua" w:cs="Arial"/>
        </w:rPr>
        <w:t xml:space="preserve">) of the 2007 Act </w:t>
      </w:r>
      <w:r w:rsidR="007F754B">
        <w:rPr>
          <w:rFonts w:ascii="Book Antiqua" w:hAnsi="Book Antiqua" w:cs="Arial"/>
        </w:rPr>
        <w:t xml:space="preserve">and of </w:t>
      </w:r>
      <w:r>
        <w:rPr>
          <w:rFonts w:ascii="Book Antiqua" w:hAnsi="Book Antiqua" w:cs="Arial"/>
        </w:rPr>
        <w:t>Practice Statement 7.2 the nature and extent of the additional fact-finding necessary for the decision to be remade is such that it is appropriate to remit the case to the First-tier Tribunal.</w:t>
      </w:r>
    </w:p>
    <w:p w:rsidR="00F27877" w:rsidRPr="00F27877" w:rsidRDefault="00F27877" w:rsidP="00F27877">
      <w:pPr>
        <w:spacing w:before="240"/>
        <w:jc w:val="both"/>
        <w:rPr>
          <w:rFonts w:ascii="Book Antiqua" w:hAnsi="Book Antiqua" w:cs="Arial"/>
          <w:b/>
          <w:u w:val="single"/>
        </w:rPr>
      </w:pPr>
      <w:r w:rsidRPr="00F27877">
        <w:rPr>
          <w:rFonts w:ascii="Book Antiqua" w:hAnsi="Book Antiqua" w:cs="Arial"/>
          <w:b/>
          <w:u w:val="single"/>
        </w:rPr>
        <w:t xml:space="preserve">Notice of Decision </w:t>
      </w:r>
    </w:p>
    <w:p w:rsidR="00F27877" w:rsidRDefault="00F27877" w:rsidP="00B52A42">
      <w:pPr>
        <w:numPr>
          <w:ilvl w:val="0"/>
          <w:numId w:val="3"/>
        </w:numPr>
        <w:spacing w:before="240"/>
        <w:jc w:val="both"/>
        <w:rPr>
          <w:rFonts w:ascii="Book Antiqua" w:hAnsi="Book Antiqua" w:cs="Arial"/>
        </w:rPr>
      </w:pPr>
      <w:r>
        <w:rPr>
          <w:rFonts w:ascii="Book Antiqua" w:hAnsi="Book Antiqua" w:cs="Arial"/>
        </w:rPr>
        <w:t xml:space="preserve">The </w:t>
      </w:r>
      <w:r w:rsidR="00535F51">
        <w:rPr>
          <w:rFonts w:ascii="Book Antiqua" w:hAnsi="Book Antiqua" w:cs="Arial"/>
        </w:rPr>
        <w:t>making</w:t>
      </w:r>
      <w:r>
        <w:rPr>
          <w:rFonts w:ascii="Book Antiqua" w:hAnsi="Book Antiqua" w:cs="Arial"/>
        </w:rPr>
        <w:t xml:space="preserve"> of the decision of the First-tier Tribunal did involve the making of an error on a point of law.</w:t>
      </w:r>
    </w:p>
    <w:p w:rsidR="00F27877" w:rsidRDefault="00F27877" w:rsidP="00B52A42">
      <w:pPr>
        <w:numPr>
          <w:ilvl w:val="0"/>
          <w:numId w:val="3"/>
        </w:numPr>
        <w:spacing w:before="240"/>
        <w:jc w:val="both"/>
        <w:rPr>
          <w:rFonts w:ascii="Book Antiqua" w:hAnsi="Book Antiqua" w:cs="Arial"/>
        </w:rPr>
      </w:pPr>
      <w:r>
        <w:rPr>
          <w:rFonts w:ascii="Book Antiqua" w:hAnsi="Book Antiqua" w:cs="Arial"/>
        </w:rPr>
        <w:t>I set aside the decision.</w:t>
      </w:r>
    </w:p>
    <w:p w:rsidR="00F27877" w:rsidRDefault="00F27877" w:rsidP="00B52A42">
      <w:pPr>
        <w:numPr>
          <w:ilvl w:val="0"/>
          <w:numId w:val="3"/>
        </w:numPr>
        <w:spacing w:before="240"/>
        <w:jc w:val="both"/>
        <w:rPr>
          <w:rFonts w:ascii="Book Antiqua" w:hAnsi="Book Antiqua" w:cs="Arial"/>
        </w:rPr>
      </w:pPr>
      <w:r>
        <w:rPr>
          <w:rFonts w:ascii="Book Antiqua" w:hAnsi="Book Antiqua" w:cs="Arial"/>
        </w:rPr>
        <w:t>I remit the appeal to the First-tier Tribunal.</w:t>
      </w:r>
    </w:p>
    <w:p w:rsidR="00F27877" w:rsidRPr="00F5664C" w:rsidRDefault="00F27877" w:rsidP="00B52A42">
      <w:pPr>
        <w:numPr>
          <w:ilvl w:val="0"/>
          <w:numId w:val="3"/>
        </w:numPr>
        <w:spacing w:before="240"/>
        <w:jc w:val="both"/>
        <w:rPr>
          <w:rFonts w:ascii="Book Antiqua" w:hAnsi="Book Antiqua" w:cs="Arial"/>
        </w:rPr>
      </w:pPr>
      <w:r>
        <w:rPr>
          <w:rFonts w:ascii="Book Antiqua" w:hAnsi="Book Antiqua" w:cs="Arial"/>
        </w:rPr>
        <w:t xml:space="preserve">Anonymity order made.  </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Default="000369F5" w:rsidP="000369F5">
      <w:pPr>
        <w:tabs>
          <w:tab w:val="left" w:pos="2520"/>
        </w:tabs>
        <w:jc w:val="both"/>
        <w:rPr>
          <w:rFonts w:ascii="Book Antiqua" w:hAnsi="Book Antiqua" w:cs="Arial"/>
        </w:rPr>
      </w:pPr>
    </w:p>
    <w:p w:rsidR="00F27877" w:rsidRDefault="00F27877" w:rsidP="000369F5">
      <w:pPr>
        <w:tabs>
          <w:tab w:val="left" w:pos="2520"/>
        </w:tabs>
        <w:jc w:val="both"/>
        <w:rPr>
          <w:rFonts w:ascii="Book Antiqua" w:hAnsi="Book Antiqua" w:cs="Arial"/>
        </w:rPr>
      </w:pPr>
    </w:p>
    <w:p w:rsidR="00F27877" w:rsidRPr="00F5664C" w:rsidRDefault="00F27877"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00F864CA">
        <w:rPr>
          <w:rFonts w:ascii="Book Antiqua" w:hAnsi="Book Antiqua" w:cs="Arial"/>
        </w:rPr>
        <w:t xml:space="preserve">     </w:t>
      </w:r>
      <w:r w:rsidR="00F864CA" w:rsidRPr="00F864CA">
        <w:rPr>
          <w:rFonts w:ascii="Book Antiqua" w:hAnsi="Book Antiqua" w:cs="Arial"/>
          <w:i/>
        </w:rPr>
        <w:t>JG Macdonald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F864CA">
        <w:rPr>
          <w:rFonts w:ascii="Book Antiqua" w:hAnsi="Book Antiqua" w:cs="Arial"/>
        </w:rPr>
        <w:t xml:space="preserve"> 6</w:t>
      </w:r>
      <w:r w:rsidR="00F864CA" w:rsidRPr="00F864CA">
        <w:rPr>
          <w:rFonts w:ascii="Book Antiqua" w:hAnsi="Book Antiqua" w:cs="Arial"/>
          <w:vertAlign w:val="superscript"/>
        </w:rPr>
        <w:t>th</w:t>
      </w:r>
      <w:r w:rsidR="00F864CA">
        <w:rPr>
          <w:rFonts w:ascii="Book Antiqua" w:hAnsi="Book Antiqua" w:cs="Arial"/>
        </w:rPr>
        <w:t xml:space="preserve"> June 2018</w:t>
      </w:r>
    </w:p>
    <w:p w:rsidR="001F2716" w:rsidRPr="00F5664C" w:rsidRDefault="001F2716" w:rsidP="000369F5">
      <w:pPr>
        <w:tabs>
          <w:tab w:val="left" w:pos="2520"/>
        </w:tabs>
        <w:jc w:val="both"/>
        <w:rPr>
          <w:rFonts w:ascii="Book Antiqua" w:hAnsi="Book Antiqua" w:cs="Arial"/>
        </w:rPr>
      </w:pP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r w:rsidR="0093333B">
        <w:rPr>
          <w:rFonts w:ascii="Book Antiqua" w:hAnsi="Book Antiqua" w:cs="Arial"/>
        </w:rPr>
        <w:t>J G Macdonald</w:t>
      </w:r>
      <w:r w:rsidR="00D70031">
        <w:rPr>
          <w:rFonts w:ascii="Book Antiqua" w:hAnsi="Book Antiqua" w:cs="Arial"/>
        </w:rPr>
        <w:t xml:space="preserve">   </w:t>
      </w:r>
    </w:p>
    <w:sectPr w:rsidR="005B7789" w:rsidRPr="00F5664C" w:rsidSect="00AC71BF">
      <w:headerReference w:type="default" r:id="rId8"/>
      <w:footerReference w:type="default" r:id="rId9"/>
      <w:footerReference w:type="first" r:id="rId10"/>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673" w:rsidRDefault="000C6673">
      <w:r>
        <w:separator/>
      </w:r>
    </w:p>
  </w:endnote>
  <w:endnote w:type="continuationSeparator" w:id="0">
    <w:p w:rsidR="000C6673" w:rsidRDefault="000C6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031" w:rsidRPr="006D0FB1" w:rsidRDefault="00D70031">
    <w:pPr>
      <w:pStyle w:val="Footer"/>
      <w:jc w:val="center"/>
      <w:rPr>
        <w:rFonts w:ascii="Book Antiqua" w:hAnsi="Book Antiqua"/>
      </w:rPr>
    </w:pPr>
    <w:r w:rsidRPr="006D0FB1">
      <w:rPr>
        <w:rFonts w:ascii="Book Antiqua" w:hAnsi="Book Antiqua"/>
      </w:rPr>
      <w:fldChar w:fldCharType="begin"/>
    </w:r>
    <w:r w:rsidRPr="006D0FB1">
      <w:rPr>
        <w:rFonts w:ascii="Book Antiqua" w:hAnsi="Book Antiqua"/>
      </w:rPr>
      <w:instrText xml:space="preserve"> PAGE   \* MERGEFORMAT </w:instrText>
    </w:r>
    <w:r w:rsidRPr="006D0FB1">
      <w:rPr>
        <w:rFonts w:ascii="Book Antiqua" w:hAnsi="Book Antiqua"/>
      </w:rPr>
      <w:fldChar w:fldCharType="separate"/>
    </w:r>
    <w:r w:rsidR="000B33C1">
      <w:rPr>
        <w:rFonts w:ascii="Book Antiqua" w:hAnsi="Book Antiqua"/>
        <w:noProof/>
      </w:rPr>
      <w:t>4</w:t>
    </w:r>
    <w:r w:rsidRPr="006D0FB1">
      <w:rPr>
        <w:rFonts w:ascii="Book Antiqua" w:hAnsi="Book Antiqua"/>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031" w:rsidRPr="006D0FB1" w:rsidRDefault="00D70031" w:rsidP="006D0FB1">
    <w:pPr>
      <w:pStyle w:val="Footer"/>
      <w:tabs>
        <w:tab w:val="clear" w:pos="4153"/>
        <w:tab w:val="clear" w:pos="8306"/>
        <w:tab w:val="left" w:pos="3915"/>
      </w:tabs>
      <w:jc w:val="center"/>
      <w:rPr>
        <w:rFonts w:ascii="Book Antiqua" w:hAnsi="Book Antiqua"/>
        <w:b/>
      </w:rPr>
    </w:pPr>
    <w:r w:rsidRPr="006D0FB1">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673" w:rsidRDefault="000C6673">
      <w:r>
        <w:separator/>
      </w:r>
    </w:p>
  </w:footnote>
  <w:footnote w:type="continuationSeparator" w:id="0">
    <w:p w:rsidR="000C6673" w:rsidRDefault="000C66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7FC" w:rsidRDefault="00D277FC" w:rsidP="00D277FC">
    <w:pPr>
      <w:pStyle w:val="Header"/>
      <w:jc w:val="right"/>
      <w:rPr>
        <w:rFonts w:ascii="Book Antiqua" w:hAnsi="Book Antiqua" w:cs="Arial"/>
        <w:caps/>
        <w:sz w:val="16"/>
        <w:szCs w:val="16"/>
      </w:rPr>
    </w:pPr>
    <w:r w:rsidRPr="006D0FB1">
      <w:rPr>
        <w:rFonts w:ascii="Book Antiqua" w:hAnsi="Book Antiqua" w:cs="Arial"/>
        <w:sz w:val="16"/>
        <w:szCs w:val="16"/>
      </w:rPr>
      <w:t xml:space="preserve">Appeal Number: </w:t>
    </w:r>
    <w:r w:rsidRPr="006D0FB1">
      <w:rPr>
        <w:rFonts w:ascii="Book Antiqua" w:hAnsi="Book Antiqua" w:cs="Arial"/>
        <w:caps/>
        <w:sz w:val="16"/>
        <w:szCs w:val="16"/>
      </w:rPr>
      <w:t>PA/00350/2018</w:t>
    </w:r>
  </w:p>
  <w:p w:rsidR="006D0FB1" w:rsidRPr="006D0FB1" w:rsidRDefault="006D0FB1" w:rsidP="00D277FC">
    <w:pPr>
      <w:pStyle w:val="Heade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noPunctuationKerning/>
  <w:characterSpacingControl w:val="doNotCompress"/>
  <w:hdrShapeDefaults>
    <o:shapedefaults v:ext="edit" spidmax="716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3206"/>
    <w:rsid w:val="00000621"/>
    <w:rsid w:val="000036C2"/>
    <w:rsid w:val="00016B9E"/>
    <w:rsid w:val="0003270D"/>
    <w:rsid w:val="00033D3D"/>
    <w:rsid w:val="000369F5"/>
    <w:rsid w:val="00047717"/>
    <w:rsid w:val="00071A7E"/>
    <w:rsid w:val="000746C0"/>
    <w:rsid w:val="00074D1D"/>
    <w:rsid w:val="00077227"/>
    <w:rsid w:val="00092580"/>
    <w:rsid w:val="000A5ADA"/>
    <w:rsid w:val="000B33C1"/>
    <w:rsid w:val="000C6673"/>
    <w:rsid w:val="000D01C9"/>
    <w:rsid w:val="000D5D94"/>
    <w:rsid w:val="000E0CD7"/>
    <w:rsid w:val="000F0AAC"/>
    <w:rsid w:val="00113206"/>
    <w:rsid w:val="00114F8B"/>
    <w:rsid w:val="001165A7"/>
    <w:rsid w:val="0013783C"/>
    <w:rsid w:val="00151BB7"/>
    <w:rsid w:val="00167D3A"/>
    <w:rsid w:val="00172A08"/>
    <w:rsid w:val="00175D27"/>
    <w:rsid w:val="001857E6"/>
    <w:rsid w:val="001943B7"/>
    <w:rsid w:val="001A1E2C"/>
    <w:rsid w:val="001E1ED7"/>
    <w:rsid w:val="001E6D6D"/>
    <w:rsid w:val="001F2716"/>
    <w:rsid w:val="001F2CAC"/>
    <w:rsid w:val="0020133A"/>
    <w:rsid w:val="00207617"/>
    <w:rsid w:val="00215086"/>
    <w:rsid w:val="00255071"/>
    <w:rsid w:val="00283659"/>
    <w:rsid w:val="002976D8"/>
    <w:rsid w:val="002B3B4F"/>
    <w:rsid w:val="002C4E73"/>
    <w:rsid w:val="002D5A7F"/>
    <w:rsid w:val="002D68BF"/>
    <w:rsid w:val="002E75DE"/>
    <w:rsid w:val="0030070F"/>
    <w:rsid w:val="00307148"/>
    <w:rsid w:val="0032184F"/>
    <w:rsid w:val="003260C0"/>
    <w:rsid w:val="00336CBF"/>
    <w:rsid w:val="003546C8"/>
    <w:rsid w:val="003A7CF2"/>
    <w:rsid w:val="003C5CE5"/>
    <w:rsid w:val="003E267B"/>
    <w:rsid w:val="003E7CD1"/>
    <w:rsid w:val="00402B9E"/>
    <w:rsid w:val="004061C2"/>
    <w:rsid w:val="0041360E"/>
    <w:rsid w:val="0041460C"/>
    <w:rsid w:val="00423932"/>
    <w:rsid w:val="004249CB"/>
    <w:rsid w:val="00432CB4"/>
    <w:rsid w:val="0044127D"/>
    <w:rsid w:val="004448DB"/>
    <w:rsid w:val="00446C9A"/>
    <w:rsid w:val="00472103"/>
    <w:rsid w:val="00477193"/>
    <w:rsid w:val="00485595"/>
    <w:rsid w:val="004A1848"/>
    <w:rsid w:val="00507FEC"/>
    <w:rsid w:val="00510F0E"/>
    <w:rsid w:val="00530B04"/>
    <w:rsid w:val="00532E7D"/>
    <w:rsid w:val="00535F51"/>
    <w:rsid w:val="00542DB1"/>
    <w:rsid w:val="005479E1"/>
    <w:rsid w:val="005570FD"/>
    <w:rsid w:val="005575EA"/>
    <w:rsid w:val="00561978"/>
    <w:rsid w:val="0057790C"/>
    <w:rsid w:val="00582362"/>
    <w:rsid w:val="00593795"/>
    <w:rsid w:val="005A75FF"/>
    <w:rsid w:val="005B7789"/>
    <w:rsid w:val="00605541"/>
    <w:rsid w:val="00614C5A"/>
    <w:rsid w:val="006268C0"/>
    <w:rsid w:val="006402D1"/>
    <w:rsid w:val="0065791C"/>
    <w:rsid w:val="006803E1"/>
    <w:rsid w:val="00690B8A"/>
    <w:rsid w:val="006D0FB1"/>
    <w:rsid w:val="006D1DFA"/>
    <w:rsid w:val="006D506B"/>
    <w:rsid w:val="006E32D7"/>
    <w:rsid w:val="006E3C90"/>
    <w:rsid w:val="00704B61"/>
    <w:rsid w:val="00707DB1"/>
    <w:rsid w:val="007353BB"/>
    <w:rsid w:val="00742A8D"/>
    <w:rsid w:val="007552A9"/>
    <w:rsid w:val="00761858"/>
    <w:rsid w:val="00767D59"/>
    <w:rsid w:val="00776E97"/>
    <w:rsid w:val="00780FD7"/>
    <w:rsid w:val="0078703A"/>
    <w:rsid w:val="007912AD"/>
    <w:rsid w:val="00791691"/>
    <w:rsid w:val="007A1F28"/>
    <w:rsid w:val="007B0824"/>
    <w:rsid w:val="007F754B"/>
    <w:rsid w:val="00801502"/>
    <w:rsid w:val="008303B8"/>
    <w:rsid w:val="00833AF9"/>
    <w:rsid w:val="00833DCE"/>
    <w:rsid w:val="00842418"/>
    <w:rsid w:val="008533CF"/>
    <w:rsid w:val="008634DB"/>
    <w:rsid w:val="0087085C"/>
    <w:rsid w:val="00871D34"/>
    <w:rsid w:val="008B270C"/>
    <w:rsid w:val="008C3D3D"/>
    <w:rsid w:val="008D4131"/>
    <w:rsid w:val="008F1932"/>
    <w:rsid w:val="008F294D"/>
    <w:rsid w:val="00921062"/>
    <w:rsid w:val="0092462D"/>
    <w:rsid w:val="0092618D"/>
    <w:rsid w:val="0093083E"/>
    <w:rsid w:val="0093333B"/>
    <w:rsid w:val="00966ECF"/>
    <w:rsid w:val="009727A3"/>
    <w:rsid w:val="00987774"/>
    <w:rsid w:val="009906BD"/>
    <w:rsid w:val="00994B1D"/>
    <w:rsid w:val="009A11E8"/>
    <w:rsid w:val="009A50D3"/>
    <w:rsid w:val="009C6A6A"/>
    <w:rsid w:val="009E4E62"/>
    <w:rsid w:val="009F518E"/>
    <w:rsid w:val="009F5220"/>
    <w:rsid w:val="009F7C4D"/>
    <w:rsid w:val="00A15234"/>
    <w:rsid w:val="00A201AB"/>
    <w:rsid w:val="00A31C8B"/>
    <w:rsid w:val="00A65A6B"/>
    <w:rsid w:val="00A75965"/>
    <w:rsid w:val="00A845DC"/>
    <w:rsid w:val="00A97AEE"/>
    <w:rsid w:val="00AC5CF6"/>
    <w:rsid w:val="00AC71BF"/>
    <w:rsid w:val="00AE045E"/>
    <w:rsid w:val="00AE0E41"/>
    <w:rsid w:val="00AF610F"/>
    <w:rsid w:val="00B144FA"/>
    <w:rsid w:val="00B16F58"/>
    <w:rsid w:val="00B30648"/>
    <w:rsid w:val="00B3524D"/>
    <w:rsid w:val="00B35AF6"/>
    <w:rsid w:val="00B40F69"/>
    <w:rsid w:val="00B46616"/>
    <w:rsid w:val="00B4682A"/>
    <w:rsid w:val="00B52A42"/>
    <w:rsid w:val="00B54ECB"/>
    <w:rsid w:val="00B610E3"/>
    <w:rsid w:val="00B61205"/>
    <w:rsid w:val="00B617C4"/>
    <w:rsid w:val="00B626FA"/>
    <w:rsid w:val="00B7040A"/>
    <w:rsid w:val="00B96FA0"/>
    <w:rsid w:val="00BC42D3"/>
    <w:rsid w:val="00BC68BF"/>
    <w:rsid w:val="00BD4196"/>
    <w:rsid w:val="00BD715F"/>
    <w:rsid w:val="00BF22CA"/>
    <w:rsid w:val="00C02BEE"/>
    <w:rsid w:val="00C20207"/>
    <w:rsid w:val="00C26032"/>
    <w:rsid w:val="00C265B0"/>
    <w:rsid w:val="00C321B5"/>
    <w:rsid w:val="00C345E1"/>
    <w:rsid w:val="00C36A07"/>
    <w:rsid w:val="00C7528F"/>
    <w:rsid w:val="00C977BA"/>
    <w:rsid w:val="00CB6E35"/>
    <w:rsid w:val="00CC6AB2"/>
    <w:rsid w:val="00CE1A46"/>
    <w:rsid w:val="00CE26B2"/>
    <w:rsid w:val="00CE6AFA"/>
    <w:rsid w:val="00CF01A8"/>
    <w:rsid w:val="00CF253F"/>
    <w:rsid w:val="00CF56B4"/>
    <w:rsid w:val="00D20F09"/>
    <w:rsid w:val="00D22636"/>
    <w:rsid w:val="00D22FA8"/>
    <w:rsid w:val="00D24A9C"/>
    <w:rsid w:val="00D277FC"/>
    <w:rsid w:val="00D40FD9"/>
    <w:rsid w:val="00D53769"/>
    <w:rsid w:val="00D562ED"/>
    <w:rsid w:val="00D63446"/>
    <w:rsid w:val="00D647F9"/>
    <w:rsid w:val="00D65912"/>
    <w:rsid w:val="00D70031"/>
    <w:rsid w:val="00D85C13"/>
    <w:rsid w:val="00D91BE3"/>
    <w:rsid w:val="00D94AFC"/>
    <w:rsid w:val="00DB70AE"/>
    <w:rsid w:val="00DB7231"/>
    <w:rsid w:val="00DD5071"/>
    <w:rsid w:val="00DD5C39"/>
    <w:rsid w:val="00DE24DF"/>
    <w:rsid w:val="00DE26AF"/>
    <w:rsid w:val="00DE7DB7"/>
    <w:rsid w:val="00E00A0A"/>
    <w:rsid w:val="00E07F57"/>
    <w:rsid w:val="00E1040E"/>
    <w:rsid w:val="00E50BCE"/>
    <w:rsid w:val="00E61292"/>
    <w:rsid w:val="00E76309"/>
    <w:rsid w:val="00E77C4D"/>
    <w:rsid w:val="00E81D01"/>
    <w:rsid w:val="00E8308E"/>
    <w:rsid w:val="00EA161D"/>
    <w:rsid w:val="00EB552E"/>
    <w:rsid w:val="00ED0EC0"/>
    <w:rsid w:val="00EE45D8"/>
    <w:rsid w:val="00F004CD"/>
    <w:rsid w:val="00F22A22"/>
    <w:rsid w:val="00F22EDA"/>
    <w:rsid w:val="00F27877"/>
    <w:rsid w:val="00F3224D"/>
    <w:rsid w:val="00F33E0E"/>
    <w:rsid w:val="00F541B5"/>
    <w:rsid w:val="00F5664C"/>
    <w:rsid w:val="00F864CA"/>
    <w:rsid w:val="00F94163"/>
    <w:rsid w:val="00F977D8"/>
    <w:rsid w:val="00FB7E80"/>
    <w:rsid w:val="00FE3B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7169"/>
    <o:shapelayout v:ext="edit">
      <o:idmap v:ext="edit" data="1"/>
    </o:shapelayout>
  </w:shapeDefaults>
  <w:decimalSymbol w:val="."/>
  <w:listSeparator w:val=","/>
  <w14:docId w14:val="05D6C1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FooterChar">
    <w:name w:val="Footer Char"/>
    <w:link w:val="Footer"/>
    <w:uiPriority w:val="99"/>
    <w:rsid w:val="00D7003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1341</Words>
  <Characters>7649</Characters>
  <Application>Microsoft Office Word</Application>
  <DocSecurity>0</DocSecurity>
  <Lines>63</Lines>
  <Paragraphs>17</Paragraphs>
  <ScaleCrop>false</ScaleCrop>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2018-06-29T15:13:00Z</dcterms:created>
  <dcterms:modified xsi:type="dcterms:W3CDTF">2018-06-29T15:13:00Z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