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544A8" w:rsidRDefault="00D94AFC">
      <w:pPr>
        <w:rPr>
          <w:rFonts w:ascii="Sylfaen" w:hAnsi="Sylfaen" w:cs="Arial"/>
          <w:color w:val="000000"/>
          <w:sz w:val="16"/>
          <w:szCs w:val="16"/>
        </w:rPr>
      </w:pPr>
    </w:p>
    <w:p w:rsidR="00F97703" w:rsidRPr="00A544A8" w:rsidRDefault="00F46073" w:rsidP="00F97703">
      <w:pPr>
        <w:jc w:val="center"/>
        <w:rPr>
          <w:rFonts w:ascii="Sylfaen" w:hAnsi="Sylfaen" w:cs="Arial"/>
          <w:color w:val="000000"/>
        </w:rPr>
      </w:pPr>
      <w:r w:rsidRPr="00A544A8">
        <w:rPr>
          <w:rFonts w:ascii="Sylfaen" w:hAnsi="Sylfaen"/>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870F00">
        <w:rPr>
          <w:rFonts w:ascii="Sylfaen" w:hAnsi="Sylfaen" w:cs="Arial"/>
          <w:b/>
          <w:color w:val="000000"/>
        </w:rPr>
        <w:t>PA</w:t>
      </w:r>
      <w:r w:rsidR="00750CBC">
        <w:rPr>
          <w:rFonts w:ascii="Sylfaen" w:hAnsi="Sylfaen" w:cs="Arial"/>
          <w:b/>
          <w:color w:val="000000"/>
        </w:rPr>
        <w:t>/00359/20</w:t>
      </w:r>
      <w:r w:rsidR="00870F00">
        <w:rPr>
          <w:rFonts w:ascii="Sylfaen" w:hAnsi="Sylfaen" w:cs="Arial"/>
          <w:b/>
          <w:color w:val="000000"/>
        </w:rPr>
        <w:t>17</w:t>
      </w:r>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214"/>
        <w:gridCol w:w="4424"/>
      </w:tblGrid>
      <w:tr w:rsidR="00D22636" w:rsidRPr="00300139" w:rsidTr="005F533B">
        <w:tc>
          <w:tcPr>
            <w:tcW w:w="5353" w:type="dxa"/>
            <w:shd w:val="clear" w:color="auto" w:fill="auto"/>
          </w:tcPr>
          <w:p w:rsidR="00D22636" w:rsidRPr="005F533B" w:rsidRDefault="005F533B" w:rsidP="00300139">
            <w:pPr>
              <w:ind w:left="540" w:hanging="540"/>
              <w:jc w:val="both"/>
              <w:rPr>
                <w:rFonts w:ascii="Sylfaen" w:hAnsi="Sylfaen" w:cs="Arial"/>
                <w:b/>
              </w:rPr>
            </w:pPr>
            <w:r>
              <w:rPr>
                <w:rFonts w:ascii="Sylfaen" w:hAnsi="Sylfaen" w:cs="Arial"/>
                <w:b/>
              </w:rPr>
              <w:t xml:space="preserve">Heard </w:t>
            </w:r>
            <w:proofErr w:type="gramStart"/>
            <w:r w:rsidR="00BD3A9C" w:rsidRPr="005F533B">
              <w:rPr>
                <w:rFonts w:ascii="Sylfaen" w:hAnsi="Sylfaen" w:cs="Arial"/>
                <w:b/>
              </w:rPr>
              <w:t>At</w:t>
            </w:r>
            <w:proofErr w:type="gramEnd"/>
            <w:r>
              <w:rPr>
                <w:rFonts w:ascii="Sylfaen" w:hAnsi="Sylfaen" w:cs="Arial"/>
                <w:b/>
              </w:rPr>
              <w:t xml:space="preserve"> Field House</w:t>
            </w:r>
          </w:p>
        </w:tc>
        <w:tc>
          <w:tcPr>
            <w:tcW w:w="4475" w:type="dxa"/>
            <w:shd w:val="clear" w:color="auto" w:fill="auto"/>
          </w:tcPr>
          <w:p w:rsidR="00D22636" w:rsidRPr="005F533B" w:rsidRDefault="00EA3F7D" w:rsidP="00300139">
            <w:pPr>
              <w:tabs>
                <w:tab w:val="left" w:pos="2592"/>
              </w:tabs>
              <w:ind w:left="1512" w:hanging="1512"/>
              <w:rPr>
                <w:rFonts w:ascii="Sylfaen" w:hAnsi="Sylfaen" w:cs="Arial"/>
                <w:b/>
                <w:color w:val="000000"/>
              </w:rPr>
            </w:pPr>
            <w:r w:rsidRPr="005F533B">
              <w:rPr>
                <w:rFonts w:ascii="Sylfaen" w:hAnsi="Sylfaen" w:cs="Arial"/>
                <w:b/>
                <w:color w:val="000000"/>
              </w:rPr>
              <w:t>Decision</w:t>
            </w:r>
            <w:r w:rsidR="00870F00" w:rsidRPr="005F533B">
              <w:rPr>
                <w:rFonts w:ascii="Sylfaen" w:hAnsi="Sylfaen" w:cs="Arial"/>
                <w:b/>
                <w:color w:val="000000"/>
              </w:rPr>
              <w:t xml:space="preserve"> </w:t>
            </w:r>
            <w:r w:rsidR="005F533B" w:rsidRPr="005F533B">
              <w:rPr>
                <w:rFonts w:ascii="Sylfaen" w:hAnsi="Sylfaen" w:cs="Arial"/>
                <w:b/>
                <w:color w:val="000000"/>
              </w:rPr>
              <w:t xml:space="preserve">and Reasons Promulgated </w:t>
            </w:r>
          </w:p>
        </w:tc>
      </w:tr>
      <w:tr w:rsidR="00D22636" w:rsidRPr="00300139" w:rsidTr="005F533B">
        <w:tc>
          <w:tcPr>
            <w:tcW w:w="5353" w:type="dxa"/>
            <w:shd w:val="clear" w:color="auto" w:fill="auto"/>
          </w:tcPr>
          <w:p w:rsidR="00D22636" w:rsidRPr="005F533B" w:rsidRDefault="005F533B" w:rsidP="00300139">
            <w:pPr>
              <w:jc w:val="both"/>
              <w:rPr>
                <w:rFonts w:ascii="Sylfaen" w:hAnsi="Sylfaen" w:cs="Arial"/>
                <w:b/>
              </w:rPr>
            </w:pPr>
            <w:r>
              <w:rPr>
                <w:rFonts w:ascii="Sylfaen" w:hAnsi="Sylfaen" w:cs="Arial"/>
                <w:b/>
              </w:rPr>
              <w:t>O</w:t>
            </w:r>
            <w:r w:rsidR="00BD3A9C" w:rsidRPr="005F533B">
              <w:rPr>
                <w:rFonts w:ascii="Sylfaen" w:hAnsi="Sylfaen" w:cs="Arial"/>
                <w:b/>
              </w:rPr>
              <w:t>n</w:t>
            </w:r>
            <w:r>
              <w:rPr>
                <w:rFonts w:ascii="Sylfaen" w:hAnsi="Sylfaen" w:cs="Arial"/>
                <w:b/>
              </w:rPr>
              <w:t xml:space="preserve"> </w:t>
            </w:r>
            <w:r w:rsidR="00870F00" w:rsidRPr="005F533B">
              <w:rPr>
                <w:rFonts w:ascii="Sylfaen" w:hAnsi="Sylfaen" w:cs="Arial"/>
                <w:b/>
              </w:rPr>
              <w:t>02.07.2018</w:t>
            </w:r>
          </w:p>
        </w:tc>
        <w:tc>
          <w:tcPr>
            <w:tcW w:w="4475" w:type="dxa"/>
            <w:shd w:val="clear" w:color="auto" w:fill="auto"/>
          </w:tcPr>
          <w:p w:rsidR="00D22636" w:rsidRPr="005F533B" w:rsidRDefault="005F533B" w:rsidP="00300139">
            <w:pPr>
              <w:tabs>
                <w:tab w:val="left" w:pos="2592"/>
              </w:tabs>
              <w:ind w:left="1512" w:hanging="1872"/>
              <w:jc w:val="both"/>
              <w:rPr>
                <w:rFonts w:ascii="Sylfaen" w:hAnsi="Sylfaen" w:cs="Arial"/>
                <w:b/>
              </w:rPr>
            </w:pPr>
            <w:r w:rsidRPr="005F533B">
              <w:rPr>
                <w:rFonts w:ascii="Sylfaen" w:hAnsi="Sylfaen" w:cs="Arial"/>
                <w:b/>
                <w:color w:val="000000"/>
              </w:rPr>
              <w:t xml:space="preserve">      On 03.07.2018 </w:t>
            </w:r>
          </w:p>
        </w:tc>
      </w:tr>
    </w:tbl>
    <w:p w:rsidR="00F07170" w:rsidRDefault="00F07170" w:rsidP="00BD3A9C">
      <w:pPr>
        <w:rPr>
          <w:rFonts w:ascii="Sylfaen" w:hAnsi="Sylfaen" w:cs="Arial"/>
          <w:b/>
        </w:rPr>
      </w:pPr>
    </w:p>
    <w:p w:rsidR="00A15234" w:rsidRPr="003860CF" w:rsidRDefault="00F46073" w:rsidP="00BD3A9C">
      <w:pPr>
        <w:rPr>
          <w:rFonts w:ascii="Sylfaen" w:hAnsi="Sylfaen" w:cs="Arial"/>
        </w:rPr>
      </w:pPr>
      <w:r>
        <w:rPr>
          <w:rFonts w:ascii="Sylfaen" w:hAnsi="Sylfaen" w:cs="Arial"/>
        </w:rPr>
        <w:t xml:space="preserve">                                                                          </w:t>
      </w:r>
      <w:r w:rsidR="00207617"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950491" w:rsidP="00A15234">
      <w:pPr>
        <w:jc w:val="center"/>
        <w:rPr>
          <w:rFonts w:ascii="Sylfaen" w:hAnsi="Sylfaen" w:cs="Arial"/>
          <w:color w:val="000000"/>
        </w:rPr>
      </w:pPr>
      <w:r>
        <w:rPr>
          <w:rFonts w:ascii="Sylfaen" w:hAnsi="Sylfaen" w:cs="Arial"/>
          <w:color w:val="000000"/>
        </w:rPr>
        <w:t>Upper Tribunal</w:t>
      </w:r>
      <w:r w:rsidR="00A544A8" w:rsidRPr="003860CF">
        <w:rPr>
          <w:rFonts w:ascii="Sylfaen" w:hAnsi="Sylfaen" w:cs="Arial"/>
          <w:color w:val="000000"/>
        </w:rPr>
        <w:t xml:space="preserve"> Judge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D20757" w:rsidRPr="00A544A8" w:rsidRDefault="00D20757" w:rsidP="00A15234">
      <w:pPr>
        <w:jc w:val="center"/>
        <w:rPr>
          <w:rFonts w:ascii="Sylfaen" w:hAnsi="Sylfaen" w:cs="Arial"/>
          <w:b/>
        </w:rPr>
      </w:pPr>
    </w:p>
    <w:p w:rsidR="00A845DC" w:rsidRPr="003860CF" w:rsidRDefault="00F46073" w:rsidP="00BD3A9C">
      <w:pPr>
        <w:rPr>
          <w:rFonts w:ascii="Sylfaen" w:hAnsi="Sylfaen" w:cs="Arial"/>
        </w:rPr>
      </w:pPr>
      <w:r>
        <w:rPr>
          <w:rFonts w:ascii="Sylfaen" w:hAnsi="Sylfaen" w:cs="Arial"/>
        </w:rPr>
        <w:t xml:space="preserve">                                                                          </w:t>
      </w:r>
      <w:r w:rsidR="00A845DC" w:rsidRPr="003860CF">
        <w:rPr>
          <w:rFonts w:ascii="Sylfaen" w:hAnsi="Sylfaen" w:cs="Arial"/>
        </w:rPr>
        <w:t>Between</w:t>
      </w:r>
      <w:r w:rsidR="00BD3A9C" w:rsidRPr="003860CF">
        <w:rPr>
          <w:rFonts w:ascii="Sylfaen" w:hAnsi="Sylfaen" w:cs="Arial"/>
        </w:rPr>
        <w:t>:</w:t>
      </w:r>
    </w:p>
    <w:p w:rsidR="00704B61" w:rsidRDefault="00870F00" w:rsidP="00A15234">
      <w:pPr>
        <w:jc w:val="center"/>
        <w:rPr>
          <w:rFonts w:ascii="Sylfaen" w:hAnsi="Sylfaen" w:cs="Arial"/>
          <w:b/>
          <w:caps/>
        </w:rPr>
      </w:pPr>
      <w:r>
        <w:rPr>
          <w:rFonts w:ascii="Sylfaen" w:hAnsi="Sylfaen" w:cs="Arial"/>
          <w:b/>
          <w:caps/>
        </w:rPr>
        <w:t xml:space="preserve">IHSAN </w:t>
      </w:r>
      <w:r w:rsidR="00905452">
        <w:rPr>
          <w:rFonts w:ascii="Sylfaen" w:hAnsi="Sylfaen" w:cs="Arial"/>
          <w:b/>
          <w:caps/>
        </w:rPr>
        <w:t>[</w:t>
      </w:r>
      <w:r>
        <w:rPr>
          <w:rFonts w:ascii="Sylfaen" w:hAnsi="Sylfaen" w:cs="Arial"/>
          <w:b/>
          <w:caps/>
        </w:rPr>
        <w:t>A</w:t>
      </w:r>
      <w:r w:rsidR="00905452">
        <w:rPr>
          <w:rFonts w:ascii="Sylfaen" w:hAnsi="Sylfaen" w:cs="Arial"/>
          <w:b/>
          <w:caps/>
        </w:rPr>
        <w:t>]</w:t>
      </w:r>
    </w:p>
    <w:p w:rsidR="005F533B" w:rsidRPr="00A544A8" w:rsidRDefault="005F533B" w:rsidP="00A15234">
      <w:pPr>
        <w:jc w:val="center"/>
        <w:rPr>
          <w:rFonts w:ascii="Sylfaen" w:hAnsi="Sylfaen" w:cs="Arial"/>
          <w:b/>
        </w:rPr>
      </w:pPr>
      <w:r>
        <w:rPr>
          <w:rFonts w:ascii="Sylfaen" w:hAnsi="Sylfaen" w:cs="Arial"/>
          <w:b/>
          <w:caps/>
        </w:rPr>
        <w:t>(</w:t>
      </w:r>
      <w:r w:rsidR="00750582">
        <w:rPr>
          <w:rFonts w:ascii="Sylfaen" w:hAnsi="Sylfaen" w:cs="Arial"/>
          <w:b/>
          <w:caps/>
        </w:rPr>
        <w:t xml:space="preserve">anonymity direction not made) </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0"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DD7C53">
        <w:rPr>
          <w:rFonts w:ascii="Sylfaen" w:hAnsi="Sylfaen" w:cs="Arial"/>
          <w:b/>
        </w:rPr>
      </w:r>
      <w:r w:rsidR="00DD7C53">
        <w:rPr>
          <w:rFonts w:ascii="Sylfaen" w:hAnsi="Sylfaen" w:cs="Arial"/>
          <w:b/>
        </w:rPr>
        <w:fldChar w:fldCharType="separate"/>
      </w:r>
      <w:r w:rsidRPr="00A544A8">
        <w:rPr>
          <w:rFonts w:ascii="Sylfaen" w:hAnsi="Sylfaen" w:cs="Arial"/>
          <w:b/>
        </w:rPr>
        <w:fldChar w:fldCharType="end"/>
      </w:r>
      <w:bookmarkEnd w:id="0"/>
      <w:r w:rsidR="00870F00">
        <w:rPr>
          <w:rFonts w:ascii="Sylfaen" w:hAnsi="Sylfaen" w:cs="Arial"/>
          <w:b/>
        </w:rPr>
        <w:t xml:space="preserve">  </w:t>
      </w:r>
    </w:p>
    <w:p w:rsidR="00DD5071" w:rsidRPr="00A544A8" w:rsidRDefault="00DD5071" w:rsidP="00704B61">
      <w:pPr>
        <w:jc w:val="center"/>
        <w:rPr>
          <w:rFonts w:ascii="Sylfaen" w:hAnsi="Sylfaen" w:cs="Arial"/>
          <w:b/>
        </w:rPr>
      </w:pPr>
    </w:p>
    <w:p w:rsidR="00DD5071" w:rsidRPr="003860CF" w:rsidRDefault="00BD3A9C" w:rsidP="00DD5071">
      <w:pPr>
        <w:jc w:val="right"/>
        <w:rPr>
          <w:rFonts w:ascii="Sylfaen" w:hAnsi="Sylfaen" w:cs="Arial"/>
        </w:rPr>
      </w:pPr>
      <w:r w:rsidRPr="003860CF">
        <w:rPr>
          <w:rFonts w:ascii="Sylfaen" w:hAnsi="Sylfaen" w:cs="Arial"/>
        </w:rPr>
        <w:t>respondent</w:t>
      </w: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A544A8" w:rsidRDefault="00DE7DB7" w:rsidP="00DD5071">
      <w:pPr>
        <w:rPr>
          <w:rFonts w:ascii="Sylfaen" w:hAnsi="Sylfaen" w:cs="Arial"/>
        </w:rPr>
      </w:pPr>
    </w:p>
    <w:p w:rsidR="00DE7DB7" w:rsidRPr="00870F00"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870F00">
        <w:rPr>
          <w:rFonts w:ascii="Sylfaen" w:hAnsi="Sylfaen" w:cs="Arial"/>
          <w:i/>
        </w:rPr>
        <w:t xml:space="preserve">Antonia Benfield </w:t>
      </w:r>
      <w:r w:rsidR="00870F00">
        <w:rPr>
          <w:rFonts w:ascii="Sylfaen" w:hAnsi="Sylfaen" w:cs="Arial"/>
        </w:rPr>
        <w:t>(counsel instructed by direct access)</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870F00">
        <w:rPr>
          <w:rFonts w:ascii="Sylfaen" w:hAnsi="Sylfaen" w:cs="Arial"/>
        </w:rPr>
        <w:t xml:space="preserve">Mr Stefan </w:t>
      </w:r>
      <w:proofErr w:type="spellStart"/>
      <w:r w:rsidR="00870F00">
        <w:rPr>
          <w:rFonts w:ascii="Sylfaen" w:hAnsi="Sylfaen" w:cs="Arial"/>
        </w:rPr>
        <w:t>Kotas</w:t>
      </w:r>
      <w:proofErr w:type="spellEnd"/>
    </w:p>
    <w:p w:rsidR="00DE7DB7" w:rsidRPr="00A544A8" w:rsidRDefault="00DE7DB7" w:rsidP="00402B9E">
      <w:pPr>
        <w:tabs>
          <w:tab w:val="left" w:pos="2520"/>
        </w:tabs>
        <w:jc w:val="center"/>
        <w:rPr>
          <w:rFonts w:ascii="Sylfaen" w:hAnsi="Sylfaen" w:cs="Arial"/>
        </w:rPr>
      </w:pPr>
    </w:p>
    <w:p w:rsidR="00DE7DB7" w:rsidRPr="00A544A8" w:rsidRDefault="00DE7DB7" w:rsidP="00402B9E">
      <w:pPr>
        <w:tabs>
          <w:tab w:val="left" w:pos="2520"/>
        </w:tabs>
        <w:jc w:val="center"/>
        <w:rPr>
          <w:rFonts w:ascii="Sylfaen" w:hAnsi="Sylfaen" w:cs="Arial"/>
        </w:rPr>
      </w:pPr>
    </w:p>
    <w:p w:rsidR="00DE7DB7" w:rsidRPr="00A544A8" w:rsidRDefault="00EA3F7D" w:rsidP="00BD3A9C">
      <w:pPr>
        <w:tabs>
          <w:tab w:val="left" w:pos="2520"/>
        </w:tabs>
        <w:spacing w:after="120"/>
        <w:jc w:val="center"/>
        <w:rPr>
          <w:rFonts w:ascii="Sylfaen" w:hAnsi="Sylfaen" w:cs="Arial"/>
        </w:rPr>
      </w:pPr>
      <w:r w:rsidRPr="00EA3F7D">
        <w:rPr>
          <w:rFonts w:ascii="Sylfaen" w:hAnsi="Sylfaen" w:cs="Arial"/>
          <w:b/>
          <w:u w:val="single"/>
        </w:rPr>
        <w:t>DETERMINATION &amp;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1" w:name="Dropdown4"/>
      <w:r w:rsidR="00870F00">
        <w:rPr>
          <w:rFonts w:ascii="Sylfaen" w:hAnsi="Sylfaen" w:cs="Arial"/>
        </w:rPr>
        <w:fldChar w:fldCharType="begin">
          <w:ffData>
            <w:name w:val="Dropdown4"/>
            <w:enabled/>
            <w:calcOnExit w:val="0"/>
            <w:ddList>
              <w:listEntry w:val="respondent to the original appeal"/>
              <w:listEntry w:val="appellant"/>
              <w:listEntry w:val="appellants"/>
            </w:ddList>
          </w:ffData>
        </w:fldChar>
      </w:r>
      <w:r w:rsidR="00870F00">
        <w:rPr>
          <w:rFonts w:ascii="Sylfaen" w:hAnsi="Sylfaen" w:cs="Arial"/>
        </w:rPr>
        <w:instrText xml:space="preserve"> FORMDROPDOWN </w:instrText>
      </w:r>
      <w:r w:rsidR="00DD7C53">
        <w:rPr>
          <w:rFonts w:ascii="Sylfaen" w:hAnsi="Sylfaen" w:cs="Arial"/>
        </w:rPr>
      </w:r>
      <w:r w:rsidR="00DD7C53">
        <w:rPr>
          <w:rFonts w:ascii="Sylfaen" w:hAnsi="Sylfaen" w:cs="Arial"/>
        </w:rPr>
        <w:fldChar w:fldCharType="separate"/>
      </w:r>
      <w:r w:rsidR="00870F00">
        <w:rPr>
          <w:rFonts w:ascii="Sylfaen" w:hAnsi="Sylfaen" w:cs="Arial"/>
        </w:rPr>
        <w:fldChar w:fldCharType="end"/>
      </w:r>
      <w:bookmarkEnd w:id="1"/>
      <w:r w:rsidR="00DF392C">
        <w:rPr>
          <w:rFonts w:ascii="Sylfaen" w:hAnsi="Sylfaen" w:cs="Arial"/>
        </w:rPr>
        <w:t>,</w:t>
      </w:r>
      <w:r w:rsidR="00FE4D99">
        <w:rPr>
          <w:rFonts w:ascii="Sylfaen" w:hAnsi="Sylfaen" w:cs="Arial"/>
        </w:rPr>
        <w:t xml:space="preserve"> against the decision of </w:t>
      </w:r>
      <w:r w:rsidR="00C9293E">
        <w:rPr>
          <w:rFonts w:ascii="Sylfaen" w:hAnsi="Sylfaen" w:cs="Arial"/>
        </w:rPr>
        <w:t>the First-tier Tribunal (</w:t>
      </w:r>
      <w:r w:rsidR="00FE4D99">
        <w:rPr>
          <w:rFonts w:ascii="Sylfaen" w:hAnsi="Sylfaen" w:cs="Arial"/>
        </w:rPr>
        <w:t xml:space="preserve">Judge </w:t>
      </w:r>
      <w:r w:rsidR="00870F00">
        <w:rPr>
          <w:rFonts w:ascii="Sylfaen" w:hAnsi="Sylfaen" w:cs="Arial"/>
        </w:rPr>
        <w:t>Clifford Mailer</w:t>
      </w:r>
      <w:r w:rsidR="00C9293E">
        <w:rPr>
          <w:rFonts w:ascii="Sylfaen" w:hAnsi="Sylfaen" w:cs="Arial"/>
        </w:rPr>
        <w:t>)</w:t>
      </w:r>
      <w:r w:rsidR="00FE4D99">
        <w:rPr>
          <w:rFonts w:ascii="Sylfaen" w:hAnsi="Sylfaen" w:cs="Arial"/>
        </w:rPr>
        <w:t xml:space="preserve">, sitting at </w:t>
      </w:r>
      <w:r w:rsidR="00870F00">
        <w:rPr>
          <w:rFonts w:ascii="Sylfaen" w:hAnsi="Sylfaen" w:cs="Arial"/>
        </w:rPr>
        <w:t>Hatton Cross</w:t>
      </w:r>
      <w:r w:rsidR="00FE4D99">
        <w:rPr>
          <w:rFonts w:ascii="Sylfaen" w:hAnsi="Sylfaen" w:cs="Arial"/>
        </w:rPr>
        <w:t xml:space="preserve"> on </w:t>
      </w:r>
      <w:r w:rsidR="00870F00">
        <w:rPr>
          <w:rFonts w:ascii="Sylfaen" w:hAnsi="Sylfaen" w:cs="Arial"/>
        </w:rPr>
        <w:t>6 March</w:t>
      </w:r>
      <w:r w:rsidR="00FE4D99">
        <w:rPr>
          <w:rFonts w:ascii="Sylfaen" w:hAnsi="Sylfaen" w:cs="Arial"/>
        </w:rPr>
        <w:t xml:space="preserve">, to </w:t>
      </w:r>
      <w:bookmarkStart w:id="2" w:name="Dropdown2"/>
      <w:r w:rsidR="00870F00">
        <w:rPr>
          <w:rFonts w:ascii="Sylfaen" w:hAnsi="Sylfaen" w:cs="Arial"/>
        </w:rPr>
        <w:fldChar w:fldCharType="begin">
          <w:ffData>
            <w:name w:val="Dropdown2"/>
            <w:enabled/>
            <w:calcOnExit w:val="0"/>
            <w:ddList>
              <w:listEntry w:val="allow"/>
              <w:listEntry w:val="dismiss"/>
            </w:ddList>
          </w:ffData>
        </w:fldChar>
      </w:r>
      <w:r w:rsidR="00870F00">
        <w:rPr>
          <w:rFonts w:ascii="Sylfaen" w:hAnsi="Sylfaen" w:cs="Arial"/>
        </w:rPr>
        <w:instrText xml:space="preserve"> FORMDROPDOWN </w:instrText>
      </w:r>
      <w:r w:rsidR="00DD7C53">
        <w:rPr>
          <w:rFonts w:ascii="Sylfaen" w:hAnsi="Sylfaen" w:cs="Arial"/>
        </w:rPr>
      </w:r>
      <w:r w:rsidR="00DD7C53">
        <w:rPr>
          <w:rFonts w:ascii="Sylfaen" w:hAnsi="Sylfaen" w:cs="Arial"/>
        </w:rPr>
        <w:fldChar w:fldCharType="separate"/>
      </w:r>
      <w:r w:rsidR="00870F00">
        <w:rPr>
          <w:rFonts w:ascii="Sylfaen" w:hAnsi="Sylfaen" w:cs="Arial"/>
        </w:rPr>
        <w:fldChar w:fldCharType="end"/>
      </w:r>
      <w:bookmarkEnd w:id="2"/>
      <w:r w:rsidR="00FE4D99">
        <w:rPr>
          <w:rFonts w:ascii="Sylfaen" w:hAnsi="Sylfaen" w:cs="Arial"/>
        </w:rPr>
        <w:t xml:space="preserve"> </w:t>
      </w:r>
      <w:r w:rsidR="00870F00">
        <w:rPr>
          <w:rFonts w:ascii="Sylfaen" w:hAnsi="Sylfaen" w:cs="Arial"/>
        </w:rPr>
        <w:t>a deportation</w:t>
      </w:r>
      <w:r w:rsidR="00FE4D99">
        <w:rPr>
          <w:rFonts w:ascii="Sylfaen" w:hAnsi="Sylfaen" w:cs="Arial"/>
        </w:rPr>
        <w:t xml:space="preserve"> appeal by a citizen of </w:t>
      </w:r>
      <w:smartTag w:uri="urn:schemas-microsoft-com:office:smarttags" w:element="place">
        <w:smartTag w:uri="urn:schemas-microsoft-com:office:smarttags" w:element="country-region">
          <w:r w:rsidR="00870F00">
            <w:rPr>
              <w:rFonts w:ascii="Sylfaen" w:hAnsi="Sylfaen" w:cs="Arial"/>
            </w:rPr>
            <w:t>Afghanistan</w:t>
          </w:r>
        </w:smartTag>
      </w:smartTag>
      <w:r w:rsidR="00FE4D99">
        <w:rPr>
          <w:rFonts w:ascii="Sylfaen" w:hAnsi="Sylfaen" w:cs="Arial"/>
        </w:rPr>
        <w:t>.</w:t>
      </w:r>
    </w:p>
    <w:p w:rsidR="004617F0" w:rsidRDefault="00870F00"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judge allowed the appeal on both asylum and article 8 grounds, and both parts of his decision are challenged. So far as the asylum appeal is concerned, </w:t>
      </w:r>
      <w:r w:rsidR="006D1BD2">
        <w:rPr>
          <w:rFonts w:ascii="Sylfaen" w:hAnsi="Sylfaen" w:cs="Arial"/>
        </w:rPr>
        <w:t xml:space="preserve">the very experienced judge followed what he thought was the effect of  </w:t>
      </w:r>
      <w:r w:rsidR="006D1BD2">
        <w:rPr>
          <w:rFonts w:ascii="Sylfaen" w:hAnsi="Sylfaen" w:cs="Arial"/>
          <w:i/>
        </w:rPr>
        <w:t xml:space="preserve">Ocampo </w:t>
      </w:r>
      <w:r w:rsidR="006D1BD2">
        <w:rPr>
          <w:rFonts w:ascii="Sylfaen" w:hAnsi="Sylfaen" w:cs="Arial"/>
        </w:rPr>
        <w:t xml:space="preserve">[2006] EWCA </w:t>
      </w:r>
      <w:proofErr w:type="spellStart"/>
      <w:r w:rsidR="006D1BD2">
        <w:rPr>
          <w:rFonts w:ascii="Sylfaen" w:hAnsi="Sylfaen" w:cs="Arial"/>
        </w:rPr>
        <w:t>Civ</w:t>
      </w:r>
      <w:proofErr w:type="spellEnd"/>
      <w:r w:rsidR="006D1BD2">
        <w:rPr>
          <w:rFonts w:ascii="Sylfaen" w:hAnsi="Sylfaen" w:cs="Arial"/>
        </w:rPr>
        <w:t xml:space="preserve"> 1276, as set out in </w:t>
      </w:r>
      <w:r w:rsidR="006D1BD2">
        <w:rPr>
          <w:rFonts w:ascii="Sylfaen" w:hAnsi="Sylfaen" w:cs="Arial"/>
          <w:i/>
        </w:rPr>
        <w:t xml:space="preserve">AA (Somalia) </w:t>
      </w:r>
      <w:r w:rsidR="006D1BD2">
        <w:rPr>
          <w:rFonts w:ascii="Sylfaen" w:hAnsi="Sylfaen" w:cs="Arial"/>
        </w:rPr>
        <w:t xml:space="preserve">[2007] EWCA </w:t>
      </w:r>
      <w:proofErr w:type="spellStart"/>
      <w:r w:rsidR="006D1BD2">
        <w:rPr>
          <w:rFonts w:ascii="Sylfaen" w:hAnsi="Sylfaen" w:cs="Arial"/>
        </w:rPr>
        <w:t>Civ</w:t>
      </w:r>
      <w:proofErr w:type="spellEnd"/>
      <w:r w:rsidR="006D1BD2">
        <w:rPr>
          <w:rFonts w:ascii="Sylfaen" w:hAnsi="Sylfaen" w:cs="Arial"/>
        </w:rPr>
        <w:t xml:space="preserve"> 1040, modifying the principles set out in </w:t>
      </w:r>
      <w:hyperlink r:id="rId8" w:tgtFrame="_blank" w:tooltip="Devaseelan (Second Appeals - ECHR - Extra-Territorial Effect)" w:history="1">
        <w:proofErr w:type="spellStart"/>
        <w:r w:rsidR="006D1BD2" w:rsidRPr="006D1BD2">
          <w:rPr>
            <w:rFonts w:ascii="Sylfaen" w:hAnsi="Sylfaen" w:cs="Arial"/>
            <w:i/>
            <w:color w:val="000000"/>
            <w:shd w:val="clear" w:color="auto" w:fill="FFFFFF"/>
          </w:rPr>
          <w:t>Devaseelan</w:t>
        </w:r>
        <w:proofErr w:type="spellEnd"/>
        <w:r w:rsidR="006D1BD2" w:rsidRPr="006D1BD2">
          <w:rPr>
            <w:rFonts w:ascii="Sylfaen" w:hAnsi="Sylfaen" w:cs="Arial"/>
            <w:color w:val="000000"/>
            <w:shd w:val="clear" w:color="auto" w:fill="FFFFFF"/>
          </w:rPr>
          <w:t xml:space="preserve"> (Second Appeals - ECHR - Extra-Territorial Effect)</w:t>
        </w:r>
      </w:hyperlink>
      <w:r w:rsidR="006D1BD2" w:rsidRPr="006D1BD2">
        <w:rPr>
          <w:rFonts w:ascii="Sylfaen" w:hAnsi="Sylfaen" w:cs="Arial"/>
          <w:color w:val="000000"/>
        </w:rPr>
        <w:t xml:space="preserve"> [2002] UKIAT 702*</w:t>
      </w:r>
      <w:r w:rsidR="006D1BD2">
        <w:rPr>
          <w:rFonts w:ascii="Sylfaen" w:hAnsi="Sylfaen" w:cs="Arial"/>
        </w:rPr>
        <w:t xml:space="preserve">. </w:t>
      </w:r>
    </w:p>
    <w:p w:rsidR="006D1BD2" w:rsidRDefault="006D1BD2" w:rsidP="00BD3A9C">
      <w:pPr>
        <w:numPr>
          <w:ilvl w:val="0"/>
          <w:numId w:val="1"/>
        </w:numPr>
        <w:tabs>
          <w:tab w:val="clear" w:pos="757"/>
        </w:tabs>
        <w:spacing w:after="120"/>
        <w:ind w:left="540" w:hanging="540"/>
        <w:jc w:val="both"/>
        <w:rPr>
          <w:rFonts w:ascii="Sylfaen" w:hAnsi="Sylfaen" w:cs="Arial"/>
        </w:rPr>
      </w:pPr>
      <w:r>
        <w:rPr>
          <w:rFonts w:ascii="Sylfaen" w:hAnsi="Sylfaen" w:cs="Arial"/>
        </w:rPr>
        <w:lastRenderedPageBreak/>
        <w:t>The judge had before him decisions by other judges in appeals by the appellant’s son and nephew. In the son’s case, Judge Maxwell had set out concessions by the respondent, to the effect that</w:t>
      </w:r>
    </w:p>
    <w:p w:rsidR="006D1BD2" w:rsidRDefault="006D1BD2" w:rsidP="006D1BD2">
      <w:pPr>
        <w:numPr>
          <w:ilvl w:val="0"/>
          <w:numId w:val="15"/>
        </w:numPr>
        <w:spacing w:after="120"/>
        <w:jc w:val="both"/>
        <w:rPr>
          <w:rFonts w:ascii="Sylfaen" w:hAnsi="Sylfaen" w:cs="Arial"/>
        </w:rPr>
      </w:pPr>
      <w:r>
        <w:rPr>
          <w:rFonts w:ascii="Sylfaen" w:hAnsi="Sylfaen" w:cs="Arial"/>
        </w:rPr>
        <w:t>[the appellant] was in the Afghan National Army and subsequently kidnapped by the Taleban;</w:t>
      </w:r>
    </w:p>
    <w:p w:rsidR="006D1BD2" w:rsidRDefault="006D1BD2" w:rsidP="006D1BD2">
      <w:pPr>
        <w:numPr>
          <w:ilvl w:val="0"/>
          <w:numId w:val="15"/>
        </w:numPr>
        <w:spacing w:after="120"/>
        <w:jc w:val="both"/>
        <w:rPr>
          <w:rFonts w:ascii="Sylfaen" w:hAnsi="Sylfaen" w:cs="Arial"/>
        </w:rPr>
      </w:pPr>
      <w:r>
        <w:rPr>
          <w:rFonts w:ascii="Sylfaen" w:hAnsi="Sylfaen" w:cs="Arial"/>
        </w:rPr>
        <w:t xml:space="preserve">the Taleban had burnt the family house down; and </w:t>
      </w:r>
    </w:p>
    <w:p w:rsidR="006D1BD2" w:rsidRDefault="006D1BD2" w:rsidP="006D1BD2">
      <w:pPr>
        <w:numPr>
          <w:ilvl w:val="0"/>
          <w:numId w:val="15"/>
        </w:numPr>
        <w:spacing w:after="120"/>
        <w:jc w:val="both"/>
        <w:rPr>
          <w:rFonts w:ascii="Sylfaen" w:hAnsi="Sylfaen" w:cs="Arial"/>
        </w:rPr>
      </w:pPr>
      <w:r>
        <w:rPr>
          <w:rFonts w:ascii="Sylfaen" w:hAnsi="Sylfaen" w:cs="Arial"/>
        </w:rPr>
        <w:t>they had killed [the appellant’s] brother.</w:t>
      </w:r>
    </w:p>
    <w:p w:rsidR="006D1BD2" w:rsidRDefault="00D3485B" w:rsidP="006D1BD2">
      <w:pPr>
        <w:spacing w:after="120"/>
        <w:ind w:left="540"/>
        <w:jc w:val="both"/>
        <w:rPr>
          <w:rFonts w:ascii="Sylfaen" w:hAnsi="Sylfaen" w:cs="Arial"/>
        </w:rPr>
      </w:pPr>
      <w:r>
        <w:rPr>
          <w:rFonts w:ascii="Sylfaen" w:hAnsi="Sylfaen" w:cs="Arial"/>
        </w:rPr>
        <w:t xml:space="preserve">The judge noted that the respondent had conceded the ‘basic facts’ of the son’s case, but went straight on to consider whether they left him at any real risk on return. He decided that they would not: an appeal to the </w:t>
      </w:r>
      <w:smartTag w:uri="urn:schemas-microsoft-com:office:smarttags" w:element="PersonName">
        <w:r>
          <w:rPr>
            <w:rFonts w:ascii="Sylfaen" w:hAnsi="Sylfaen" w:cs="Arial"/>
          </w:rPr>
          <w:t>Upper Tribunal</w:t>
        </w:r>
      </w:smartTag>
      <w:r>
        <w:rPr>
          <w:rFonts w:ascii="Sylfaen" w:hAnsi="Sylfaen" w:cs="Arial"/>
        </w:rPr>
        <w:t xml:space="preserve"> was allowed on this point, and a fresh hearing before the First-tier Tribunal directed. That never happened, because the appellant eventually withdrew his appeal.</w:t>
      </w:r>
    </w:p>
    <w:p w:rsidR="006D1BD2" w:rsidRDefault="00D3485B"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In the nephew’s case, Judge Oakley did much the same: at paragraph 11, he noted that the nephew, then only 11, was not being called to give evidence, and that the respondent had </w:t>
      </w:r>
      <w:proofErr w:type="gramStart"/>
      <w:r>
        <w:rPr>
          <w:rFonts w:ascii="Sylfaen" w:hAnsi="Sylfaen" w:cs="Arial"/>
        </w:rPr>
        <w:t>accept</w:t>
      </w:r>
      <w:proofErr w:type="gramEnd"/>
      <w:r>
        <w:rPr>
          <w:rFonts w:ascii="Sylfaen" w:hAnsi="Sylfaen" w:cs="Arial"/>
        </w:rPr>
        <w:t xml:space="preserve"> what had happened to him. </w:t>
      </w:r>
      <w:proofErr w:type="gramStart"/>
      <w:r>
        <w:rPr>
          <w:rFonts w:ascii="Sylfaen" w:hAnsi="Sylfaen" w:cs="Arial"/>
        </w:rPr>
        <w:t>Again</w:t>
      </w:r>
      <w:proofErr w:type="gramEnd"/>
      <w:r>
        <w:rPr>
          <w:rFonts w:ascii="Sylfaen" w:hAnsi="Sylfaen" w:cs="Arial"/>
        </w:rPr>
        <w:t xml:space="preserve"> he went straight on to consider the resultin</w:t>
      </w:r>
      <w:r w:rsidR="008A0322">
        <w:rPr>
          <w:rFonts w:ascii="Sylfaen" w:hAnsi="Sylfaen" w:cs="Arial"/>
        </w:rPr>
        <w:t>g risk; but in this case the nephew’s appeal was allowed, and he was later granted asylum.</w:t>
      </w:r>
    </w:p>
    <w:p w:rsidR="002E4ECF" w:rsidRDefault="00D3485B"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Those concessions were not made in the present case: the refusal letter made it clear that the appellant’s evidence was disputed, and he was cross-examined at some length before the judge. The judge </w:t>
      </w:r>
      <w:r w:rsidR="002E4ECF">
        <w:rPr>
          <w:rFonts w:ascii="Sylfaen" w:hAnsi="Sylfaen" w:cs="Arial"/>
        </w:rPr>
        <w:t xml:space="preserve">set out his evidence in corresponding detail, and set out the effect of </w:t>
      </w:r>
      <w:r w:rsidR="002E4ECF">
        <w:rPr>
          <w:rFonts w:ascii="Sylfaen" w:hAnsi="Sylfaen" w:cs="Arial"/>
          <w:i/>
        </w:rPr>
        <w:t xml:space="preserve">AA </w:t>
      </w:r>
      <w:r w:rsidR="002E4ECF">
        <w:rPr>
          <w:rFonts w:ascii="Sylfaen" w:hAnsi="Sylfaen" w:cs="Arial"/>
        </w:rPr>
        <w:t xml:space="preserve">and </w:t>
      </w:r>
      <w:r w:rsidR="002E4ECF">
        <w:rPr>
          <w:rFonts w:ascii="Sylfaen" w:hAnsi="Sylfaen" w:cs="Arial"/>
          <w:i/>
        </w:rPr>
        <w:t>Ocampo</w:t>
      </w:r>
      <w:r w:rsidR="002E4ECF">
        <w:rPr>
          <w:rFonts w:ascii="Sylfaen" w:hAnsi="Sylfaen" w:cs="Arial"/>
        </w:rPr>
        <w:t xml:space="preserve"> clearly and correctly, so far as they related to facts established by judicial decisions.</w:t>
      </w:r>
    </w:p>
    <w:p w:rsidR="002E4ECF" w:rsidRDefault="002E4ECF"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Where in my view the judge went wrong was to take as his starting-point what were no more than concessions on the facts, now withdrawn by the respondent. While he was perfectly entitled to note that such concessions had been made, they were not the result of judicial findings, and should not have been treated as if they were. There is nothing in </w:t>
      </w:r>
      <w:r>
        <w:rPr>
          <w:rFonts w:ascii="Sylfaen" w:hAnsi="Sylfaen" w:cs="Arial"/>
          <w:i/>
        </w:rPr>
        <w:t xml:space="preserve">AA </w:t>
      </w:r>
      <w:r>
        <w:rPr>
          <w:rFonts w:ascii="Sylfaen" w:hAnsi="Sylfaen" w:cs="Arial"/>
        </w:rPr>
        <w:t xml:space="preserve">or </w:t>
      </w:r>
      <w:r>
        <w:rPr>
          <w:rFonts w:ascii="Sylfaen" w:hAnsi="Sylfaen" w:cs="Arial"/>
          <w:i/>
        </w:rPr>
        <w:t>Ocampo</w:t>
      </w:r>
      <w:r>
        <w:rPr>
          <w:rFonts w:ascii="Sylfaen" w:hAnsi="Sylfaen" w:cs="Arial"/>
        </w:rPr>
        <w:t xml:space="preserve"> to support extending the </w:t>
      </w:r>
      <w:proofErr w:type="spellStart"/>
      <w:r w:rsidRPr="002E4ECF">
        <w:rPr>
          <w:rFonts w:ascii="Sylfaen" w:hAnsi="Sylfaen" w:cs="Arial"/>
          <w:i/>
        </w:rPr>
        <w:t>Devaseelan</w:t>
      </w:r>
      <w:proofErr w:type="spellEnd"/>
      <w:r>
        <w:rPr>
          <w:rFonts w:ascii="Sylfaen" w:hAnsi="Sylfaen" w:cs="Arial"/>
        </w:rPr>
        <w:t xml:space="preserve"> principles to cover concessions made by a party, and nothing in Judge Maxwell or Judge Oakley’s decisions (see </w:t>
      </w:r>
      <w:r>
        <w:rPr>
          <w:rFonts w:ascii="Sylfaen" w:hAnsi="Sylfaen" w:cs="Arial"/>
          <w:b/>
        </w:rPr>
        <w:t>3 – 4</w:t>
      </w:r>
      <w:r>
        <w:rPr>
          <w:rFonts w:ascii="Sylfaen" w:hAnsi="Sylfaen" w:cs="Arial"/>
        </w:rPr>
        <w:t xml:space="preserve">) to suggest that they made any independent decision on the veracity of the family history. </w:t>
      </w:r>
      <w:r w:rsidR="00D3485B">
        <w:rPr>
          <w:rFonts w:ascii="Sylfaen" w:hAnsi="Sylfaen" w:cs="Arial"/>
        </w:rPr>
        <w:t xml:space="preserve">        </w:t>
      </w:r>
    </w:p>
    <w:p w:rsidR="002E4ECF" w:rsidRDefault="002E4ECF" w:rsidP="00BD3A9C">
      <w:pPr>
        <w:numPr>
          <w:ilvl w:val="0"/>
          <w:numId w:val="1"/>
        </w:numPr>
        <w:tabs>
          <w:tab w:val="clear" w:pos="757"/>
        </w:tabs>
        <w:spacing w:after="120"/>
        <w:ind w:left="540" w:hanging="540"/>
        <w:jc w:val="both"/>
        <w:rPr>
          <w:rFonts w:ascii="Sylfaen" w:hAnsi="Sylfaen" w:cs="Arial"/>
        </w:rPr>
      </w:pPr>
      <w:r>
        <w:rPr>
          <w:rFonts w:ascii="Sylfaen" w:hAnsi="Sylfaen" w:cs="Arial"/>
        </w:rPr>
        <w:t>It follows that, despite the great care with which the judge dealt with this part of the case, his decision on it has to be regarded as wrong in law. As it involves the appellant’s status, a re-hearing would in any event be needed; but I have also considered the article 8 appeal, in case the judge’s decision can be upheld on that point.</w:t>
      </w:r>
    </w:p>
    <w:p w:rsidR="008A0322" w:rsidRDefault="002E4ECF" w:rsidP="00BD3A9C">
      <w:pPr>
        <w:numPr>
          <w:ilvl w:val="0"/>
          <w:numId w:val="1"/>
        </w:numPr>
        <w:tabs>
          <w:tab w:val="clear" w:pos="757"/>
        </w:tabs>
        <w:spacing w:after="120"/>
        <w:ind w:left="540" w:hanging="540"/>
        <w:jc w:val="both"/>
        <w:rPr>
          <w:rFonts w:ascii="Sylfaen" w:hAnsi="Sylfaen" w:cs="Arial"/>
        </w:rPr>
      </w:pPr>
      <w:r>
        <w:rPr>
          <w:rFonts w:ascii="Sylfaen" w:hAnsi="Sylfaen" w:cs="Arial"/>
        </w:rPr>
        <w:t>Understandably, since to him it was no more than an additional reason for allowing the appeal, the judge dealt with the article 8 claim very much more briefly. Again he relied on authority, in this case</w:t>
      </w:r>
      <w:r w:rsidR="008A0322">
        <w:rPr>
          <w:rFonts w:ascii="Sylfaen" w:hAnsi="Sylfaen" w:cs="Arial"/>
        </w:rPr>
        <w:t xml:space="preserve"> </w:t>
      </w:r>
      <w:hyperlink r:id="rId9" w:history="1">
        <w:r w:rsidR="008A0322" w:rsidRPr="008A0322">
          <w:rPr>
            <w:rFonts w:ascii="Sylfaen" w:hAnsi="Sylfaen"/>
            <w:i/>
            <w:color w:val="000000"/>
          </w:rPr>
          <w:t>AT and another</w:t>
        </w:r>
        <w:r w:rsidR="008A0322" w:rsidRPr="008A0322">
          <w:rPr>
            <w:rFonts w:ascii="Sylfaen" w:hAnsi="Sylfaen"/>
            <w:color w:val="000000"/>
          </w:rPr>
          <w:t xml:space="preserve"> (Article 8 ECHR - Child Refugee - Family Reunification : Eritrea) [2016] UKUT 227 (IAC)</w:t>
        </w:r>
      </w:hyperlink>
      <w:r w:rsidR="008A0322">
        <w:rPr>
          <w:rFonts w:ascii="Sylfaen" w:hAnsi="Sylfaen" w:cs="Arial"/>
        </w:rPr>
        <w:t xml:space="preserve">: as he said, McCloskey P had held that, where family reunion for a refugee child (in this case the nephew) was concerned, nothing in the Rules made provision for it, but no other material consideration could be treated as inherently more </w:t>
      </w:r>
      <w:r w:rsidR="008A0322" w:rsidRPr="008A0322">
        <w:rPr>
          <w:rFonts w:ascii="Sylfaen" w:hAnsi="Sylfaen" w:cs="Arial"/>
        </w:rPr>
        <w:t>significant</w:t>
      </w:r>
      <w:r w:rsidR="008A0322">
        <w:rPr>
          <w:rFonts w:ascii="Sylfaen" w:hAnsi="Sylfaen" w:cs="Arial"/>
        </w:rPr>
        <w:t xml:space="preserve"> than the best interests of the child. </w:t>
      </w:r>
    </w:p>
    <w:p w:rsidR="002C74B3" w:rsidRDefault="002C74B3" w:rsidP="00BD3A9C">
      <w:pPr>
        <w:numPr>
          <w:ilvl w:val="0"/>
          <w:numId w:val="1"/>
        </w:numPr>
        <w:tabs>
          <w:tab w:val="clear" w:pos="757"/>
        </w:tabs>
        <w:spacing w:after="120"/>
        <w:ind w:left="540" w:hanging="540"/>
        <w:jc w:val="both"/>
        <w:rPr>
          <w:rFonts w:ascii="Sylfaen" w:hAnsi="Sylfaen" w:cs="Arial"/>
        </w:rPr>
      </w:pPr>
      <w:r>
        <w:rPr>
          <w:rFonts w:ascii="Sylfaen" w:hAnsi="Sylfaen" w:cs="Arial"/>
        </w:rPr>
        <w:lastRenderedPageBreak/>
        <w:t xml:space="preserve">While this was a correct summary of the general principles set out in </w:t>
      </w:r>
      <w:r>
        <w:rPr>
          <w:rFonts w:ascii="Sylfaen" w:hAnsi="Sylfaen" w:cs="Arial"/>
          <w:i/>
        </w:rPr>
        <w:t>AT</w:t>
      </w:r>
      <w:r>
        <w:rPr>
          <w:rFonts w:ascii="Sylfaen" w:hAnsi="Sylfaen" w:cs="Arial"/>
        </w:rPr>
        <w:t xml:space="preserve">, the judge did not do what </w:t>
      </w:r>
      <w:r w:rsidRPr="002C74B3">
        <w:rPr>
          <w:rFonts w:ascii="Sylfaen" w:hAnsi="Sylfaen" w:cs="Arial"/>
          <w:bCs/>
          <w:color w:val="000000"/>
        </w:rPr>
        <w:t>McCloskey P</w:t>
      </w:r>
      <w:r>
        <w:rPr>
          <w:rFonts w:ascii="Sylfaen" w:hAnsi="Sylfaen" w:cs="Arial"/>
        </w:rPr>
        <w:t xml:space="preserve"> did there at paragraph 40, which was to consider the effect of s. 117B of the </w:t>
      </w:r>
      <w:hyperlink r:id="rId10" w:history="1">
        <w:r w:rsidRPr="002C74B3">
          <w:rPr>
            <w:rFonts w:ascii="Sylfaen" w:hAnsi="Sylfaen" w:cs="Arial"/>
            <w:color w:val="000000"/>
          </w:rPr>
          <w:t>Nationality, Immigration and Asylum Act 2002</w:t>
        </w:r>
      </w:hyperlink>
      <w:r>
        <w:rPr>
          <w:rFonts w:ascii="Sylfaen" w:hAnsi="Sylfaen" w:cs="Arial"/>
        </w:rPr>
        <w:t xml:space="preserve">. This was of particular importance in the present case, as this appellant had not only been unlawfully here ever since before he was caught by the police in on 25 February 2010, but, after being given temporary admission on 3 March, had absconded till 22 June 2016, when he claimed asylum. </w:t>
      </w:r>
    </w:p>
    <w:p w:rsidR="00D3485B" w:rsidRDefault="002C74B3"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explained this by referring to scare stories he had heard from other Afghans, warning him that those who made such a claim would be deported. The validity or otherwise of that as an explanation needed to be decided, before the appellant’s unlawful residence in this country was weighed in the balance against his nephew’s right to family reunion. </w:t>
      </w:r>
      <w:r w:rsidR="00EA3F7D">
        <w:rPr>
          <w:rFonts w:ascii="Sylfaen" w:hAnsi="Sylfaen" w:cs="Arial"/>
        </w:rPr>
        <w:t xml:space="preserve">That was something the judge had to do, and all that </w:t>
      </w:r>
      <w:r w:rsidR="00EA3F7D">
        <w:rPr>
          <w:rFonts w:ascii="Sylfaen" w:hAnsi="Sylfaen" w:cs="Arial"/>
          <w:i/>
        </w:rPr>
        <w:t xml:space="preserve">AT </w:t>
      </w:r>
      <w:r w:rsidR="00EA3F7D">
        <w:rPr>
          <w:rFonts w:ascii="Sylfaen" w:hAnsi="Sylfaen" w:cs="Arial"/>
        </w:rPr>
        <w:t xml:space="preserve">decided was that this consideration could not be treated as </w:t>
      </w:r>
      <w:r w:rsidR="00EA3F7D">
        <w:rPr>
          <w:rFonts w:ascii="Sylfaen" w:hAnsi="Sylfaen" w:cs="Arial"/>
          <w:i/>
        </w:rPr>
        <w:t xml:space="preserve">inherently </w:t>
      </w:r>
      <w:r w:rsidR="00EA3F7D">
        <w:rPr>
          <w:rFonts w:ascii="Sylfaen" w:hAnsi="Sylfaen" w:cs="Arial"/>
        </w:rPr>
        <w:t xml:space="preserve">more </w:t>
      </w:r>
      <w:r w:rsidR="00EA3F7D" w:rsidRPr="00EA3F7D">
        <w:rPr>
          <w:rFonts w:ascii="Sylfaen" w:hAnsi="Sylfaen" w:cs="Arial"/>
        </w:rPr>
        <w:t>significant</w:t>
      </w:r>
      <w:r w:rsidR="00EA3F7D">
        <w:rPr>
          <w:rFonts w:ascii="Sylfaen" w:hAnsi="Sylfaen" w:cs="Arial"/>
        </w:rPr>
        <w:t xml:space="preserve"> than the nephew’s best interests. Whether it was actually more </w:t>
      </w:r>
      <w:r w:rsidR="00EA3F7D" w:rsidRPr="00EA3F7D">
        <w:rPr>
          <w:rFonts w:ascii="Sylfaen" w:hAnsi="Sylfaen" w:cs="Arial"/>
        </w:rPr>
        <w:t>significant</w:t>
      </w:r>
      <w:r w:rsidR="00EA3F7D">
        <w:rPr>
          <w:rFonts w:ascii="Sylfaen" w:hAnsi="Sylfaen" w:cs="Arial"/>
        </w:rPr>
        <w:t xml:space="preserve"> on the facts of the individual case was something for the judge to decide. Since he did not do so, the article 8 appeal will need a fresh hearing too.</w:t>
      </w:r>
    </w:p>
    <w:p w:rsidR="00EA3F7D" w:rsidRPr="00A544A8" w:rsidRDefault="00EA3F7D" w:rsidP="00BD3A9C">
      <w:pPr>
        <w:numPr>
          <w:ilvl w:val="0"/>
          <w:numId w:val="1"/>
        </w:numPr>
        <w:tabs>
          <w:tab w:val="clear" w:pos="757"/>
        </w:tabs>
        <w:spacing w:after="120"/>
        <w:ind w:left="540" w:hanging="540"/>
        <w:jc w:val="both"/>
        <w:rPr>
          <w:rFonts w:ascii="Sylfaen" w:hAnsi="Sylfaen" w:cs="Arial"/>
        </w:rPr>
      </w:pPr>
      <w:r>
        <w:rPr>
          <w:rFonts w:ascii="Sylfaen" w:hAnsi="Sylfaen" w:cs="Arial"/>
        </w:rPr>
        <w:t>Given the lengthy consideration of the facts required on the asylum appeal, both it and the article 8 appeal can more quickly and conveniently be dealt with in the First-tier Tribunal.</w:t>
      </w:r>
    </w:p>
    <w:p w:rsidR="00EA3F7D" w:rsidRDefault="00EA3F7D">
      <w:pPr>
        <w:ind w:left="540" w:hanging="540"/>
        <w:jc w:val="both"/>
        <w:rPr>
          <w:rFonts w:ascii="Sylfaen" w:hAnsi="Sylfaen" w:cs="Arial"/>
          <w:b/>
        </w:rPr>
      </w:pPr>
      <w:r>
        <w:rPr>
          <w:rFonts w:ascii="Sylfaen" w:hAnsi="Sylfaen" w:cs="Arial"/>
          <w:b/>
        </w:rPr>
        <w:t xml:space="preserve">Appeal </w:t>
      </w:r>
      <w:bookmarkStart w:id="3" w:name="Dropdown3"/>
      <w:r>
        <w:rPr>
          <w:rFonts w:ascii="Sylfaen" w:hAnsi="Sylfaen" w:cs="Arial"/>
          <w:b/>
        </w:rPr>
        <w:fldChar w:fldCharType="begin">
          <w:ffData>
            <w:name w:val="Dropdown3"/>
            <w:enabled/>
            <w:calcOnExit w:val="0"/>
            <w:ddList>
              <w:listEntry w:val="allowed"/>
              <w:listEntry w:val="dismissed"/>
            </w:ddList>
          </w:ffData>
        </w:fldChar>
      </w:r>
      <w:r>
        <w:rPr>
          <w:rFonts w:ascii="Sylfaen" w:hAnsi="Sylfaen" w:cs="Arial"/>
          <w:b/>
        </w:rPr>
        <w:instrText xml:space="preserve"> FORMDROPDOWN </w:instrText>
      </w:r>
      <w:r w:rsidR="00DD7C53">
        <w:rPr>
          <w:rFonts w:ascii="Sylfaen" w:hAnsi="Sylfaen" w:cs="Arial"/>
          <w:b/>
        </w:rPr>
      </w:r>
      <w:r w:rsidR="00DD7C53">
        <w:rPr>
          <w:rFonts w:ascii="Sylfaen" w:hAnsi="Sylfaen" w:cs="Arial"/>
          <w:b/>
        </w:rPr>
        <w:fldChar w:fldCharType="separate"/>
      </w:r>
      <w:r>
        <w:rPr>
          <w:rFonts w:ascii="Sylfaen" w:hAnsi="Sylfaen" w:cs="Arial"/>
          <w:b/>
        </w:rPr>
        <w:fldChar w:fldCharType="end"/>
      </w:r>
      <w:bookmarkEnd w:id="3"/>
      <w:r>
        <w:rPr>
          <w:rFonts w:ascii="Sylfaen" w:hAnsi="Sylfaen" w:cs="Arial"/>
          <w:b/>
        </w:rPr>
        <w:t>: first-tier decision set aside</w:t>
      </w:r>
      <w:bookmarkStart w:id="4" w:name="_GoBack"/>
      <w:bookmarkEnd w:id="4"/>
    </w:p>
    <w:p w:rsidR="00EA3F7D" w:rsidRPr="008F23F4" w:rsidRDefault="00EA3F7D">
      <w:pPr>
        <w:ind w:left="540" w:hanging="540"/>
        <w:jc w:val="both"/>
        <w:rPr>
          <w:rFonts w:ascii="Sylfaen" w:hAnsi="Sylfaen" w:cs="Arial"/>
          <w:b/>
        </w:rPr>
      </w:pPr>
      <w:r>
        <w:rPr>
          <w:rFonts w:ascii="Sylfaen" w:hAnsi="Sylfaen" w:cs="Arial"/>
          <w:b/>
        </w:rPr>
        <w:t xml:space="preserve">Fresh hearing at Hatton Cross, not before Judge Mailer </w:t>
      </w:r>
    </w:p>
    <w:p w:rsidR="00F46073" w:rsidRDefault="00F46073">
      <w:pPr>
        <w:ind w:left="4508" w:hanging="539"/>
        <w:rPr>
          <w:rFonts w:ascii="Sylfaen" w:hAnsi="Sylfaen" w:cs="Arial"/>
        </w:rPr>
      </w:pPr>
      <w:r w:rsidRPr="00A544A8">
        <w:rPr>
          <w:rFonts w:ascii="Sylfaen" w:hAnsi="Sylfaen" w:cs="Arial"/>
          <w:b/>
          <w:noProof/>
        </w:rPr>
        <w:drawing>
          <wp:inline distT="0" distB="0" distL="0" distR="0">
            <wp:extent cx="2139950"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EA3F7D">
        <w:rPr>
          <w:rFonts w:ascii="Sylfaen" w:hAnsi="Sylfaen" w:cs="Arial"/>
        </w:rPr>
        <w:t xml:space="preserve"> </w:t>
      </w:r>
      <w:r w:rsidR="00EA3F7D" w:rsidRPr="00A544A8">
        <w:rPr>
          <w:rFonts w:ascii="Sylfaen" w:hAnsi="Sylfaen" w:cs="Arial"/>
        </w:rPr>
        <w:tab/>
      </w:r>
      <w:r w:rsidR="00EA3F7D" w:rsidRPr="00A544A8">
        <w:rPr>
          <w:rFonts w:ascii="Sylfaen" w:hAnsi="Sylfaen" w:cs="Arial"/>
        </w:rPr>
        <w:tab/>
      </w:r>
      <w:r w:rsidR="00EA3F7D" w:rsidRPr="00A544A8">
        <w:rPr>
          <w:rFonts w:ascii="Sylfaen" w:hAnsi="Sylfaen" w:cs="Arial"/>
        </w:rPr>
        <w:tab/>
      </w:r>
      <w:r w:rsidR="005F533B">
        <w:rPr>
          <w:rFonts w:ascii="Sylfaen" w:hAnsi="Sylfaen" w:cs="Arial"/>
        </w:rPr>
        <w:t xml:space="preserve">dated </w:t>
      </w:r>
      <w:r w:rsidR="00EA3F7D" w:rsidRPr="00A544A8">
        <w:rPr>
          <w:rFonts w:ascii="Sylfaen" w:hAnsi="Sylfaen" w:cs="Arial"/>
        </w:rPr>
        <w:tab/>
      </w:r>
      <w:r w:rsidR="005F533B" w:rsidRPr="005F533B">
        <w:rPr>
          <w:rFonts w:ascii="Sylfaen" w:hAnsi="Sylfaen" w:cs="Arial"/>
        </w:rPr>
        <w:t>02 July 2018</w:t>
      </w:r>
      <w:r w:rsidR="00EA3F7D" w:rsidRPr="00A544A8">
        <w:rPr>
          <w:rFonts w:ascii="Sylfaen" w:hAnsi="Sylfaen" w:cs="Arial"/>
        </w:rPr>
        <w:tab/>
      </w:r>
    </w:p>
    <w:p w:rsidR="00EA3F7D" w:rsidRPr="00A544A8" w:rsidRDefault="00EA3F7D">
      <w:pPr>
        <w:ind w:left="4508" w:hanging="539"/>
        <w:rPr>
          <w:rFonts w:ascii="Sylfaen" w:hAnsi="Sylfaen" w:cs="Arial"/>
          <w:color w:val="000000"/>
        </w:rPr>
      </w:pPr>
      <w:r w:rsidRPr="00A544A8">
        <w:rPr>
          <w:rFonts w:ascii="Sylfaen" w:hAnsi="Sylfaen" w:cs="Arial"/>
          <w:color w:val="000000"/>
        </w:rPr>
        <w:t xml:space="preserve"> </w:t>
      </w:r>
      <w:r>
        <w:rPr>
          <w:rFonts w:ascii="Sylfaen" w:hAnsi="Sylfaen" w:cs="Arial"/>
          <w:color w:val="000000"/>
        </w:rPr>
        <w:t xml:space="preserve">(a </w:t>
      </w:r>
      <w:r w:rsidRPr="00A544A8">
        <w:rPr>
          <w:rFonts w:ascii="Sylfaen" w:hAnsi="Sylfaen" w:cs="Arial"/>
          <w:color w:val="000000"/>
        </w:rPr>
        <w:t xml:space="preserve">judge </w:t>
      </w:r>
      <w:r>
        <w:rPr>
          <w:rFonts w:ascii="Sylfaen" w:hAnsi="Sylfaen" w:cs="Arial"/>
          <w:color w:val="000000"/>
        </w:rPr>
        <w:t xml:space="preserve">of the </w:t>
      </w:r>
      <w:smartTag w:uri="urn:schemas-microsoft-com:office:smarttags" w:element="PersonName">
        <w:r>
          <w:rPr>
            <w:rFonts w:ascii="Sylfaen" w:hAnsi="Sylfaen" w:cs="Arial"/>
            <w:color w:val="000000"/>
          </w:rPr>
          <w:t>Upper Tribunal</w:t>
        </w:r>
      </w:smartTag>
      <w:r>
        <w:rPr>
          <w:rFonts w:ascii="Sylfaen" w:hAnsi="Sylfaen" w:cs="Arial"/>
          <w:color w:val="000000"/>
        </w:rPr>
        <w:t>)</w:t>
      </w:r>
    </w:p>
    <w:p w:rsidR="00DB1EA9" w:rsidRPr="00DD4871" w:rsidRDefault="00DB1EA9" w:rsidP="00DF392C"/>
    <w:p w:rsidR="00B95326" w:rsidRPr="00A544A8" w:rsidRDefault="00B95326" w:rsidP="00F07170">
      <w:pPr>
        <w:ind w:left="4508" w:hanging="539"/>
        <w:rPr>
          <w:rFonts w:ascii="Sylfaen" w:hAnsi="Sylfaen" w:cs="Arial"/>
          <w:color w:val="000000"/>
        </w:rPr>
      </w:pPr>
    </w:p>
    <w:sectPr w:rsidR="00B95326" w:rsidRPr="00A544A8" w:rsidSect="00776E97">
      <w:headerReference w:type="default" r:id="rId12"/>
      <w:footerReference w:type="default" r:id="rId13"/>
      <w:footerReference w:type="first" r:id="rId1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139" w:rsidRDefault="00300139">
      <w:r>
        <w:separator/>
      </w:r>
    </w:p>
  </w:endnote>
  <w:endnote w:type="continuationSeparator" w:id="0">
    <w:p w:rsidR="00300139" w:rsidRDefault="0030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6B058B" w:rsidRDefault="00B8339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DD7C53">
      <w:rPr>
        <w:rStyle w:val="PageNumber"/>
        <w:rFonts w:ascii="Sylfaen" w:hAnsi="Sylfaen" w:cs="Arial"/>
        <w:noProof/>
        <w:sz w:val="22"/>
        <w:szCs w:val="22"/>
      </w:rPr>
      <w:t>3</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A544A8" w:rsidRDefault="00750582" w:rsidP="00090CF9">
    <w:pPr>
      <w:jc w:val="center"/>
      <w:rPr>
        <w:rFonts w:ascii="Sylfaen" w:hAnsi="Sylfaen" w:cs="Arial"/>
        <w:b/>
      </w:rPr>
    </w:pPr>
    <w:r w:rsidRPr="00750582">
      <w:rPr>
        <w:rFonts w:ascii="Sylfaen" w:hAnsi="Sylfaen"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139" w:rsidRDefault="00300139">
      <w:r>
        <w:separator/>
      </w:r>
    </w:p>
  </w:footnote>
  <w:footnote w:type="continuationSeparator" w:id="0">
    <w:p w:rsidR="00300139" w:rsidRDefault="00300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2A" w:rsidRPr="00AE1E2A" w:rsidRDefault="005F533B" w:rsidP="00AE1E2A">
    <w:pPr>
      <w:pStyle w:val="Header"/>
      <w:jc w:val="right"/>
      <w:rPr>
        <w:sz w:val="20"/>
        <w:szCs w:val="20"/>
      </w:rPr>
    </w:pPr>
    <w:r>
      <w:rPr>
        <w:sz w:val="20"/>
        <w:szCs w:val="20"/>
      </w:rPr>
      <w:t xml:space="preserve">Appeal number: </w:t>
    </w:r>
    <w:r w:rsidR="00AE1E2A" w:rsidRPr="00AE1E2A">
      <w:rPr>
        <w:sz w:val="20"/>
        <w:szCs w:val="20"/>
      </w:rPr>
      <w:t>PA/00359/2017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636"/>
    <w:multiLevelType w:val="hybridMultilevel"/>
    <w:tmpl w:val="BEF094E0"/>
    <w:lvl w:ilvl="0" w:tplc="8F28588A">
      <w:start w:val="2"/>
      <w:numFmt w:val="decimal"/>
      <w:lvlText w:val="%1."/>
      <w:lvlJc w:val="left"/>
      <w:pPr>
        <w:tabs>
          <w:tab w:val="num" w:pos="624"/>
        </w:tabs>
        <w:ind w:left="624" w:hanging="510"/>
      </w:pPr>
      <w:rPr>
        <w:rFonts w:ascii="Sylfaen" w:hAnsi="Sylfaen" w:hint="default"/>
        <w:b/>
        <w:i w:val="0"/>
        <w:sz w:val="24"/>
        <w:szCs w:val="24"/>
      </w:rPr>
    </w:lvl>
    <w:lvl w:ilvl="1" w:tplc="08090019" w:tentative="1">
      <w:start w:val="1"/>
      <w:numFmt w:val="lowerLetter"/>
      <w:lvlText w:val="%2."/>
      <w:lvlJc w:val="left"/>
      <w:pPr>
        <w:tabs>
          <w:tab w:val="num" w:pos="1497"/>
        </w:tabs>
        <w:ind w:left="1497" w:hanging="360"/>
      </w:pPr>
    </w:lvl>
    <w:lvl w:ilvl="2" w:tplc="0809001B" w:tentative="1">
      <w:start w:val="1"/>
      <w:numFmt w:val="lowerRoman"/>
      <w:lvlText w:val="%3."/>
      <w:lvlJc w:val="right"/>
      <w:pPr>
        <w:tabs>
          <w:tab w:val="num" w:pos="2217"/>
        </w:tabs>
        <w:ind w:left="2217" w:hanging="180"/>
      </w:pPr>
    </w:lvl>
    <w:lvl w:ilvl="3" w:tplc="0809000F" w:tentative="1">
      <w:start w:val="1"/>
      <w:numFmt w:val="decimal"/>
      <w:lvlText w:val="%4."/>
      <w:lvlJc w:val="left"/>
      <w:pPr>
        <w:tabs>
          <w:tab w:val="num" w:pos="2937"/>
        </w:tabs>
        <w:ind w:left="2937" w:hanging="360"/>
      </w:pPr>
    </w:lvl>
    <w:lvl w:ilvl="4" w:tplc="08090019" w:tentative="1">
      <w:start w:val="1"/>
      <w:numFmt w:val="lowerLetter"/>
      <w:lvlText w:val="%5."/>
      <w:lvlJc w:val="left"/>
      <w:pPr>
        <w:tabs>
          <w:tab w:val="num" w:pos="3657"/>
        </w:tabs>
        <w:ind w:left="3657" w:hanging="360"/>
      </w:pPr>
    </w:lvl>
    <w:lvl w:ilvl="5" w:tplc="0809001B" w:tentative="1">
      <w:start w:val="1"/>
      <w:numFmt w:val="lowerRoman"/>
      <w:lvlText w:val="%6."/>
      <w:lvlJc w:val="right"/>
      <w:pPr>
        <w:tabs>
          <w:tab w:val="num" w:pos="4377"/>
        </w:tabs>
        <w:ind w:left="4377" w:hanging="180"/>
      </w:pPr>
    </w:lvl>
    <w:lvl w:ilvl="6" w:tplc="0809000F" w:tentative="1">
      <w:start w:val="1"/>
      <w:numFmt w:val="decimal"/>
      <w:lvlText w:val="%7."/>
      <w:lvlJc w:val="left"/>
      <w:pPr>
        <w:tabs>
          <w:tab w:val="num" w:pos="5097"/>
        </w:tabs>
        <w:ind w:left="5097" w:hanging="360"/>
      </w:pPr>
    </w:lvl>
    <w:lvl w:ilvl="7" w:tplc="08090019" w:tentative="1">
      <w:start w:val="1"/>
      <w:numFmt w:val="lowerLetter"/>
      <w:lvlText w:val="%8."/>
      <w:lvlJc w:val="left"/>
      <w:pPr>
        <w:tabs>
          <w:tab w:val="num" w:pos="5817"/>
        </w:tabs>
        <w:ind w:left="5817" w:hanging="360"/>
      </w:pPr>
    </w:lvl>
    <w:lvl w:ilvl="8" w:tplc="0809001B" w:tentative="1">
      <w:start w:val="1"/>
      <w:numFmt w:val="lowerRoman"/>
      <w:lvlText w:val="%9."/>
      <w:lvlJc w:val="right"/>
      <w:pPr>
        <w:tabs>
          <w:tab w:val="num" w:pos="6537"/>
        </w:tabs>
        <w:ind w:left="6537" w:hanging="180"/>
      </w:pPr>
    </w:lvl>
  </w:abstractNum>
  <w:abstractNum w:abstractNumId="1" w15:restartNumberingAfterBreak="0">
    <w:nsid w:val="0D034BA2"/>
    <w:multiLevelType w:val="multilevel"/>
    <w:tmpl w:val="250CC5A4"/>
    <w:lvl w:ilvl="0">
      <w:start w:val="2"/>
      <w:numFmt w:val="decimal"/>
      <w:lvlText w:val="%1."/>
      <w:lvlJc w:val="left"/>
      <w:pPr>
        <w:tabs>
          <w:tab w:val="num" w:pos="757"/>
        </w:tabs>
        <w:ind w:left="757" w:hanging="397"/>
      </w:pPr>
      <w:rPr>
        <w:rFonts w:ascii="Sylfaen" w:hAnsi="Sylfae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9E47A66"/>
    <w:multiLevelType w:val="multilevel"/>
    <w:tmpl w:val="11180816"/>
    <w:lvl w:ilvl="0">
      <w:start w:val="2"/>
      <w:numFmt w:val="decimal"/>
      <w:lvlText w:val="%1."/>
      <w:lvlJc w:val="left"/>
      <w:pPr>
        <w:tabs>
          <w:tab w:val="num" w:pos="757"/>
        </w:tabs>
        <w:ind w:left="757" w:hanging="397"/>
      </w:pPr>
      <w:rPr>
        <w:rFonts w:ascii="Sylfaen" w:hAnsi="Sylfae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i w:val="0"/>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12647F0"/>
    <w:multiLevelType w:val="multilevel"/>
    <w:tmpl w:val="11180816"/>
    <w:lvl w:ilvl="0">
      <w:start w:val="2"/>
      <w:numFmt w:val="decimal"/>
      <w:lvlText w:val="%1."/>
      <w:lvlJc w:val="left"/>
      <w:pPr>
        <w:tabs>
          <w:tab w:val="num" w:pos="757"/>
        </w:tabs>
        <w:ind w:left="757" w:hanging="397"/>
      </w:pPr>
      <w:rPr>
        <w:rFonts w:ascii="Sylfaen" w:hAnsi="Sylfae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i w:val="0"/>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86B16A8"/>
    <w:multiLevelType w:val="hybridMultilevel"/>
    <w:tmpl w:val="CC7678DE"/>
    <w:lvl w:ilvl="0" w:tplc="68D09190">
      <w:start w:val="1"/>
      <w:numFmt w:val="lowerRoman"/>
      <w:lvlText w:val="(%1)"/>
      <w:lvlJc w:val="left"/>
      <w:pPr>
        <w:tabs>
          <w:tab w:val="num" w:pos="1260"/>
        </w:tabs>
        <w:ind w:left="1260" w:hanging="72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5" w15:restartNumberingAfterBreak="0">
    <w:nsid w:val="48E406B4"/>
    <w:multiLevelType w:val="hybridMultilevel"/>
    <w:tmpl w:val="9924832C"/>
    <w:lvl w:ilvl="0" w:tplc="8F28588A">
      <w:start w:val="2"/>
      <w:numFmt w:val="decimal"/>
      <w:lvlText w:val="%1."/>
      <w:lvlJc w:val="left"/>
      <w:pPr>
        <w:tabs>
          <w:tab w:val="num" w:pos="624"/>
        </w:tabs>
        <w:ind w:left="624" w:hanging="510"/>
      </w:pPr>
      <w:rPr>
        <w:rFonts w:ascii="Sylfaen" w:hAnsi="Sylfaen" w:hint="default"/>
        <w:b/>
        <w:i w:val="0"/>
        <w:sz w:val="24"/>
        <w:szCs w:val="24"/>
      </w:rPr>
    </w:lvl>
    <w:lvl w:ilvl="1" w:tplc="08090019" w:tentative="1">
      <w:start w:val="1"/>
      <w:numFmt w:val="lowerLetter"/>
      <w:lvlText w:val="%2."/>
      <w:lvlJc w:val="left"/>
      <w:pPr>
        <w:tabs>
          <w:tab w:val="num" w:pos="1497"/>
        </w:tabs>
        <w:ind w:left="1497" w:hanging="360"/>
      </w:pPr>
    </w:lvl>
    <w:lvl w:ilvl="2" w:tplc="0809001B" w:tentative="1">
      <w:start w:val="1"/>
      <w:numFmt w:val="lowerRoman"/>
      <w:lvlText w:val="%3."/>
      <w:lvlJc w:val="right"/>
      <w:pPr>
        <w:tabs>
          <w:tab w:val="num" w:pos="2217"/>
        </w:tabs>
        <w:ind w:left="2217" w:hanging="180"/>
      </w:pPr>
    </w:lvl>
    <w:lvl w:ilvl="3" w:tplc="0809000F" w:tentative="1">
      <w:start w:val="1"/>
      <w:numFmt w:val="decimal"/>
      <w:lvlText w:val="%4."/>
      <w:lvlJc w:val="left"/>
      <w:pPr>
        <w:tabs>
          <w:tab w:val="num" w:pos="2937"/>
        </w:tabs>
        <w:ind w:left="2937" w:hanging="360"/>
      </w:pPr>
    </w:lvl>
    <w:lvl w:ilvl="4" w:tplc="08090019" w:tentative="1">
      <w:start w:val="1"/>
      <w:numFmt w:val="lowerLetter"/>
      <w:lvlText w:val="%5."/>
      <w:lvlJc w:val="left"/>
      <w:pPr>
        <w:tabs>
          <w:tab w:val="num" w:pos="3657"/>
        </w:tabs>
        <w:ind w:left="3657" w:hanging="360"/>
      </w:pPr>
    </w:lvl>
    <w:lvl w:ilvl="5" w:tplc="0809001B" w:tentative="1">
      <w:start w:val="1"/>
      <w:numFmt w:val="lowerRoman"/>
      <w:lvlText w:val="%6."/>
      <w:lvlJc w:val="right"/>
      <w:pPr>
        <w:tabs>
          <w:tab w:val="num" w:pos="4377"/>
        </w:tabs>
        <w:ind w:left="4377" w:hanging="180"/>
      </w:pPr>
    </w:lvl>
    <w:lvl w:ilvl="6" w:tplc="0809000F" w:tentative="1">
      <w:start w:val="1"/>
      <w:numFmt w:val="decimal"/>
      <w:lvlText w:val="%7."/>
      <w:lvlJc w:val="left"/>
      <w:pPr>
        <w:tabs>
          <w:tab w:val="num" w:pos="5097"/>
        </w:tabs>
        <w:ind w:left="5097" w:hanging="360"/>
      </w:pPr>
    </w:lvl>
    <w:lvl w:ilvl="7" w:tplc="08090019" w:tentative="1">
      <w:start w:val="1"/>
      <w:numFmt w:val="lowerLetter"/>
      <w:lvlText w:val="%8."/>
      <w:lvlJc w:val="left"/>
      <w:pPr>
        <w:tabs>
          <w:tab w:val="num" w:pos="5817"/>
        </w:tabs>
        <w:ind w:left="5817" w:hanging="360"/>
      </w:pPr>
    </w:lvl>
    <w:lvl w:ilvl="8" w:tplc="0809001B" w:tentative="1">
      <w:start w:val="1"/>
      <w:numFmt w:val="lowerRoman"/>
      <w:lvlText w:val="%9."/>
      <w:lvlJc w:val="right"/>
      <w:pPr>
        <w:tabs>
          <w:tab w:val="num" w:pos="6537"/>
        </w:tabs>
        <w:ind w:left="6537" w:hanging="180"/>
      </w:pPr>
    </w:lvl>
  </w:abstractNum>
  <w:abstractNum w:abstractNumId="6" w15:restartNumberingAfterBreak="0">
    <w:nsid w:val="51600DEC"/>
    <w:multiLevelType w:val="hybridMultilevel"/>
    <w:tmpl w:val="9662CF4E"/>
    <w:lvl w:ilvl="0" w:tplc="8F28588A">
      <w:start w:val="2"/>
      <w:numFmt w:val="decimal"/>
      <w:lvlText w:val="%1."/>
      <w:lvlJc w:val="left"/>
      <w:pPr>
        <w:tabs>
          <w:tab w:val="num" w:pos="567"/>
        </w:tabs>
        <w:ind w:left="567" w:hanging="510"/>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67C2D46"/>
    <w:multiLevelType w:val="hybridMultilevel"/>
    <w:tmpl w:val="FF74C664"/>
    <w:lvl w:ilvl="0" w:tplc="0542F5A8">
      <w:start w:val="2"/>
      <w:numFmt w:val="decimal"/>
      <w:pStyle w:val="List1"/>
      <w:lvlText w:val="%1."/>
      <w:lvlJc w:val="left"/>
      <w:pPr>
        <w:tabs>
          <w:tab w:val="num" w:pos="757"/>
        </w:tabs>
        <w:ind w:left="757" w:hanging="397"/>
      </w:pPr>
      <w:rPr>
        <w:rFonts w:ascii="Sylfaen" w:hAnsi="Sylfaen" w:hint="default"/>
        <w:b/>
        <w:i w:val="0"/>
        <w:sz w:val="24"/>
        <w:szCs w:val="24"/>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rPr>
        <w:rFonts w:hint="default"/>
        <w:b/>
        <w:i w:val="0"/>
        <w:sz w:val="24"/>
        <w:szCs w:val="24"/>
      </w:rPr>
    </w:lvl>
    <w:lvl w:ilvl="4" w:tplc="08090019">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F127EC4"/>
    <w:multiLevelType w:val="hybridMultilevel"/>
    <w:tmpl w:val="D5F4AE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1961222"/>
    <w:multiLevelType w:val="hybridMultilevel"/>
    <w:tmpl w:val="8CC29B30"/>
    <w:lvl w:ilvl="0" w:tplc="0D8ACC9C">
      <w:start w:val="1"/>
      <w:numFmt w:val="decimal"/>
      <w:lvlText w:val="%1)"/>
      <w:lvlJc w:val="left"/>
      <w:pPr>
        <w:tabs>
          <w:tab w:val="num" w:pos="1275"/>
        </w:tabs>
        <w:ind w:left="1275" w:hanging="375"/>
      </w:pPr>
      <w:rPr>
        <w:rFonts w:hint="default"/>
      </w:rPr>
    </w:lvl>
    <w:lvl w:ilvl="1" w:tplc="08090019">
      <w:start w:val="1"/>
      <w:numFmt w:val="lowerLetter"/>
      <w:lvlText w:val="%2."/>
      <w:lvlJc w:val="left"/>
      <w:pPr>
        <w:tabs>
          <w:tab w:val="num" w:pos="1440"/>
        </w:tabs>
        <w:ind w:left="1440" w:hanging="360"/>
      </w:pPr>
    </w:lvl>
    <w:lvl w:ilvl="2" w:tplc="073AA11A">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78C27C7D"/>
    <w:multiLevelType w:val="hybridMultilevel"/>
    <w:tmpl w:val="250CC5A4"/>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BCD343B"/>
    <w:multiLevelType w:val="hybridMultilevel"/>
    <w:tmpl w:val="06986932"/>
    <w:lvl w:ilvl="0" w:tplc="32622066">
      <w:start w:val="1"/>
      <w:numFmt w:val="decimal"/>
      <w:lvlText w:val="%1."/>
      <w:lvlJc w:val="left"/>
      <w:pPr>
        <w:tabs>
          <w:tab w:val="num" w:pos="567"/>
        </w:tabs>
        <w:ind w:left="567" w:hanging="56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3"/>
  </w:num>
  <w:num w:numId="4">
    <w:abstractNumId w:val="11"/>
  </w:num>
  <w:num w:numId="5">
    <w:abstractNumId w:val="1"/>
  </w:num>
  <w:num w:numId="6">
    <w:abstractNumId w:val="6"/>
  </w:num>
  <w:num w:numId="7">
    <w:abstractNumId w:val="5"/>
  </w:num>
  <w:num w:numId="8">
    <w:abstractNumId w:val="0"/>
  </w:num>
  <w:num w:numId="9">
    <w:abstractNumId w:val="2"/>
  </w:num>
  <w:num w:numId="10">
    <w:abstractNumId w:val="12"/>
  </w:num>
  <w:num w:numId="11">
    <w:abstractNumId w:val="9"/>
  </w:num>
  <w:num w:numId="12">
    <w:abstractNumId w:val="10"/>
  </w:num>
  <w:num w:numId="13">
    <w:abstractNumId w:val="7"/>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00"/>
    <w:rsid w:val="00000621"/>
    <w:rsid w:val="0000081F"/>
    <w:rsid w:val="000036C2"/>
    <w:rsid w:val="00033D3D"/>
    <w:rsid w:val="00057601"/>
    <w:rsid w:val="00062F02"/>
    <w:rsid w:val="00066E4A"/>
    <w:rsid w:val="00071A7E"/>
    <w:rsid w:val="000746C0"/>
    <w:rsid w:val="00074D1D"/>
    <w:rsid w:val="000857AF"/>
    <w:rsid w:val="00090CF9"/>
    <w:rsid w:val="00092580"/>
    <w:rsid w:val="00093D4D"/>
    <w:rsid w:val="000A092B"/>
    <w:rsid w:val="000A1210"/>
    <w:rsid w:val="000B2183"/>
    <w:rsid w:val="000D5D94"/>
    <w:rsid w:val="000F1A0E"/>
    <w:rsid w:val="00115EB1"/>
    <w:rsid w:val="001165A7"/>
    <w:rsid w:val="001435AF"/>
    <w:rsid w:val="00167D3A"/>
    <w:rsid w:val="001A3082"/>
    <w:rsid w:val="001A5D86"/>
    <w:rsid w:val="001B186A"/>
    <w:rsid w:val="001B2F75"/>
    <w:rsid w:val="001D1C33"/>
    <w:rsid w:val="001F114E"/>
    <w:rsid w:val="001F2716"/>
    <w:rsid w:val="00207617"/>
    <w:rsid w:val="0023134B"/>
    <w:rsid w:val="0026015E"/>
    <w:rsid w:val="002667BE"/>
    <w:rsid w:val="00270E13"/>
    <w:rsid w:val="00283659"/>
    <w:rsid w:val="002B29D2"/>
    <w:rsid w:val="002B5149"/>
    <w:rsid w:val="002C6BD4"/>
    <w:rsid w:val="002C74B3"/>
    <w:rsid w:val="002D2F07"/>
    <w:rsid w:val="002D68BF"/>
    <w:rsid w:val="002E4ECF"/>
    <w:rsid w:val="002F6B98"/>
    <w:rsid w:val="00300139"/>
    <w:rsid w:val="00336CBF"/>
    <w:rsid w:val="00343FE3"/>
    <w:rsid w:val="003546C8"/>
    <w:rsid w:val="003860CF"/>
    <w:rsid w:val="003A7CF2"/>
    <w:rsid w:val="003C5CE5"/>
    <w:rsid w:val="003E267B"/>
    <w:rsid w:val="003E5773"/>
    <w:rsid w:val="003E7CD1"/>
    <w:rsid w:val="00402B9E"/>
    <w:rsid w:val="00420643"/>
    <w:rsid w:val="004249CB"/>
    <w:rsid w:val="0044127D"/>
    <w:rsid w:val="004448DB"/>
    <w:rsid w:val="00446C9A"/>
    <w:rsid w:val="00452F2B"/>
    <w:rsid w:val="004617F0"/>
    <w:rsid w:val="00473EEA"/>
    <w:rsid w:val="00477193"/>
    <w:rsid w:val="00480D87"/>
    <w:rsid w:val="004A1848"/>
    <w:rsid w:val="004A6F4A"/>
    <w:rsid w:val="004C6FDE"/>
    <w:rsid w:val="004D1B10"/>
    <w:rsid w:val="004E4717"/>
    <w:rsid w:val="005035E7"/>
    <w:rsid w:val="00507FEC"/>
    <w:rsid w:val="00510F0E"/>
    <w:rsid w:val="00531929"/>
    <w:rsid w:val="005479E1"/>
    <w:rsid w:val="00553E0A"/>
    <w:rsid w:val="005570FD"/>
    <w:rsid w:val="005575EA"/>
    <w:rsid w:val="0057790C"/>
    <w:rsid w:val="00593795"/>
    <w:rsid w:val="00593821"/>
    <w:rsid w:val="005A549B"/>
    <w:rsid w:val="005A75FF"/>
    <w:rsid w:val="005D10AB"/>
    <w:rsid w:val="005F1F19"/>
    <w:rsid w:val="005F533B"/>
    <w:rsid w:val="00601D8F"/>
    <w:rsid w:val="00611011"/>
    <w:rsid w:val="006147D6"/>
    <w:rsid w:val="006161C9"/>
    <w:rsid w:val="0064445D"/>
    <w:rsid w:val="00650088"/>
    <w:rsid w:val="00653E97"/>
    <w:rsid w:val="00676204"/>
    <w:rsid w:val="00684A74"/>
    <w:rsid w:val="00690B8A"/>
    <w:rsid w:val="006A08AE"/>
    <w:rsid w:val="006B058B"/>
    <w:rsid w:val="006B1A99"/>
    <w:rsid w:val="006D1BD2"/>
    <w:rsid w:val="006F2CF1"/>
    <w:rsid w:val="007038ED"/>
    <w:rsid w:val="00703BC3"/>
    <w:rsid w:val="00704B61"/>
    <w:rsid w:val="007334B3"/>
    <w:rsid w:val="007420F1"/>
    <w:rsid w:val="00750582"/>
    <w:rsid w:val="00750745"/>
    <w:rsid w:val="00750CBC"/>
    <w:rsid w:val="007552A9"/>
    <w:rsid w:val="00761858"/>
    <w:rsid w:val="00767D59"/>
    <w:rsid w:val="00776E97"/>
    <w:rsid w:val="00780F86"/>
    <w:rsid w:val="007912AD"/>
    <w:rsid w:val="007A37E8"/>
    <w:rsid w:val="007B0824"/>
    <w:rsid w:val="007B5D3C"/>
    <w:rsid w:val="007D255C"/>
    <w:rsid w:val="00821B72"/>
    <w:rsid w:val="00823EF2"/>
    <w:rsid w:val="008303B8"/>
    <w:rsid w:val="00833DCE"/>
    <w:rsid w:val="00870F00"/>
    <w:rsid w:val="00871D34"/>
    <w:rsid w:val="008A0322"/>
    <w:rsid w:val="008B270C"/>
    <w:rsid w:val="008B382D"/>
    <w:rsid w:val="008B5078"/>
    <w:rsid w:val="008C1BBB"/>
    <w:rsid w:val="008C3D3D"/>
    <w:rsid w:val="008D4131"/>
    <w:rsid w:val="008F0697"/>
    <w:rsid w:val="008F1932"/>
    <w:rsid w:val="008F23F4"/>
    <w:rsid w:val="008F720D"/>
    <w:rsid w:val="00905452"/>
    <w:rsid w:val="009061B6"/>
    <w:rsid w:val="00911046"/>
    <w:rsid w:val="00921062"/>
    <w:rsid w:val="00925AB2"/>
    <w:rsid w:val="00933F32"/>
    <w:rsid w:val="00950491"/>
    <w:rsid w:val="009722BC"/>
    <w:rsid w:val="009727A3"/>
    <w:rsid w:val="00977EB3"/>
    <w:rsid w:val="00987774"/>
    <w:rsid w:val="00996FBB"/>
    <w:rsid w:val="009A11E8"/>
    <w:rsid w:val="009E30EE"/>
    <w:rsid w:val="009F5220"/>
    <w:rsid w:val="00A15234"/>
    <w:rsid w:val="00A201AB"/>
    <w:rsid w:val="00A230C4"/>
    <w:rsid w:val="00A240AA"/>
    <w:rsid w:val="00A253BF"/>
    <w:rsid w:val="00A31C8B"/>
    <w:rsid w:val="00A509FA"/>
    <w:rsid w:val="00A544A8"/>
    <w:rsid w:val="00A845DC"/>
    <w:rsid w:val="00A8721C"/>
    <w:rsid w:val="00AE1E2A"/>
    <w:rsid w:val="00AE226C"/>
    <w:rsid w:val="00B26AA2"/>
    <w:rsid w:val="00B3524D"/>
    <w:rsid w:val="00B40F69"/>
    <w:rsid w:val="00B46616"/>
    <w:rsid w:val="00B560DF"/>
    <w:rsid w:val="00B7040A"/>
    <w:rsid w:val="00B83391"/>
    <w:rsid w:val="00B95326"/>
    <w:rsid w:val="00BB3FC4"/>
    <w:rsid w:val="00BB7997"/>
    <w:rsid w:val="00BC481C"/>
    <w:rsid w:val="00BD2083"/>
    <w:rsid w:val="00BD3A9C"/>
    <w:rsid w:val="00BD4196"/>
    <w:rsid w:val="00BF22CA"/>
    <w:rsid w:val="00BF23BB"/>
    <w:rsid w:val="00C12F97"/>
    <w:rsid w:val="00C26032"/>
    <w:rsid w:val="00C345E1"/>
    <w:rsid w:val="00C43BFD"/>
    <w:rsid w:val="00C743B2"/>
    <w:rsid w:val="00C9293E"/>
    <w:rsid w:val="00CA3E71"/>
    <w:rsid w:val="00CB6E35"/>
    <w:rsid w:val="00CC0CC9"/>
    <w:rsid w:val="00CE1A46"/>
    <w:rsid w:val="00D20757"/>
    <w:rsid w:val="00D22636"/>
    <w:rsid w:val="00D3485B"/>
    <w:rsid w:val="00D40FD9"/>
    <w:rsid w:val="00D53769"/>
    <w:rsid w:val="00D54E1A"/>
    <w:rsid w:val="00D85C13"/>
    <w:rsid w:val="00D9111A"/>
    <w:rsid w:val="00D91BE3"/>
    <w:rsid w:val="00D94AFC"/>
    <w:rsid w:val="00DB1EA9"/>
    <w:rsid w:val="00DB70AE"/>
    <w:rsid w:val="00DD5071"/>
    <w:rsid w:val="00DD5C39"/>
    <w:rsid w:val="00DD6918"/>
    <w:rsid w:val="00DD7C53"/>
    <w:rsid w:val="00DE20CE"/>
    <w:rsid w:val="00DE65C8"/>
    <w:rsid w:val="00DE7DB7"/>
    <w:rsid w:val="00DF392C"/>
    <w:rsid w:val="00DF79D8"/>
    <w:rsid w:val="00E00A0A"/>
    <w:rsid w:val="00E066DE"/>
    <w:rsid w:val="00E07F57"/>
    <w:rsid w:val="00E30683"/>
    <w:rsid w:val="00E453D8"/>
    <w:rsid w:val="00E50BCE"/>
    <w:rsid w:val="00E574BF"/>
    <w:rsid w:val="00E61292"/>
    <w:rsid w:val="00E77C4D"/>
    <w:rsid w:val="00E80AD9"/>
    <w:rsid w:val="00E81D01"/>
    <w:rsid w:val="00E862ED"/>
    <w:rsid w:val="00EA3F7D"/>
    <w:rsid w:val="00EB152F"/>
    <w:rsid w:val="00EE43F3"/>
    <w:rsid w:val="00EE45D8"/>
    <w:rsid w:val="00F07170"/>
    <w:rsid w:val="00F118C6"/>
    <w:rsid w:val="00F22EDA"/>
    <w:rsid w:val="00F46073"/>
    <w:rsid w:val="00F658B8"/>
    <w:rsid w:val="00F865CB"/>
    <w:rsid w:val="00F976FF"/>
    <w:rsid w:val="00F97703"/>
    <w:rsid w:val="00FA48DC"/>
    <w:rsid w:val="00FE4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13C38A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ie">
    <w:name w:val="footie"/>
    <w:basedOn w:val="pedal2"/>
    <w:autoRedefine/>
    <w:rsid w:val="002D2F07"/>
  </w:style>
  <w:style w:type="paragraph" w:customStyle="1" w:styleId="List1">
    <w:name w:val="List1"/>
    <w:basedOn w:val="Normal"/>
    <w:rsid w:val="00EB152F"/>
    <w:pPr>
      <w:numPr>
        <w:numId w:val="14"/>
      </w:numPr>
      <w:spacing w:after="120"/>
      <w:jc w:val="both"/>
    </w:pPr>
    <w:rPr>
      <w:rFonts w:ascii="Sylfaen" w:hAnsi="Sylfae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t.gov.uk/Public/Upload/j1575/2002_ukiat_00702_devaseelan_srilanka_starred.DO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ailii.org/cgi-bin/markup.cgi?doc=/uk/legis/num_act/2002/ukpga_20020041_en_1.html&amp;query=title+(+Immigration+)&amp;method=boolean" TargetMode="External"/><Relationship Id="rId4" Type="http://schemas.openxmlformats.org/officeDocument/2006/relationships/webSettings" Target="webSettings.xml"/><Relationship Id="rId9" Type="http://schemas.openxmlformats.org/officeDocument/2006/relationships/hyperlink" Target="http://www.bailii.org/cgi-bin/format.cgi?doc=/uk/cases/UKUT/IAC/2016/227.html&amp;query=%28title:%28+at+%29%2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Links>
    <vt:vector size="18" baseType="variant">
      <vt:variant>
        <vt:i4>4128886</vt:i4>
      </vt:variant>
      <vt:variant>
        <vt:i4>17</vt:i4>
      </vt:variant>
      <vt:variant>
        <vt:i4>0</vt:i4>
      </vt:variant>
      <vt:variant>
        <vt:i4>5</vt:i4>
      </vt:variant>
      <vt:variant>
        <vt:lpwstr>http://www.bailii.org/cgi-bin/markup.cgi?doc=/uk/legis/num_act/2002/ukpga_20020041_en_1.html&amp;query=title+(+Immigration+)&amp;method=boolean</vt:lpwstr>
      </vt:variant>
      <vt:variant>
        <vt:lpwstr/>
      </vt:variant>
      <vt:variant>
        <vt:i4>4128811</vt:i4>
      </vt:variant>
      <vt:variant>
        <vt:i4>14</vt:i4>
      </vt:variant>
      <vt:variant>
        <vt:i4>0</vt:i4>
      </vt:variant>
      <vt:variant>
        <vt:i4>5</vt:i4>
      </vt:variant>
      <vt:variant>
        <vt:lpwstr>http://www.bailii.org/cgi-bin/format.cgi?doc=/uk/cases/UKUT/IAC/2016/227.html&amp;query=%28title:%28+at+%29%29</vt:lpwstr>
      </vt:variant>
      <vt:variant>
        <vt:lpwstr/>
      </vt:variant>
      <vt:variant>
        <vt:i4>393249</vt:i4>
      </vt:variant>
      <vt:variant>
        <vt:i4>11</vt:i4>
      </vt:variant>
      <vt:variant>
        <vt:i4>0</vt:i4>
      </vt:variant>
      <vt:variant>
        <vt:i4>5</vt:i4>
      </vt:variant>
      <vt:variant>
        <vt:lpwstr>http://www.ait.gov.uk/Public/Upload/j1575/2002_ukiat_00702_devaseelan_srilanka_starred.DOC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2018-07-19T14:02:00Z</dcterms:created>
  <dcterms:modified xsi:type="dcterms:W3CDTF">2018-07-19T14:05:00Z</dcterms:modified>
</cp:coreProperties>
</file>