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CD6CF" w14:textId="77777777" w:rsidR="00C321B5" w:rsidRPr="00F5664C" w:rsidRDefault="00610027" w:rsidP="00C321B5">
      <w:pPr>
        <w:jc w:val="center"/>
        <w:rPr>
          <w:rFonts w:ascii="Book Antiqua" w:hAnsi="Book Antiqua" w:cs="Arial"/>
          <w:sz w:val="16"/>
          <w:szCs w:val="16"/>
        </w:rPr>
      </w:pPr>
      <w:r>
        <w:rPr>
          <w:noProof/>
        </w:rPr>
        <w:drawing>
          <wp:inline distT="0" distB="0" distL="0" distR="0" wp14:anchorId="35F8D53D" wp14:editId="261966B8">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60E989EE" w14:textId="4CA34E33" w:rsidR="00D94AFC" w:rsidRPr="00F5664C" w:rsidRDefault="00D94AFC">
      <w:pPr>
        <w:rPr>
          <w:rFonts w:ascii="Book Antiqua" w:hAnsi="Book Antiqua" w:cs="Arial"/>
          <w:sz w:val="16"/>
          <w:szCs w:val="16"/>
        </w:rPr>
      </w:pPr>
    </w:p>
    <w:p w14:paraId="6A83C19B"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5BA7393D"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1103E5">
        <w:rPr>
          <w:rFonts w:ascii="Book Antiqua" w:hAnsi="Book Antiqua" w:cs="Arial"/>
          <w:caps/>
        </w:rPr>
        <w:t>PA/00666/2018</w:t>
      </w:r>
      <w:bookmarkEnd w:id="0"/>
    </w:p>
    <w:p w14:paraId="394BC283" w14:textId="77777777" w:rsidR="00C345E1" w:rsidRPr="00F5664C" w:rsidRDefault="00C345E1" w:rsidP="00C345E1">
      <w:pPr>
        <w:jc w:val="center"/>
        <w:rPr>
          <w:rFonts w:ascii="Book Antiqua" w:hAnsi="Book Antiqua" w:cs="Arial"/>
        </w:rPr>
      </w:pPr>
    </w:p>
    <w:p w14:paraId="2A71DDE7" w14:textId="77777777" w:rsidR="00C345E1" w:rsidRPr="00F5664C" w:rsidRDefault="00C345E1" w:rsidP="00C345E1">
      <w:pPr>
        <w:jc w:val="center"/>
        <w:rPr>
          <w:rFonts w:ascii="Book Antiqua" w:hAnsi="Book Antiqua" w:cs="Arial"/>
        </w:rPr>
      </w:pPr>
    </w:p>
    <w:p w14:paraId="6D5AB73D"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4C349493" w14:textId="77777777" w:rsidR="00C345E1" w:rsidRPr="00F5664C" w:rsidRDefault="00C345E1" w:rsidP="00C345E1">
      <w:pPr>
        <w:jc w:val="center"/>
        <w:rPr>
          <w:rFonts w:ascii="Book Antiqua" w:hAnsi="Book Antiqua" w:cs="Arial"/>
          <w:b/>
          <w:u w:val="single"/>
        </w:rPr>
      </w:pPr>
    </w:p>
    <w:p w14:paraId="18349728" w14:textId="77777777" w:rsidR="00C345E1" w:rsidRPr="00F5664C" w:rsidRDefault="00C345E1" w:rsidP="00A03FE7">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1E5BFFB2" w14:textId="77777777" w:rsidTr="00F13D39">
        <w:tc>
          <w:tcPr>
            <w:tcW w:w="6048" w:type="dxa"/>
          </w:tcPr>
          <w:p w14:paraId="3497A582"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1103E5">
              <w:rPr>
                <w:rFonts w:ascii="Book Antiqua" w:hAnsi="Book Antiqua" w:cs="Arial"/>
                <w:b/>
              </w:rPr>
              <w:t>Manchester</w:t>
            </w:r>
          </w:p>
        </w:tc>
        <w:tc>
          <w:tcPr>
            <w:tcW w:w="3960" w:type="dxa"/>
          </w:tcPr>
          <w:p w14:paraId="38B54D1C" w14:textId="77777777"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2D326E44" w14:textId="77777777" w:rsidTr="00F13D39">
        <w:tc>
          <w:tcPr>
            <w:tcW w:w="6048" w:type="dxa"/>
          </w:tcPr>
          <w:p w14:paraId="4A6CFEF2"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1103E5">
              <w:rPr>
                <w:rFonts w:ascii="Book Antiqua" w:hAnsi="Book Antiqua" w:cs="Arial"/>
                <w:b/>
              </w:rPr>
              <w:t>9</w:t>
            </w:r>
            <w:r w:rsidR="001103E5" w:rsidRPr="001103E5">
              <w:rPr>
                <w:rFonts w:ascii="Book Antiqua" w:hAnsi="Book Antiqua" w:cs="Arial"/>
                <w:b/>
                <w:vertAlign w:val="superscript"/>
              </w:rPr>
              <w:t>th</w:t>
            </w:r>
            <w:r w:rsidR="001103E5">
              <w:rPr>
                <w:rFonts w:ascii="Book Antiqua" w:hAnsi="Book Antiqua" w:cs="Arial"/>
                <w:b/>
              </w:rPr>
              <w:t xml:space="preserve"> July 2018</w:t>
            </w:r>
          </w:p>
        </w:tc>
        <w:tc>
          <w:tcPr>
            <w:tcW w:w="3960" w:type="dxa"/>
          </w:tcPr>
          <w:p w14:paraId="527D54FE" w14:textId="21E6B25C" w:rsidR="00D22636" w:rsidRPr="00F5664C" w:rsidRDefault="005E1C41" w:rsidP="004A1848">
            <w:pPr>
              <w:jc w:val="both"/>
              <w:rPr>
                <w:rFonts w:ascii="Book Antiqua" w:hAnsi="Book Antiqua" w:cs="Arial"/>
                <w:b/>
              </w:rPr>
            </w:pPr>
            <w:r>
              <w:rPr>
                <w:rFonts w:ascii="Book Antiqua" w:hAnsi="Book Antiqua" w:cs="Arial"/>
                <w:b/>
              </w:rPr>
              <w:t>On 18</w:t>
            </w:r>
            <w:r w:rsidRPr="005E1C41">
              <w:rPr>
                <w:rFonts w:ascii="Book Antiqua" w:hAnsi="Book Antiqua" w:cs="Arial"/>
                <w:b/>
                <w:vertAlign w:val="superscript"/>
              </w:rPr>
              <w:t>th</w:t>
            </w:r>
            <w:r>
              <w:rPr>
                <w:rFonts w:ascii="Book Antiqua" w:hAnsi="Book Antiqua" w:cs="Arial"/>
                <w:b/>
              </w:rPr>
              <w:t xml:space="preserve"> July 2018</w:t>
            </w:r>
          </w:p>
        </w:tc>
      </w:tr>
      <w:tr w:rsidR="00D22636" w:rsidRPr="00F5664C" w14:paraId="42AFAA93" w14:textId="77777777" w:rsidTr="00F13D39">
        <w:tc>
          <w:tcPr>
            <w:tcW w:w="6048" w:type="dxa"/>
          </w:tcPr>
          <w:p w14:paraId="02BCDFF4" w14:textId="77777777" w:rsidR="00D22636" w:rsidRPr="00F5664C" w:rsidRDefault="00D22636" w:rsidP="004A1848">
            <w:pPr>
              <w:jc w:val="both"/>
              <w:rPr>
                <w:rFonts w:ascii="Book Antiqua" w:hAnsi="Book Antiqua" w:cs="Arial"/>
                <w:b/>
              </w:rPr>
            </w:pPr>
          </w:p>
        </w:tc>
        <w:tc>
          <w:tcPr>
            <w:tcW w:w="3960" w:type="dxa"/>
          </w:tcPr>
          <w:p w14:paraId="22E83E6D" w14:textId="33554348" w:rsidR="00D22636" w:rsidRPr="00F5664C" w:rsidRDefault="00D22636" w:rsidP="004A1848">
            <w:pPr>
              <w:jc w:val="both"/>
              <w:rPr>
                <w:rFonts w:ascii="Book Antiqua" w:hAnsi="Book Antiqua" w:cs="Arial"/>
                <w:b/>
              </w:rPr>
            </w:pPr>
          </w:p>
        </w:tc>
      </w:tr>
    </w:tbl>
    <w:p w14:paraId="6ADEA738" w14:textId="3C28F1E3" w:rsidR="00176384" w:rsidRPr="00F5664C" w:rsidRDefault="00176384" w:rsidP="001103E5">
      <w:pPr>
        <w:rPr>
          <w:rFonts w:ascii="Book Antiqua" w:hAnsi="Book Antiqua" w:cs="Arial"/>
        </w:rPr>
      </w:pPr>
    </w:p>
    <w:p w14:paraId="06DE2FF7"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14E2D5D3" w14:textId="77777777" w:rsidR="00A15234" w:rsidRPr="00F5664C" w:rsidRDefault="00A15234" w:rsidP="00A15234">
      <w:pPr>
        <w:jc w:val="center"/>
        <w:rPr>
          <w:rFonts w:ascii="Book Antiqua" w:hAnsi="Book Antiqua" w:cs="Arial"/>
          <w:b/>
        </w:rPr>
      </w:pPr>
    </w:p>
    <w:p w14:paraId="5D31B0E1"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565B8E8A" w14:textId="77777777" w:rsidR="00B16F58" w:rsidRPr="00F5664C" w:rsidRDefault="00B16F58" w:rsidP="00A15234">
      <w:pPr>
        <w:jc w:val="center"/>
        <w:rPr>
          <w:rFonts w:ascii="Book Antiqua" w:hAnsi="Book Antiqua" w:cs="Arial"/>
          <w:b/>
        </w:rPr>
      </w:pPr>
    </w:p>
    <w:p w14:paraId="45D693D3" w14:textId="77777777" w:rsidR="00A153DB" w:rsidRDefault="00A153DB" w:rsidP="00A15234">
      <w:pPr>
        <w:jc w:val="center"/>
        <w:rPr>
          <w:rFonts w:ascii="Book Antiqua" w:hAnsi="Book Antiqua" w:cs="Arial"/>
          <w:b/>
        </w:rPr>
      </w:pPr>
    </w:p>
    <w:p w14:paraId="11782611" w14:textId="29CA02B5"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49591D29" w14:textId="77777777" w:rsidR="00A845DC" w:rsidRPr="00F5664C" w:rsidRDefault="00A845DC" w:rsidP="00A15234">
      <w:pPr>
        <w:jc w:val="center"/>
        <w:rPr>
          <w:rFonts w:ascii="Book Antiqua" w:hAnsi="Book Antiqua" w:cs="Arial"/>
          <w:b/>
        </w:rPr>
      </w:pPr>
    </w:p>
    <w:p w14:paraId="7AC09691" w14:textId="20384148" w:rsidR="00742A8D" w:rsidRDefault="001103E5" w:rsidP="00742A8D">
      <w:pPr>
        <w:jc w:val="center"/>
        <w:rPr>
          <w:rFonts w:ascii="Book Antiqua" w:hAnsi="Book Antiqua" w:cs="Arial"/>
          <w:b/>
          <w:caps/>
        </w:rPr>
      </w:pPr>
      <w:r w:rsidRPr="001103E5">
        <w:rPr>
          <w:rFonts w:ascii="Book Antiqua" w:hAnsi="Book Antiqua" w:cs="Arial"/>
          <w:b/>
          <w:caps/>
        </w:rPr>
        <w:t xml:space="preserve">Saqib </w:t>
      </w:r>
      <w:r w:rsidR="00B15233">
        <w:rPr>
          <w:rFonts w:ascii="Book Antiqua" w:hAnsi="Book Antiqua" w:cs="Arial"/>
          <w:b/>
          <w:caps/>
        </w:rPr>
        <w:t>[</w:t>
      </w:r>
      <w:r w:rsidRPr="001103E5">
        <w:rPr>
          <w:rFonts w:ascii="Book Antiqua" w:hAnsi="Book Antiqua" w:cs="Arial"/>
          <w:b/>
          <w:caps/>
        </w:rPr>
        <w:t>R</w:t>
      </w:r>
      <w:r w:rsidR="00B15233">
        <w:rPr>
          <w:rFonts w:ascii="Book Antiqua" w:hAnsi="Book Antiqua" w:cs="Arial"/>
          <w:b/>
          <w:caps/>
        </w:rPr>
        <w:t>]</w:t>
      </w:r>
    </w:p>
    <w:p w14:paraId="495D2F5D" w14:textId="77777777" w:rsidR="00F13D39" w:rsidRDefault="00F13D39" w:rsidP="00F13D39">
      <w:pPr>
        <w:jc w:val="center"/>
        <w:rPr>
          <w:rFonts w:ascii="Book Antiqua" w:hAnsi="Book Antiqua" w:cs="Arial"/>
          <w:b/>
          <w:caps/>
        </w:rPr>
      </w:pPr>
      <w:r w:rsidRPr="00F13D39">
        <w:rPr>
          <w:rFonts w:ascii="Book Antiqua" w:hAnsi="Book Antiqua" w:cs="Arial"/>
          <w:b/>
          <w:caps/>
        </w:rPr>
        <w:t xml:space="preserve">(ANONYMITY DIRECTION </w:t>
      </w:r>
      <w:r w:rsidR="001103E5">
        <w:rPr>
          <w:rFonts w:ascii="Book Antiqua" w:hAnsi="Book Antiqua" w:cs="Arial"/>
          <w:b/>
          <w:caps/>
        </w:rPr>
        <w:t>not made</w:t>
      </w:r>
      <w:r w:rsidRPr="00F13D39">
        <w:rPr>
          <w:rFonts w:ascii="Book Antiqua" w:hAnsi="Book Antiqua" w:cs="Arial"/>
          <w:b/>
          <w:caps/>
        </w:rPr>
        <w:t>)</w:t>
      </w:r>
    </w:p>
    <w:p w14:paraId="16EED1D6"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6406563E"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62276D86" w14:textId="77777777" w:rsidR="00DD5071" w:rsidRPr="00F5664C" w:rsidRDefault="00DD5071" w:rsidP="00704B61">
      <w:pPr>
        <w:jc w:val="center"/>
        <w:rPr>
          <w:rFonts w:ascii="Book Antiqua" w:hAnsi="Book Antiqua" w:cs="Arial"/>
          <w:b/>
        </w:rPr>
      </w:pPr>
    </w:p>
    <w:p w14:paraId="1DA1A831"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5FDC7DA1"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28CC619B" w14:textId="40260414" w:rsidR="00DD5071" w:rsidRDefault="00DD5071" w:rsidP="00DD5071">
      <w:pPr>
        <w:rPr>
          <w:rFonts w:ascii="Book Antiqua" w:hAnsi="Book Antiqua" w:cs="Arial"/>
          <w:u w:val="single"/>
        </w:rPr>
      </w:pPr>
    </w:p>
    <w:p w14:paraId="0D773AAD" w14:textId="77777777" w:rsidR="00A153DB" w:rsidRPr="00F5664C" w:rsidRDefault="00A153DB" w:rsidP="00DD5071">
      <w:pPr>
        <w:rPr>
          <w:rFonts w:ascii="Book Antiqua" w:hAnsi="Book Antiqua" w:cs="Arial"/>
          <w:u w:val="single"/>
        </w:rPr>
      </w:pPr>
    </w:p>
    <w:p w14:paraId="43C94229"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52259794" w14:textId="77777777" w:rsidR="001103E5" w:rsidRDefault="00DE7DB7" w:rsidP="001103E5">
      <w:pPr>
        <w:tabs>
          <w:tab w:val="left" w:pos="2520"/>
        </w:tabs>
        <w:ind w:left="2552" w:hanging="2552"/>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1103E5">
        <w:rPr>
          <w:rFonts w:ascii="Book Antiqua" w:hAnsi="Book Antiqua" w:cs="Arial"/>
        </w:rPr>
        <w:t xml:space="preserve">Miss F Ramzan of Counsel instructed by Nationwide Law </w:t>
      </w:r>
    </w:p>
    <w:p w14:paraId="0734D8CB" w14:textId="77777777" w:rsidR="00DE7DB7" w:rsidRPr="00F5664C" w:rsidRDefault="001103E5" w:rsidP="001103E5">
      <w:pPr>
        <w:tabs>
          <w:tab w:val="left" w:pos="2520"/>
        </w:tabs>
        <w:ind w:left="2552" w:hanging="2552"/>
        <w:rPr>
          <w:rFonts w:ascii="Book Antiqua" w:hAnsi="Book Antiqua" w:cs="Arial"/>
        </w:rPr>
      </w:pPr>
      <w:r>
        <w:rPr>
          <w:rFonts w:ascii="Book Antiqua" w:hAnsi="Book Antiqua" w:cs="Arial"/>
        </w:rPr>
        <w:tab/>
        <w:t>Associates</w:t>
      </w:r>
    </w:p>
    <w:p w14:paraId="116D96ED"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1103E5">
        <w:rPr>
          <w:rFonts w:ascii="Book Antiqua" w:hAnsi="Book Antiqua" w:cs="Arial"/>
        </w:rPr>
        <w:t>Mr C Bates, Senior Home Office Presenting Officer</w:t>
      </w:r>
    </w:p>
    <w:p w14:paraId="3443B7E6" w14:textId="77777777" w:rsidR="00DE7DB7" w:rsidRPr="00F5664C" w:rsidRDefault="00DE7DB7" w:rsidP="00402B9E">
      <w:pPr>
        <w:tabs>
          <w:tab w:val="left" w:pos="2520"/>
        </w:tabs>
        <w:jc w:val="center"/>
        <w:rPr>
          <w:rFonts w:ascii="Book Antiqua" w:hAnsi="Book Antiqua" w:cs="Arial"/>
        </w:rPr>
      </w:pPr>
    </w:p>
    <w:p w14:paraId="24F2B611" w14:textId="77777777" w:rsidR="00DE7DB7" w:rsidRPr="00F5664C" w:rsidRDefault="00DE7DB7" w:rsidP="00402B9E">
      <w:pPr>
        <w:tabs>
          <w:tab w:val="left" w:pos="2520"/>
        </w:tabs>
        <w:jc w:val="center"/>
        <w:rPr>
          <w:rFonts w:ascii="Book Antiqua" w:hAnsi="Book Antiqua" w:cs="Arial"/>
        </w:rPr>
      </w:pPr>
    </w:p>
    <w:p w14:paraId="0E3F76E8"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33C155C2" w14:textId="77777777" w:rsidR="00B626FA" w:rsidRDefault="00B626FA" w:rsidP="00402B9E">
      <w:pPr>
        <w:tabs>
          <w:tab w:val="left" w:pos="2520"/>
        </w:tabs>
        <w:jc w:val="both"/>
        <w:rPr>
          <w:rFonts w:ascii="Book Antiqua" w:hAnsi="Book Antiqua" w:cs="Arial"/>
        </w:rPr>
      </w:pPr>
    </w:p>
    <w:p w14:paraId="1B03C527" w14:textId="77777777" w:rsidR="001103E5" w:rsidRPr="001103E5" w:rsidRDefault="001103E5" w:rsidP="00402B9E">
      <w:pPr>
        <w:tabs>
          <w:tab w:val="left" w:pos="2520"/>
        </w:tabs>
        <w:jc w:val="both"/>
        <w:rPr>
          <w:rFonts w:ascii="Book Antiqua" w:hAnsi="Book Antiqua" w:cs="Arial"/>
          <w:b/>
        </w:rPr>
      </w:pPr>
      <w:r w:rsidRPr="001103E5">
        <w:rPr>
          <w:rFonts w:ascii="Book Antiqua" w:hAnsi="Book Antiqua" w:cs="Arial"/>
          <w:b/>
        </w:rPr>
        <w:t>Introduction and Background</w:t>
      </w:r>
    </w:p>
    <w:p w14:paraId="7AAF1C31" w14:textId="77777777" w:rsidR="005E5DFF" w:rsidRDefault="001103E5" w:rsidP="005E5DFF">
      <w:pPr>
        <w:numPr>
          <w:ilvl w:val="0"/>
          <w:numId w:val="3"/>
        </w:numPr>
        <w:spacing w:before="240"/>
        <w:jc w:val="both"/>
        <w:rPr>
          <w:rFonts w:ascii="Book Antiqua" w:hAnsi="Book Antiqua" w:cs="Arial"/>
        </w:rPr>
      </w:pPr>
      <w:r>
        <w:rPr>
          <w:rFonts w:ascii="Book Antiqua" w:hAnsi="Book Antiqua" w:cs="Arial"/>
        </w:rPr>
        <w:t>The Appellant is a citizen of Pakistan born 23</w:t>
      </w:r>
      <w:r w:rsidRPr="001103E5">
        <w:rPr>
          <w:rFonts w:ascii="Book Antiqua" w:hAnsi="Book Antiqua" w:cs="Arial"/>
          <w:vertAlign w:val="superscript"/>
        </w:rPr>
        <w:t>rd</w:t>
      </w:r>
      <w:r>
        <w:rPr>
          <w:rFonts w:ascii="Book Antiqua" w:hAnsi="Book Antiqua" w:cs="Arial"/>
        </w:rPr>
        <w:t xml:space="preserve"> February 1972.  He appeals against a decision of Judge </w:t>
      </w:r>
      <w:proofErr w:type="spellStart"/>
      <w:r>
        <w:rPr>
          <w:rFonts w:ascii="Book Antiqua" w:hAnsi="Book Antiqua" w:cs="Arial"/>
        </w:rPr>
        <w:t>Alis</w:t>
      </w:r>
      <w:proofErr w:type="spellEnd"/>
      <w:r>
        <w:rPr>
          <w:rFonts w:ascii="Book Antiqua" w:hAnsi="Book Antiqua" w:cs="Arial"/>
        </w:rPr>
        <w:t xml:space="preserve"> (the judge) of the First-tier Tribunal (the FTT) promulgated on 19</w:t>
      </w:r>
      <w:r w:rsidRPr="001103E5">
        <w:rPr>
          <w:rFonts w:ascii="Book Antiqua" w:hAnsi="Book Antiqua" w:cs="Arial"/>
          <w:vertAlign w:val="superscript"/>
        </w:rPr>
        <w:t>th</w:t>
      </w:r>
      <w:r>
        <w:rPr>
          <w:rFonts w:ascii="Book Antiqua" w:hAnsi="Book Antiqua" w:cs="Arial"/>
        </w:rPr>
        <w:t xml:space="preserve"> February 2018 following a hearing on 14</w:t>
      </w:r>
      <w:r w:rsidRPr="001103E5">
        <w:rPr>
          <w:rFonts w:ascii="Book Antiqua" w:hAnsi="Book Antiqua" w:cs="Arial"/>
          <w:vertAlign w:val="superscript"/>
        </w:rPr>
        <w:t>th</w:t>
      </w:r>
      <w:r>
        <w:rPr>
          <w:rFonts w:ascii="Book Antiqua" w:hAnsi="Book Antiqua" w:cs="Arial"/>
        </w:rPr>
        <w:t xml:space="preserve"> February 2018.  </w:t>
      </w:r>
    </w:p>
    <w:p w14:paraId="2AD97864" w14:textId="77777777" w:rsidR="001103E5" w:rsidRDefault="001103E5" w:rsidP="005E5DFF">
      <w:pPr>
        <w:numPr>
          <w:ilvl w:val="0"/>
          <w:numId w:val="3"/>
        </w:numPr>
        <w:spacing w:before="240"/>
        <w:jc w:val="both"/>
        <w:rPr>
          <w:rFonts w:ascii="Book Antiqua" w:hAnsi="Book Antiqua" w:cs="Arial"/>
        </w:rPr>
      </w:pPr>
      <w:r>
        <w:rPr>
          <w:rFonts w:ascii="Book Antiqua" w:hAnsi="Book Antiqua" w:cs="Arial"/>
        </w:rPr>
        <w:lastRenderedPageBreak/>
        <w:t>The Appellant entered the UK as a visitor with a visa valid until 14</w:t>
      </w:r>
      <w:r w:rsidRPr="001103E5">
        <w:rPr>
          <w:rFonts w:ascii="Book Antiqua" w:hAnsi="Book Antiqua" w:cs="Arial"/>
          <w:vertAlign w:val="superscript"/>
        </w:rPr>
        <w:t>th</w:t>
      </w:r>
      <w:r>
        <w:rPr>
          <w:rFonts w:ascii="Book Antiqua" w:hAnsi="Book Antiqua" w:cs="Arial"/>
        </w:rPr>
        <w:t xml:space="preserve"> August 2011.  He claimed asylum on 28</w:t>
      </w:r>
      <w:r w:rsidRPr="001103E5">
        <w:rPr>
          <w:rFonts w:ascii="Book Antiqua" w:hAnsi="Book Antiqua" w:cs="Arial"/>
          <w:vertAlign w:val="superscript"/>
        </w:rPr>
        <w:t>th</w:t>
      </w:r>
      <w:r>
        <w:rPr>
          <w:rFonts w:ascii="Book Antiqua" w:hAnsi="Book Antiqua" w:cs="Arial"/>
        </w:rPr>
        <w:t xml:space="preserve"> June 2011.  That application was refused on 22</w:t>
      </w:r>
      <w:r w:rsidRPr="001103E5">
        <w:rPr>
          <w:rFonts w:ascii="Book Antiqua" w:hAnsi="Book Antiqua" w:cs="Arial"/>
          <w:vertAlign w:val="superscript"/>
        </w:rPr>
        <w:t>nd</w:t>
      </w:r>
      <w:r>
        <w:rPr>
          <w:rFonts w:ascii="Book Antiqua" w:hAnsi="Book Antiqua" w:cs="Arial"/>
        </w:rPr>
        <w:t xml:space="preserve"> July 2011 and his subsequent appeal was dismissed on 7</w:t>
      </w:r>
      <w:r w:rsidRPr="001103E5">
        <w:rPr>
          <w:rFonts w:ascii="Book Antiqua" w:hAnsi="Book Antiqua" w:cs="Arial"/>
          <w:vertAlign w:val="superscript"/>
        </w:rPr>
        <w:t>th</w:t>
      </w:r>
      <w:r>
        <w:rPr>
          <w:rFonts w:ascii="Book Antiqua" w:hAnsi="Book Antiqua" w:cs="Arial"/>
        </w:rPr>
        <w:t xml:space="preserve"> October 2011. </w:t>
      </w:r>
    </w:p>
    <w:p w14:paraId="73EC6014" w14:textId="0EEBE752" w:rsidR="001103E5" w:rsidRDefault="001103E5" w:rsidP="005E5DFF">
      <w:pPr>
        <w:numPr>
          <w:ilvl w:val="0"/>
          <w:numId w:val="3"/>
        </w:numPr>
        <w:spacing w:before="240"/>
        <w:jc w:val="both"/>
        <w:rPr>
          <w:rFonts w:ascii="Book Antiqua" w:hAnsi="Book Antiqua" w:cs="Arial"/>
        </w:rPr>
      </w:pPr>
      <w:r>
        <w:rPr>
          <w:rFonts w:ascii="Book Antiqua" w:hAnsi="Book Antiqua" w:cs="Arial"/>
        </w:rPr>
        <w:t>The Appellant remained in the UK and made further submissions which were refused without a right of appeal.  He l</w:t>
      </w:r>
      <w:r w:rsidR="002C2606">
        <w:rPr>
          <w:rFonts w:ascii="Book Antiqua" w:hAnsi="Book Antiqua" w:cs="Arial"/>
        </w:rPr>
        <w:t>odged</w:t>
      </w:r>
      <w:r>
        <w:rPr>
          <w:rFonts w:ascii="Book Antiqua" w:hAnsi="Book Antiqua" w:cs="Arial"/>
        </w:rPr>
        <w:t xml:space="preserve"> further submissions on 19</w:t>
      </w:r>
      <w:r w:rsidRPr="001103E5">
        <w:rPr>
          <w:rFonts w:ascii="Book Antiqua" w:hAnsi="Book Antiqua" w:cs="Arial"/>
          <w:vertAlign w:val="superscript"/>
        </w:rPr>
        <w:t>th</w:t>
      </w:r>
      <w:r>
        <w:rPr>
          <w:rFonts w:ascii="Book Antiqua" w:hAnsi="Book Antiqua" w:cs="Arial"/>
        </w:rPr>
        <w:t xml:space="preserve"> July 2017 making a human rights and international protection claim.  This application was refused on 4</w:t>
      </w:r>
      <w:r w:rsidRPr="001103E5">
        <w:rPr>
          <w:rFonts w:ascii="Book Antiqua" w:hAnsi="Book Antiqua" w:cs="Arial"/>
          <w:vertAlign w:val="superscript"/>
        </w:rPr>
        <w:t>th</w:t>
      </w:r>
      <w:r>
        <w:rPr>
          <w:rFonts w:ascii="Book Antiqua" w:hAnsi="Book Antiqua" w:cs="Arial"/>
        </w:rPr>
        <w:t xml:space="preserve"> January 2018 and the Appellant appealed to the FTT.</w:t>
      </w:r>
    </w:p>
    <w:p w14:paraId="4E2ED19B" w14:textId="77777777" w:rsidR="001103E5" w:rsidRPr="00662747" w:rsidRDefault="001103E5" w:rsidP="001103E5">
      <w:pPr>
        <w:spacing w:before="240"/>
        <w:jc w:val="both"/>
        <w:rPr>
          <w:rFonts w:ascii="Book Antiqua" w:hAnsi="Book Antiqua" w:cs="Arial"/>
          <w:b/>
        </w:rPr>
      </w:pPr>
      <w:r w:rsidRPr="00662747">
        <w:rPr>
          <w:rFonts w:ascii="Book Antiqua" w:hAnsi="Book Antiqua" w:cs="Arial"/>
          <w:b/>
        </w:rPr>
        <w:t xml:space="preserve">The First-tier Tribunal Hearing </w:t>
      </w:r>
    </w:p>
    <w:p w14:paraId="752C0856" w14:textId="5DC85F71" w:rsidR="001103E5" w:rsidRDefault="001103E5" w:rsidP="005E5DFF">
      <w:pPr>
        <w:numPr>
          <w:ilvl w:val="0"/>
          <w:numId w:val="3"/>
        </w:numPr>
        <w:spacing w:before="240"/>
        <w:jc w:val="both"/>
        <w:rPr>
          <w:rFonts w:ascii="Book Antiqua" w:hAnsi="Book Antiqua" w:cs="Arial"/>
        </w:rPr>
      </w:pPr>
      <w:r>
        <w:rPr>
          <w:rFonts w:ascii="Book Antiqua" w:hAnsi="Book Antiqua" w:cs="Arial"/>
        </w:rPr>
        <w:t xml:space="preserve">At the hearing the Appellant clarified that he did not pursue his appeal on protection grounds, but argued that to remove him from the UK would breach Article 8 of the 1950 </w:t>
      </w:r>
      <w:r w:rsidR="0049316F">
        <w:rPr>
          <w:rFonts w:ascii="Book Antiqua" w:hAnsi="Book Antiqua" w:cs="Arial"/>
        </w:rPr>
        <w:t xml:space="preserve">European </w:t>
      </w:r>
      <w:r>
        <w:rPr>
          <w:rFonts w:ascii="Book Antiqua" w:hAnsi="Book Antiqua" w:cs="Arial"/>
        </w:rPr>
        <w:t xml:space="preserve">Convention on Human Rights (the 1950 Convention).  He relied specifically on </w:t>
      </w:r>
      <w:r w:rsidR="00BC3CCE">
        <w:rPr>
          <w:rFonts w:ascii="Book Antiqua" w:hAnsi="Book Antiqua" w:cs="Arial"/>
        </w:rPr>
        <w:t>se</w:t>
      </w:r>
      <w:r>
        <w:rPr>
          <w:rFonts w:ascii="Book Antiqua" w:hAnsi="Book Antiqua" w:cs="Arial"/>
        </w:rPr>
        <w:t>ction 117</w:t>
      </w:r>
      <w:proofErr w:type="gramStart"/>
      <w:r>
        <w:rPr>
          <w:rFonts w:ascii="Book Antiqua" w:hAnsi="Book Antiqua" w:cs="Arial"/>
        </w:rPr>
        <w:t>B(</w:t>
      </w:r>
      <w:proofErr w:type="gramEnd"/>
      <w:r>
        <w:rPr>
          <w:rFonts w:ascii="Book Antiqua" w:hAnsi="Book Antiqua" w:cs="Arial"/>
        </w:rPr>
        <w:t>6) of the Nationality, Immigration and Asylum Act 2002 (the 2002 Act) arguing that he has a genuine and subsisting relationship with his British son.  The judge heard evidence from the Appellant, and found that the Appellant does have a son who is a British citizen who was 6 months old at the date of hearing.  It was found that the Appellant did not live with the mother of his son, but a Child Arrangements Order had been made by the Family Court in Manchester on 11</w:t>
      </w:r>
      <w:r w:rsidRPr="001103E5">
        <w:rPr>
          <w:rFonts w:ascii="Book Antiqua" w:hAnsi="Book Antiqua" w:cs="Arial"/>
          <w:vertAlign w:val="superscript"/>
        </w:rPr>
        <w:t>th</w:t>
      </w:r>
      <w:r>
        <w:rPr>
          <w:rFonts w:ascii="Book Antiqua" w:hAnsi="Book Antiqua" w:cs="Arial"/>
        </w:rPr>
        <w:t xml:space="preserve"> December 2017.  The judge accepted that the Appellant had family life with his son and that he had daily contact.  </w:t>
      </w:r>
    </w:p>
    <w:p w14:paraId="45FC375D" w14:textId="77777777" w:rsidR="00662747" w:rsidRDefault="00662747" w:rsidP="005E5DFF">
      <w:pPr>
        <w:numPr>
          <w:ilvl w:val="0"/>
          <w:numId w:val="3"/>
        </w:numPr>
        <w:spacing w:before="240"/>
        <w:jc w:val="both"/>
        <w:rPr>
          <w:rFonts w:ascii="Book Antiqua" w:hAnsi="Book Antiqua" w:cs="Arial"/>
        </w:rPr>
      </w:pPr>
      <w:r>
        <w:rPr>
          <w:rFonts w:ascii="Book Antiqua" w:hAnsi="Book Antiqua" w:cs="Arial"/>
        </w:rPr>
        <w:t xml:space="preserve">The judge found that the son’s mother supported the Appellant’s application to remain, and that it would be in the best interests of the child, as a British citizen, to remain in the UK.  It was found that the Appellant is not the primary carer.  The judge found at paragraph 22 that it would not be reasonable to ask the Appellant’s son and his mother to leave the UK.  The judge found that the Appellant had a “very poor immigration history” and concluded that immigration control is in the public interest, and on the facts of this case it would not be disproportionate to remove the Appellant from the UK.  The appeal was therefore dismissed on human rights grounds.  </w:t>
      </w:r>
    </w:p>
    <w:p w14:paraId="77E4C48C" w14:textId="77777777" w:rsidR="00662747" w:rsidRPr="00662747" w:rsidRDefault="00662747" w:rsidP="00662747">
      <w:pPr>
        <w:spacing w:before="240"/>
        <w:jc w:val="both"/>
        <w:rPr>
          <w:rFonts w:ascii="Book Antiqua" w:hAnsi="Book Antiqua" w:cs="Arial"/>
          <w:b/>
        </w:rPr>
      </w:pPr>
      <w:r w:rsidRPr="00662747">
        <w:rPr>
          <w:rFonts w:ascii="Book Antiqua" w:hAnsi="Book Antiqua" w:cs="Arial"/>
          <w:b/>
        </w:rPr>
        <w:t>The Application for Permission to Appeal</w:t>
      </w:r>
    </w:p>
    <w:p w14:paraId="1E551FEE" w14:textId="55CE9C90" w:rsidR="00662747" w:rsidRDefault="00662747" w:rsidP="005E5DFF">
      <w:pPr>
        <w:numPr>
          <w:ilvl w:val="0"/>
          <w:numId w:val="3"/>
        </w:numPr>
        <w:spacing w:before="240"/>
        <w:jc w:val="both"/>
        <w:rPr>
          <w:rFonts w:ascii="Book Antiqua" w:hAnsi="Book Antiqua" w:cs="Arial"/>
        </w:rPr>
      </w:pPr>
      <w:r>
        <w:rPr>
          <w:rFonts w:ascii="Book Antiqua" w:hAnsi="Book Antiqua" w:cs="Arial"/>
        </w:rPr>
        <w:t xml:space="preserve">The Appellant applied for permission to appeal.  The grounds were prepared by solicitors who did not represent the Appellant before the FTT.  They are somewhat </w:t>
      </w:r>
      <w:r w:rsidR="00BC3CCE">
        <w:rPr>
          <w:rFonts w:ascii="Book Antiqua" w:hAnsi="Book Antiqua" w:cs="Arial"/>
        </w:rPr>
        <w:t>repetitive</w:t>
      </w:r>
      <w:r w:rsidR="0049316F">
        <w:rPr>
          <w:rFonts w:ascii="Book Antiqua" w:hAnsi="Book Antiqua" w:cs="Arial"/>
        </w:rPr>
        <w:t>,</w:t>
      </w:r>
      <w:r>
        <w:rPr>
          <w:rFonts w:ascii="Book Antiqua" w:hAnsi="Book Antiqua" w:cs="Arial"/>
        </w:rPr>
        <w:t xml:space="preserve"> but in essence complain that </w:t>
      </w:r>
      <w:r w:rsidR="00BC3CCE">
        <w:rPr>
          <w:rFonts w:ascii="Book Antiqua" w:hAnsi="Book Antiqua" w:cs="Arial"/>
        </w:rPr>
        <w:t>the judge erred in considering s</w:t>
      </w:r>
      <w:r>
        <w:rPr>
          <w:rFonts w:ascii="Book Antiqua" w:hAnsi="Book Antiqua" w:cs="Arial"/>
        </w:rPr>
        <w:t>ection 117</w:t>
      </w:r>
      <w:proofErr w:type="gramStart"/>
      <w:r>
        <w:rPr>
          <w:rFonts w:ascii="Book Antiqua" w:hAnsi="Book Antiqua" w:cs="Arial"/>
        </w:rPr>
        <w:t>B(</w:t>
      </w:r>
      <w:proofErr w:type="gramEnd"/>
      <w:r>
        <w:rPr>
          <w:rFonts w:ascii="Book Antiqua" w:hAnsi="Book Antiqua" w:cs="Arial"/>
        </w:rPr>
        <w:t xml:space="preserve">6).  It was submitted that the judge had accepted that the Appellant had a subsisting relationship with his son, and that he had a court order confirming contact, and it was found that the best interests of the son would be to remain in the UK.  </w:t>
      </w:r>
    </w:p>
    <w:p w14:paraId="42B6A4AF" w14:textId="6D36C5EE" w:rsidR="00662747" w:rsidRDefault="00662747" w:rsidP="005E5DFF">
      <w:pPr>
        <w:numPr>
          <w:ilvl w:val="0"/>
          <w:numId w:val="3"/>
        </w:numPr>
        <w:spacing w:before="240"/>
        <w:jc w:val="both"/>
        <w:rPr>
          <w:rFonts w:ascii="Book Antiqua" w:hAnsi="Book Antiqua" w:cs="Arial"/>
        </w:rPr>
      </w:pPr>
      <w:r>
        <w:rPr>
          <w:rFonts w:ascii="Book Antiqua" w:hAnsi="Book Antiqua" w:cs="Arial"/>
        </w:rPr>
        <w:t xml:space="preserve">It was submitted that the judge had contradicted himself by finding that it would not be reasonable for the son to leave the UK, but had then dismissed the appeal, though it would seem that the judge had found that the requirements of </w:t>
      </w:r>
      <w:r w:rsidR="00BC3CCE">
        <w:rPr>
          <w:rFonts w:ascii="Book Antiqua" w:hAnsi="Book Antiqua" w:cs="Arial"/>
        </w:rPr>
        <w:t>s</w:t>
      </w:r>
      <w:r>
        <w:rPr>
          <w:rFonts w:ascii="Book Antiqua" w:hAnsi="Book Antiqua" w:cs="Arial"/>
        </w:rPr>
        <w:t>ection 117</w:t>
      </w:r>
      <w:proofErr w:type="gramStart"/>
      <w:r>
        <w:rPr>
          <w:rFonts w:ascii="Book Antiqua" w:hAnsi="Book Antiqua" w:cs="Arial"/>
        </w:rPr>
        <w:t>B</w:t>
      </w:r>
      <w:r w:rsidR="00CC03A7">
        <w:rPr>
          <w:rFonts w:ascii="Book Antiqua" w:hAnsi="Book Antiqua" w:cs="Arial"/>
        </w:rPr>
        <w:t>(</w:t>
      </w:r>
      <w:proofErr w:type="gramEnd"/>
      <w:r w:rsidR="00CC03A7">
        <w:rPr>
          <w:rFonts w:ascii="Book Antiqua" w:hAnsi="Book Antiqua" w:cs="Arial"/>
        </w:rPr>
        <w:t xml:space="preserve">6) were satisfied.  </w:t>
      </w:r>
    </w:p>
    <w:p w14:paraId="69542DB9" w14:textId="77777777" w:rsidR="0049316F" w:rsidRDefault="0049316F" w:rsidP="0049316F">
      <w:pPr>
        <w:spacing w:before="240"/>
        <w:ind w:left="567"/>
        <w:jc w:val="both"/>
        <w:rPr>
          <w:rFonts w:ascii="Book Antiqua" w:hAnsi="Book Antiqua" w:cs="Arial"/>
        </w:rPr>
      </w:pPr>
    </w:p>
    <w:p w14:paraId="73D8A264" w14:textId="77777777" w:rsidR="00CC03A7" w:rsidRPr="00CC03A7" w:rsidRDefault="00CC03A7" w:rsidP="00CC03A7">
      <w:pPr>
        <w:spacing w:before="240"/>
        <w:jc w:val="both"/>
        <w:rPr>
          <w:rFonts w:ascii="Book Antiqua" w:hAnsi="Book Antiqua" w:cs="Arial"/>
          <w:b/>
        </w:rPr>
      </w:pPr>
      <w:r w:rsidRPr="00CC03A7">
        <w:rPr>
          <w:rFonts w:ascii="Book Antiqua" w:hAnsi="Book Antiqua" w:cs="Arial"/>
          <w:b/>
        </w:rPr>
        <w:lastRenderedPageBreak/>
        <w:t>Permission to Appeal</w:t>
      </w:r>
    </w:p>
    <w:p w14:paraId="58DAC7D8" w14:textId="77777777" w:rsidR="00CC03A7" w:rsidRDefault="00CC03A7" w:rsidP="005E5DFF">
      <w:pPr>
        <w:numPr>
          <w:ilvl w:val="0"/>
          <w:numId w:val="3"/>
        </w:numPr>
        <w:spacing w:before="240"/>
        <w:jc w:val="both"/>
        <w:rPr>
          <w:rFonts w:ascii="Book Antiqua" w:hAnsi="Book Antiqua" w:cs="Arial"/>
        </w:rPr>
      </w:pPr>
      <w:r>
        <w:rPr>
          <w:rFonts w:ascii="Book Antiqua" w:hAnsi="Book Antiqua" w:cs="Arial"/>
        </w:rPr>
        <w:t xml:space="preserve">Permission to appeal was granted by Judge Pedro in the following terms; </w:t>
      </w:r>
    </w:p>
    <w:p w14:paraId="5C318A80" w14:textId="687F6C66" w:rsidR="00CC03A7" w:rsidRDefault="00CC03A7" w:rsidP="00CC03A7">
      <w:pPr>
        <w:spacing w:before="240"/>
        <w:ind w:left="1701" w:hanging="567"/>
        <w:jc w:val="both"/>
        <w:rPr>
          <w:rFonts w:ascii="Book Antiqua" w:hAnsi="Book Antiqua" w:cs="Arial"/>
          <w:sz w:val="22"/>
          <w:szCs w:val="22"/>
        </w:rPr>
      </w:pPr>
      <w:r w:rsidRPr="00CC03A7">
        <w:rPr>
          <w:rFonts w:ascii="Book Antiqua" w:hAnsi="Book Antiqua" w:cs="Arial"/>
          <w:sz w:val="22"/>
          <w:szCs w:val="22"/>
        </w:rPr>
        <w:t>“2.</w:t>
      </w:r>
      <w:r w:rsidRPr="00CC03A7">
        <w:rPr>
          <w:rFonts w:ascii="Book Antiqua" w:hAnsi="Book Antiqua" w:cs="Arial"/>
          <w:sz w:val="22"/>
          <w:szCs w:val="22"/>
        </w:rPr>
        <w:tab/>
        <w:t>The grounds</w:t>
      </w:r>
      <w:r>
        <w:rPr>
          <w:rFonts w:ascii="Book Antiqua" w:hAnsi="Book Antiqua" w:cs="Arial"/>
          <w:sz w:val="22"/>
          <w:szCs w:val="22"/>
        </w:rPr>
        <w:t xml:space="preserve"> assert that the judge erred, inter alia, in misdirecting himself regarding the application of </w:t>
      </w:r>
      <w:r w:rsidR="00BC3CCE">
        <w:rPr>
          <w:rFonts w:ascii="Book Antiqua" w:hAnsi="Book Antiqua" w:cs="Arial"/>
          <w:sz w:val="22"/>
          <w:szCs w:val="22"/>
        </w:rPr>
        <w:t>se</w:t>
      </w:r>
      <w:r>
        <w:rPr>
          <w:rFonts w:ascii="Book Antiqua" w:hAnsi="Book Antiqua" w:cs="Arial"/>
          <w:sz w:val="22"/>
          <w:szCs w:val="22"/>
        </w:rPr>
        <w:t>ction 117</w:t>
      </w:r>
      <w:proofErr w:type="gramStart"/>
      <w:r>
        <w:rPr>
          <w:rFonts w:ascii="Book Antiqua" w:hAnsi="Book Antiqua" w:cs="Arial"/>
          <w:sz w:val="22"/>
          <w:szCs w:val="22"/>
        </w:rPr>
        <w:t>B(</w:t>
      </w:r>
      <w:proofErr w:type="gramEnd"/>
      <w:r>
        <w:rPr>
          <w:rFonts w:ascii="Book Antiqua" w:hAnsi="Book Antiqua" w:cs="Arial"/>
          <w:sz w:val="22"/>
          <w:szCs w:val="22"/>
        </w:rPr>
        <w:t xml:space="preserve">6) of the 2002 Act. </w:t>
      </w:r>
    </w:p>
    <w:p w14:paraId="739B32F4" w14:textId="526D8599" w:rsidR="00CC03A7" w:rsidRDefault="00CC03A7" w:rsidP="00CC03A7">
      <w:pPr>
        <w:spacing w:before="240"/>
        <w:ind w:left="1701" w:hanging="567"/>
        <w:jc w:val="both"/>
        <w:rPr>
          <w:rFonts w:ascii="Book Antiqua" w:hAnsi="Book Antiqua" w:cs="Arial"/>
          <w:sz w:val="22"/>
          <w:szCs w:val="22"/>
        </w:rPr>
      </w:pPr>
      <w:r>
        <w:rPr>
          <w:rFonts w:ascii="Book Antiqua" w:hAnsi="Book Antiqua" w:cs="Arial"/>
          <w:sz w:val="22"/>
          <w:szCs w:val="22"/>
        </w:rPr>
        <w:t>3.</w:t>
      </w:r>
      <w:r>
        <w:rPr>
          <w:rFonts w:ascii="Book Antiqua" w:hAnsi="Book Antiqua" w:cs="Arial"/>
          <w:sz w:val="22"/>
          <w:szCs w:val="22"/>
        </w:rPr>
        <w:tab/>
        <w:t xml:space="preserve">Wider public interest considerations may be taken into account in determining reasonableness but once it is considered to be unreasonable then </w:t>
      </w:r>
      <w:r w:rsidR="00BC3CCE">
        <w:rPr>
          <w:rFonts w:ascii="Book Antiqua" w:hAnsi="Book Antiqua" w:cs="Arial"/>
          <w:sz w:val="22"/>
          <w:szCs w:val="22"/>
        </w:rPr>
        <w:t>s</w:t>
      </w:r>
      <w:r>
        <w:rPr>
          <w:rFonts w:ascii="Book Antiqua" w:hAnsi="Book Antiqua" w:cs="Arial"/>
          <w:sz w:val="22"/>
          <w:szCs w:val="22"/>
        </w:rPr>
        <w:t>ection 117</w:t>
      </w:r>
      <w:proofErr w:type="gramStart"/>
      <w:r>
        <w:rPr>
          <w:rFonts w:ascii="Book Antiqua" w:hAnsi="Book Antiqua" w:cs="Arial"/>
          <w:sz w:val="22"/>
          <w:szCs w:val="22"/>
        </w:rPr>
        <w:t>B(</w:t>
      </w:r>
      <w:proofErr w:type="gramEnd"/>
      <w:r>
        <w:rPr>
          <w:rFonts w:ascii="Book Antiqua" w:hAnsi="Book Antiqua" w:cs="Arial"/>
          <w:sz w:val="22"/>
          <w:szCs w:val="22"/>
        </w:rPr>
        <w:t xml:space="preserve">6) applies.  Whilst the judge has concluded that the Respondent’s decision was proportionate [40] it is arguably unclear whether or not the judge concluded that it would be reasonable to require the Appellant’s child to leave </w:t>
      </w:r>
      <w:r w:rsidR="0049316F">
        <w:rPr>
          <w:rFonts w:ascii="Book Antiqua" w:hAnsi="Book Antiqua" w:cs="Arial"/>
          <w:sz w:val="22"/>
          <w:szCs w:val="22"/>
        </w:rPr>
        <w:t>t</w:t>
      </w:r>
      <w:r>
        <w:rPr>
          <w:rFonts w:ascii="Book Antiqua" w:hAnsi="Book Antiqua" w:cs="Arial"/>
          <w:sz w:val="22"/>
          <w:szCs w:val="22"/>
        </w:rPr>
        <w:t xml:space="preserve">he United Kingdom having accepted at [22] that it would not be reasonable to expect the Appellant’s child and mother to do so.  </w:t>
      </w:r>
    </w:p>
    <w:p w14:paraId="23FEAE68" w14:textId="77777777" w:rsidR="00CC03A7" w:rsidRDefault="00CC03A7" w:rsidP="00CC03A7">
      <w:pPr>
        <w:spacing w:before="240"/>
        <w:ind w:left="1701" w:hanging="567"/>
        <w:jc w:val="both"/>
        <w:rPr>
          <w:rFonts w:ascii="Book Antiqua" w:hAnsi="Book Antiqua" w:cs="Arial"/>
          <w:sz w:val="22"/>
          <w:szCs w:val="22"/>
        </w:rPr>
      </w:pPr>
      <w:r>
        <w:rPr>
          <w:rFonts w:ascii="Book Antiqua" w:hAnsi="Book Antiqua" w:cs="Arial"/>
          <w:sz w:val="22"/>
          <w:szCs w:val="22"/>
        </w:rPr>
        <w:t>4.</w:t>
      </w:r>
      <w:r>
        <w:rPr>
          <w:rFonts w:ascii="Book Antiqua" w:hAnsi="Book Antiqua" w:cs="Arial"/>
          <w:sz w:val="22"/>
          <w:szCs w:val="22"/>
        </w:rPr>
        <w:tab/>
        <w:t>The grounds disclose an arguable error of law capable of affecting the outcome.”</w:t>
      </w:r>
    </w:p>
    <w:p w14:paraId="7C7597AE" w14:textId="77777777" w:rsidR="00CC03A7" w:rsidRPr="00CC03A7" w:rsidRDefault="00CC03A7" w:rsidP="00CC03A7">
      <w:pPr>
        <w:spacing w:before="240"/>
        <w:jc w:val="both"/>
        <w:rPr>
          <w:rFonts w:ascii="Book Antiqua" w:hAnsi="Book Antiqua" w:cs="Arial"/>
          <w:b/>
        </w:rPr>
      </w:pPr>
      <w:r w:rsidRPr="00CC03A7">
        <w:rPr>
          <w:rFonts w:ascii="Book Antiqua" w:hAnsi="Book Antiqua" w:cs="Arial"/>
          <w:b/>
        </w:rPr>
        <w:t>The Upper Tribunal Hearing</w:t>
      </w:r>
    </w:p>
    <w:p w14:paraId="4648EE7D" w14:textId="06884541" w:rsidR="00CC03A7" w:rsidRDefault="00CC03A7" w:rsidP="005E5DFF">
      <w:pPr>
        <w:numPr>
          <w:ilvl w:val="0"/>
          <w:numId w:val="3"/>
        </w:numPr>
        <w:spacing w:before="240"/>
        <w:jc w:val="both"/>
        <w:rPr>
          <w:rFonts w:ascii="Book Antiqua" w:hAnsi="Book Antiqua" w:cs="Arial"/>
        </w:rPr>
      </w:pPr>
      <w:r>
        <w:rPr>
          <w:rFonts w:ascii="Book Antiqua" w:hAnsi="Book Antiqua" w:cs="Arial"/>
        </w:rPr>
        <w:t xml:space="preserve">Miss Ramzan relied upon the grounds contained within the application for permission to appeal.  It was submitted that </w:t>
      </w:r>
      <w:r w:rsidR="007421C4">
        <w:rPr>
          <w:rFonts w:ascii="Book Antiqua" w:hAnsi="Book Antiqua" w:cs="Arial"/>
        </w:rPr>
        <w:t>the Appellant’s</w:t>
      </w:r>
      <w:r>
        <w:rPr>
          <w:rFonts w:ascii="Book Antiqua" w:hAnsi="Book Antiqua" w:cs="Arial"/>
        </w:rPr>
        <w:t xml:space="preserve"> immigration history could not be described as very poor.  It was submitted that it was difficult to follow the decision of the FTT, in that a finding had been made at paragraph 22 that it would not be reasonable for the child to leave the UK, but the judge had then gone on to dismiss the appeal.  </w:t>
      </w:r>
    </w:p>
    <w:p w14:paraId="76F20A0C" w14:textId="77777777" w:rsidR="00CC03A7" w:rsidRDefault="00CC03A7" w:rsidP="005E5DFF">
      <w:pPr>
        <w:numPr>
          <w:ilvl w:val="0"/>
          <w:numId w:val="3"/>
        </w:numPr>
        <w:spacing w:before="240"/>
        <w:jc w:val="both"/>
        <w:rPr>
          <w:rFonts w:ascii="Book Antiqua" w:hAnsi="Book Antiqua" w:cs="Arial"/>
        </w:rPr>
      </w:pPr>
      <w:r>
        <w:rPr>
          <w:rFonts w:ascii="Book Antiqua" w:hAnsi="Book Antiqua" w:cs="Arial"/>
        </w:rPr>
        <w:t xml:space="preserve">Mr Bates submitted that the judge may have erred in making the finding at paragraph 22 that it was not reasonable for the child to leave the UK, but this was </w:t>
      </w:r>
      <w:r w:rsidR="009F2FE0">
        <w:rPr>
          <w:rFonts w:ascii="Book Antiqua" w:hAnsi="Book Antiqua" w:cs="Arial"/>
        </w:rPr>
        <w:t xml:space="preserve">not material.  The judge had correctly considered the wider public interest, and was entitled to take the view that the child would not have to leave the UK.  It was submitted that the judge was entitled to find that the Appellant had a very poor immigration history, which amounted to a powerful reason for not granting leave to a parent of a qualifying child, which was the test in </w:t>
      </w:r>
      <w:r w:rsidR="009F2FE0" w:rsidRPr="009F2FE0">
        <w:rPr>
          <w:rFonts w:ascii="Book Antiqua" w:hAnsi="Book Antiqua" w:cs="Arial"/>
          <w:u w:val="single"/>
        </w:rPr>
        <w:t>MA</w:t>
      </w:r>
      <w:r w:rsidR="009F2FE0" w:rsidRPr="009F2FE0">
        <w:rPr>
          <w:rFonts w:ascii="Book Antiqua" w:hAnsi="Book Antiqua" w:cs="Arial"/>
        </w:rPr>
        <w:t xml:space="preserve"> (Pakistan) [2016] EWCA </w:t>
      </w:r>
      <w:proofErr w:type="spellStart"/>
      <w:r w:rsidR="009F2FE0" w:rsidRPr="009F2FE0">
        <w:rPr>
          <w:rFonts w:ascii="Book Antiqua" w:hAnsi="Book Antiqua" w:cs="Arial"/>
        </w:rPr>
        <w:t>Civ</w:t>
      </w:r>
      <w:proofErr w:type="spellEnd"/>
      <w:r w:rsidR="009F2FE0" w:rsidRPr="009F2FE0">
        <w:rPr>
          <w:rFonts w:ascii="Book Antiqua" w:hAnsi="Book Antiqua" w:cs="Arial"/>
        </w:rPr>
        <w:t xml:space="preserve"> 705</w:t>
      </w:r>
      <w:r w:rsidR="009F2FE0">
        <w:rPr>
          <w:rFonts w:ascii="Book Antiqua" w:hAnsi="Book Antiqua" w:cs="Arial"/>
        </w:rPr>
        <w:t xml:space="preserve">.  </w:t>
      </w:r>
    </w:p>
    <w:p w14:paraId="3E7869FE" w14:textId="25837002" w:rsidR="009F2FE0" w:rsidRDefault="009F2FE0" w:rsidP="005E5DFF">
      <w:pPr>
        <w:numPr>
          <w:ilvl w:val="0"/>
          <w:numId w:val="3"/>
        </w:numPr>
        <w:spacing w:before="240"/>
        <w:jc w:val="both"/>
        <w:rPr>
          <w:rFonts w:ascii="Book Antiqua" w:hAnsi="Book Antiqua" w:cs="Arial"/>
        </w:rPr>
      </w:pPr>
      <w:r>
        <w:rPr>
          <w:rFonts w:ascii="Book Antiqua" w:hAnsi="Book Antiqua" w:cs="Arial"/>
        </w:rPr>
        <w:t xml:space="preserve">I asked Mr Bates whether he had considered </w:t>
      </w:r>
      <w:r w:rsidRPr="009F2FE0">
        <w:rPr>
          <w:rFonts w:ascii="Book Antiqua" w:hAnsi="Book Antiqua" w:cs="Arial"/>
          <w:u w:val="single"/>
        </w:rPr>
        <w:t>MT and ET</w:t>
      </w:r>
      <w:r w:rsidRPr="009F2FE0">
        <w:rPr>
          <w:rFonts w:ascii="Book Antiqua" w:hAnsi="Book Antiqua" w:cs="Arial"/>
        </w:rPr>
        <w:t xml:space="preserve"> Nigeria [2018] UKUT 00088</w:t>
      </w:r>
      <w:r w:rsidRPr="009F2FE0">
        <w:rPr>
          <w:rFonts w:ascii="Book Antiqua" w:hAnsi="Book Antiqua" w:cs="Arial"/>
          <w:b/>
        </w:rPr>
        <w:t xml:space="preserve"> (</w:t>
      </w:r>
      <w:r w:rsidRPr="001073AC">
        <w:rPr>
          <w:rFonts w:ascii="Book Antiqua" w:hAnsi="Book Antiqua" w:cs="Arial"/>
        </w:rPr>
        <w:t>IAC)</w:t>
      </w:r>
      <w:r>
        <w:rPr>
          <w:rFonts w:ascii="Book Antiqua" w:hAnsi="Book Antiqua" w:cs="Arial"/>
        </w:rPr>
        <w:t xml:space="preserve"> in which it was found that the parent of a qualifying child with an immigration history similar to that of the Appellant, did not amount to powerful reasons for refusing leave to remain.  Mr Bates’ response was that the conclusion on that issue by the </w:t>
      </w:r>
      <w:r w:rsidR="001073AC">
        <w:rPr>
          <w:rFonts w:ascii="Book Antiqua" w:hAnsi="Book Antiqua" w:cs="Arial"/>
        </w:rPr>
        <w:t>P</w:t>
      </w:r>
      <w:r>
        <w:rPr>
          <w:rFonts w:ascii="Book Antiqua" w:hAnsi="Book Antiqua" w:cs="Arial"/>
        </w:rPr>
        <w:t xml:space="preserve">resident of the Upper Tribunal, was not the main reason why </w:t>
      </w:r>
      <w:r w:rsidRPr="009F2FE0">
        <w:rPr>
          <w:rFonts w:ascii="Book Antiqua" w:hAnsi="Book Antiqua" w:cs="Arial"/>
          <w:u w:val="single"/>
        </w:rPr>
        <w:t>MT and ET</w:t>
      </w:r>
      <w:r>
        <w:rPr>
          <w:rFonts w:ascii="Book Antiqua" w:hAnsi="Book Antiqua" w:cs="Arial"/>
        </w:rPr>
        <w:t xml:space="preserve"> </w:t>
      </w:r>
      <w:proofErr w:type="gramStart"/>
      <w:r>
        <w:rPr>
          <w:rFonts w:ascii="Book Antiqua" w:hAnsi="Book Antiqua" w:cs="Arial"/>
        </w:rPr>
        <w:t>was</w:t>
      </w:r>
      <w:proofErr w:type="gramEnd"/>
      <w:r>
        <w:rPr>
          <w:rFonts w:ascii="Book Antiqua" w:hAnsi="Book Antiqua" w:cs="Arial"/>
        </w:rPr>
        <w:t xml:space="preserve"> a reported decision.  Mr Bates’ view was that the judge was entitled to find on the facts of this case that the Appellant had a very poor immigration history, which could amount to powerful reasons for refusing him leave to remain.  </w:t>
      </w:r>
    </w:p>
    <w:p w14:paraId="2C870406" w14:textId="5E41FBA7" w:rsidR="009F2FE0" w:rsidRDefault="009F2FE0" w:rsidP="005E5DFF">
      <w:pPr>
        <w:numPr>
          <w:ilvl w:val="0"/>
          <w:numId w:val="3"/>
        </w:numPr>
        <w:spacing w:before="240"/>
        <w:jc w:val="both"/>
        <w:rPr>
          <w:rFonts w:ascii="Book Antiqua" w:hAnsi="Book Antiqua" w:cs="Arial"/>
        </w:rPr>
      </w:pPr>
      <w:r>
        <w:rPr>
          <w:rFonts w:ascii="Book Antiqua" w:hAnsi="Book Antiqua" w:cs="Arial"/>
        </w:rPr>
        <w:t>In response M</w:t>
      </w:r>
      <w:r w:rsidR="00524FE3">
        <w:rPr>
          <w:rFonts w:ascii="Book Antiqua" w:hAnsi="Book Antiqua" w:cs="Arial"/>
        </w:rPr>
        <w:t>is</w:t>
      </w:r>
      <w:r>
        <w:rPr>
          <w:rFonts w:ascii="Book Antiqua" w:hAnsi="Book Antiqua" w:cs="Arial"/>
        </w:rPr>
        <w:t xml:space="preserve">s Ramzan pointed out that the Appellant did not have any criminal convictions, and it could not be said that he had a very poor immigration history.  </w:t>
      </w:r>
    </w:p>
    <w:p w14:paraId="52B23059" w14:textId="27E14729" w:rsidR="009F2FE0" w:rsidRDefault="009F2FE0" w:rsidP="005E5DFF">
      <w:pPr>
        <w:numPr>
          <w:ilvl w:val="0"/>
          <w:numId w:val="3"/>
        </w:numPr>
        <w:spacing w:before="240"/>
        <w:jc w:val="both"/>
        <w:rPr>
          <w:rFonts w:ascii="Book Antiqua" w:hAnsi="Book Antiqua" w:cs="Arial"/>
        </w:rPr>
      </w:pPr>
      <w:r>
        <w:rPr>
          <w:rFonts w:ascii="Book Antiqua" w:hAnsi="Book Antiqua" w:cs="Arial"/>
        </w:rPr>
        <w:t xml:space="preserve">I indicated that I intended to reserve my decision to reflect upon the submissions in relation to error of law.  Both representatives submitted that if an error or law was </w:t>
      </w:r>
      <w:r>
        <w:rPr>
          <w:rFonts w:ascii="Book Antiqua" w:hAnsi="Book Antiqua" w:cs="Arial"/>
        </w:rPr>
        <w:lastRenderedPageBreak/>
        <w:t>found, which was material, the decision could be re</w:t>
      </w:r>
      <w:r w:rsidR="00D0417D">
        <w:rPr>
          <w:rFonts w:ascii="Book Antiqua" w:hAnsi="Book Antiqua" w:cs="Arial"/>
        </w:rPr>
        <w:t xml:space="preserve"> -</w:t>
      </w:r>
      <w:r>
        <w:rPr>
          <w:rFonts w:ascii="Book Antiqua" w:hAnsi="Book Antiqua" w:cs="Arial"/>
        </w:rPr>
        <w:t xml:space="preserve">made on the basis of the evidence that had been before the FTT, and there would be no need for a further hearing. </w:t>
      </w:r>
    </w:p>
    <w:p w14:paraId="18F59BD4" w14:textId="77777777" w:rsidR="009F2FE0" w:rsidRPr="009F2FE0" w:rsidRDefault="009F2FE0" w:rsidP="009F2FE0">
      <w:pPr>
        <w:spacing w:before="240"/>
        <w:jc w:val="both"/>
        <w:rPr>
          <w:rFonts w:ascii="Book Antiqua" w:hAnsi="Book Antiqua" w:cs="Arial"/>
          <w:b/>
        </w:rPr>
      </w:pPr>
      <w:r w:rsidRPr="009F2FE0">
        <w:rPr>
          <w:rFonts w:ascii="Book Antiqua" w:hAnsi="Book Antiqua" w:cs="Arial"/>
          <w:b/>
        </w:rPr>
        <w:t xml:space="preserve">My Conclusions and Reasons </w:t>
      </w:r>
    </w:p>
    <w:p w14:paraId="2167D129" w14:textId="7662E673" w:rsidR="009F2FE0" w:rsidRDefault="009F2FE0" w:rsidP="005E5DFF">
      <w:pPr>
        <w:numPr>
          <w:ilvl w:val="0"/>
          <w:numId w:val="3"/>
        </w:numPr>
        <w:spacing w:before="240"/>
        <w:jc w:val="both"/>
        <w:rPr>
          <w:rFonts w:ascii="Book Antiqua" w:hAnsi="Book Antiqua" w:cs="Arial"/>
        </w:rPr>
      </w:pPr>
      <w:r>
        <w:rPr>
          <w:rFonts w:ascii="Book Antiqua" w:hAnsi="Book Antiqua" w:cs="Arial"/>
        </w:rPr>
        <w:t xml:space="preserve">The decision of the FTT has been prepared with care, but I am persuaded that the judge erred in law in considering </w:t>
      </w:r>
      <w:r w:rsidR="00BC3CCE">
        <w:rPr>
          <w:rFonts w:ascii="Book Antiqua" w:hAnsi="Book Antiqua" w:cs="Arial"/>
        </w:rPr>
        <w:t>s</w:t>
      </w:r>
      <w:r w:rsidR="00A03FE7">
        <w:rPr>
          <w:rFonts w:ascii="Book Antiqua" w:hAnsi="Book Antiqua" w:cs="Arial"/>
        </w:rPr>
        <w:t>ection 117</w:t>
      </w:r>
      <w:proofErr w:type="gramStart"/>
      <w:r w:rsidR="00A03FE7">
        <w:rPr>
          <w:rFonts w:ascii="Book Antiqua" w:hAnsi="Book Antiqua" w:cs="Arial"/>
        </w:rPr>
        <w:t>B(</w:t>
      </w:r>
      <w:proofErr w:type="gramEnd"/>
      <w:r w:rsidR="00A03FE7">
        <w:rPr>
          <w:rFonts w:ascii="Book Antiqua" w:hAnsi="Book Antiqua" w:cs="Arial"/>
        </w:rPr>
        <w:t>6) for</w:t>
      </w:r>
      <w:r>
        <w:rPr>
          <w:rFonts w:ascii="Book Antiqua" w:hAnsi="Book Antiqua" w:cs="Arial"/>
        </w:rPr>
        <w:t xml:space="preserve"> the following reasons.  </w:t>
      </w:r>
    </w:p>
    <w:p w14:paraId="26CFCDC4" w14:textId="03DDE4D9" w:rsidR="009F2FE0" w:rsidRDefault="009F2FE0" w:rsidP="005E5DFF">
      <w:pPr>
        <w:numPr>
          <w:ilvl w:val="0"/>
          <w:numId w:val="3"/>
        </w:numPr>
        <w:spacing w:before="240"/>
        <w:jc w:val="both"/>
        <w:rPr>
          <w:rFonts w:ascii="Book Antiqua" w:hAnsi="Book Antiqua" w:cs="Arial"/>
        </w:rPr>
      </w:pPr>
      <w:r>
        <w:rPr>
          <w:rFonts w:ascii="Book Antiqua" w:hAnsi="Book Antiqua" w:cs="Arial"/>
        </w:rPr>
        <w:t xml:space="preserve">I set out below </w:t>
      </w:r>
      <w:r w:rsidR="00BC3CCE">
        <w:rPr>
          <w:rFonts w:ascii="Book Antiqua" w:hAnsi="Book Antiqua" w:cs="Arial"/>
        </w:rPr>
        <w:t>s</w:t>
      </w:r>
      <w:r>
        <w:rPr>
          <w:rFonts w:ascii="Book Antiqua" w:hAnsi="Book Antiqua" w:cs="Arial"/>
        </w:rPr>
        <w:t>ection 117</w:t>
      </w:r>
      <w:proofErr w:type="gramStart"/>
      <w:r>
        <w:rPr>
          <w:rFonts w:ascii="Book Antiqua" w:hAnsi="Book Antiqua" w:cs="Arial"/>
        </w:rPr>
        <w:t>B(</w:t>
      </w:r>
      <w:proofErr w:type="gramEnd"/>
      <w:r>
        <w:rPr>
          <w:rFonts w:ascii="Book Antiqua" w:hAnsi="Book Antiqua" w:cs="Arial"/>
        </w:rPr>
        <w:t xml:space="preserve">6); </w:t>
      </w:r>
    </w:p>
    <w:p w14:paraId="0D1590B4" w14:textId="77777777" w:rsidR="009F2FE0" w:rsidRPr="009F2FE0" w:rsidRDefault="009F2FE0" w:rsidP="009F2FE0">
      <w:pPr>
        <w:spacing w:before="240"/>
        <w:ind w:left="1134"/>
        <w:jc w:val="both"/>
        <w:rPr>
          <w:rFonts w:ascii="Book Antiqua" w:hAnsi="Book Antiqua" w:cs="Arial"/>
          <w:sz w:val="22"/>
          <w:szCs w:val="22"/>
        </w:rPr>
      </w:pPr>
      <w:r>
        <w:rPr>
          <w:rFonts w:ascii="Book Antiqua" w:hAnsi="Book Antiqua" w:cs="Arial"/>
          <w:sz w:val="22"/>
          <w:szCs w:val="22"/>
        </w:rPr>
        <w:t>“</w:t>
      </w:r>
      <w:r w:rsidRPr="009F2FE0">
        <w:rPr>
          <w:rFonts w:ascii="Book Antiqua" w:hAnsi="Book Antiqua" w:cs="Arial"/>
          <w:sz w:val="22"/>
          <w:szCs w:val="22"/>
        </w:rPr>
        <w:t>In the case of a person who is not liable to deportation, the public interest does not require the person’s removal where—</w:t>
      </w:r>
    </w:p>
    <w:p w14:paraId="0F5CFB39" w14:textId="77777777" w:rsidR="009F2FE0" w:rsidRPr="009F2FE0" w:rsidRDefault="009F2FE0" w:rsidP="009F2FE0">
      <w:pPr>
        <w:spacing w:before="240"/>
        <w:ind w:left="1701" w:hanging="567"/>
        <w:jc w:val="both"/>
        <w:rPr>
          <w:rFonts w:ascii="Book Antiqua" w:hAnsi="Book Antiqua" w:cs="Arial"/>
          <w:sz w:val="22"/>
          <w:szCs w:val="22"/>
        </w:rPr>
      </w:pPr>
      <w:r w:rsidRPr="009F2FE0">
        <w:rPr>
          <w:rFonts w:ascii="Book Antiqua" w:hAnsi="Book Antiqua" w:cs="Arial"/>
          <w:sz w:val="22"/>
          <w:szCs w:val="22"/>
        </w:rPr>
        <w:t>(a)</w:t>
      </w:r>
      <w:r>
        <w:rPr>
          <w:rFonts w:ascii="Book Antiqua" w:hAnsi="Book Antiqua" w:cs="Arial"/>
          <w:sz w:val="22"/>
          <w:szCs w:val="22"/>
        </w:rPr>
        <w:tab/>
      </w:r>
      <w:r w:rsidRPr="009F2FE0">
        <w:rPr>
          <w:rFonts w:ascii="Book Antiqua" w:hAnsi="Book Antiqua" w:cs="Arial"/>
          <w:sz w:val="22"/>
          <w:szCs w:val="22"/>
        </w:rPr>
        <w:t>the person has a genuine and subsisting parental relationship with a qualifying child, and</w:t>
      </w:r>
    </w:p>
    <w:p w14:paraId="7D1E6529" w14:textId="77777777" w:rsidR="009F2FE0" w:rsidRPr="009F2FE0" w:rsidRDefault="009F2FE0" w:rsidP="009F2FE0">
      <w:pPr>
        <w:spacing w:before="240"/>
        <w:ind w:left="1701" w:hanging="567"/>
        <w:jc w:val="both"/>
        <w:rPr>
          <w:rFonts w:ascii="Book Antiqua" w:hAnsi="Book Antiqua" w:cs="Arial"/>
          <w:sz w:val="22"/>
          <w:szCs w:val="22"/>
        </w:rPr>
      </w:pPr>
      <w:r w:rsidRPr="009F2FE0">
        <w:rPr>
          <w:rFonts w:ascii="Book Antiqua" w:hAnsi="Book Antiqua" w:cs="Arial"/>
          <w:sz w:val="22"/>
          <w:szCs w:val="22"/>
        </w:rPr>
        <w:t>(b)</w:t>
      </w:r>
      <w:r>
        <w:rPr>
          <w:rFonts w:ascii="Book Antiqua" w:hAnsi="Book Antiqua" w:cs="Arial"/>
          <w:sz w:val="22"/>
          <w:szCs w:val="22"/>
        </w:rPr>
        <w:tab/>
      </w:r>
      <w:r w:rsidRPr="009F2FE0">
        <w:rPr>
          <w:rFonts w:ascii="Book Antiqua" w:hAnsi="Book Antiqua" w:cs="Arial"/>
          <w:sz w:val="22"/>
          <w:szCs w:val="22"/>
        </w:rPr>
        <w:t>it would not be reasonable to expect the child to leave the United Kingdom.</w:t>
      </w:r>
      <w:r w:rsidR="00F05C45">
        <w:rPr>
          <w:rFonts w:ascii="Book Antiqua" w:hAnsi="Book Antiqua" w:cs="Arial"/>
          <w:sz w:val="22"/>
          <w:szCs w:val="22"/>
        </w:rPr>
        <w:t>”</w:t>
      </w:r>
    </w:p>
    <w:p w14:paraId="121BE396" w14:textId="77777777" w:rsidR="009F2FE0" w:rsidRDefault="00F05C45" w:rsidP="005E5DFF">
      <w:pPr>
        <w:numPr>
          <w:ilvl w:val="0"/>
          <w:numId w:val="3"/>
        </w:numPr>
        <w:spacing w:before="240"/>
        <w:jc w:val="both"/>
        <w:rPr>
          <w:rFonts w:ascii="Book Antiqua" w:hAnsi="Book Antiqua" w:cs="Arial"/>
        </w:rPr>
      </w:pPr>
      <w:r>
        <w:rPr>
          <w:rFonts w:ascii="Book Antiqua" w:hAnsi="Book Antiqua" w:cs="Arial"/>
        </w:rPr>
        <w:t xml:space="preserve">It is not in dispute that the Appellant’s son is British.  The judge found that the Appellant had established family life with his son, who was 6 months of age at the date of the FTT hearing.  </w:t>
      </w:r>
    </w:p>
    <w:p w14:paraId="52F6B78D" w14:textId="77777777" w:rsidR="00F05C45" w:rsidRDefault="00F05C45" w:rsidP="005E5DFF">
      <w:pPr>
        <w:numPr>
          <w:ilvl w:val="0"/>
          <w:numId w:val="3"/>
        </w:numPr>
        <w:spacing w:before="240"/>
        <w:jc w:val="both"/>
        <w:rPr>
          <w:rFonts w:ascii="Book Antiqua" w:hAnsi="Book Antiqua" w:cs="Arial"/>
        </w:rPr>
      </w:pPr>
      <w:r>
        <w:rPr>
          <w:rFonts w:ascii="Book Antiqua" w:hAnsi="Book Antiqua" w:cs="Arial"/>
        </w:rPr>
        <w:t>The judge found, and it has not been disputed, that the Appellant was not the primary carer of the child, as the Appellant did not live with his son, and his son’s mother.  It is the case that a Child Arrangements Order was made by the Family Court on 11</w:t>
      </w:r>
      <w:r w:rsidRPr="00F05C45">
        <w:rPr>
          <w:rFonts w:ascii="Book Antiqua" w:hAnsi="Book Antiqua" w:cs="Arial"/>
          <w:vertAlign w:val="superscript"/>
        </w:rPr>
        <w:t>th</w:t>
      </w:r>
      <w:r>
        <w:rPr>
          <w:rFonts w:ascii="Book Antiqua" w:hAnsi="Book Antiqua" w:cs="Arial"/>
        </w:rPr>
        <w:t xml:space="preserve"> December 2017, and thereafter the judge found that the Appellant has daily contact with his son.  </w:t>
      </w:r>
    </w:p>
    <w:p w14:paraId="5DEC6FB1" w14:textId="13684966" w:rsidR="00F05C45" w:rsidRDefault="00F05C45" w:rsidP="005E5DFF">
      <w:pPr>
        <w:numPr>
          <w:ilvl w:val="0"/>
          <w:numId w:val="3"/>
        </w:numPr>
        <w:spacing w:before="240"/>
        <w:jc w:val="both"/>
        <w:rPr>
          <w:rFonts w:ascii="Book Antiqua" w:hAnsi="Book Antiqua" w:cs="Arial"/>
        </w:rPr>
      </w:pPr>
      <w:r>
        <w:rPr>
          <w:rFonts w:ascii="Book Antiqua" w:hAnsi="Book Antiqua" w:cs="Arial"/>
        </w:rPr>
        <w:t xml:space="preserve">The findings made by the judge are contained at paragraphs 20 – 40 of his decision.  The only issue before the judge was </w:t>
      </w:r>
      <w:r w:rsidR="00BC3CCE">
        <w:rPr>
          <w:rFonts w:ascii="Book Antiqua" w:hAnsi="Book Antiqua" w:cs="Arial"/>
        </w:rPr>
        <w:t>s</w:t>
      </w:r>
      <w:r>
        <w:rPr>
          <w:rFonts w:ascii="Book Antiqua" w:hAnsi="Book Antiqua" w:cs="Arial"/>
        </w:rPr>
        <w:t>ection 117</w:t>
      </w:r>
      <w:proofErr w:type="gramStart"/>
      <w:r>
        <w:rPr>
          <w:rFonts w:ascii="Book Antiqua" w:hAnsi="Book Antiqua" w:cs="Arial"/>
        </w:rPr>
        <w:t>B(</w:t>
      </w:r>
      <w:proofErr w:type="gramEnd"/>
      <w:r>
        <w:rPr>
          <w:rFonts w:ascii="Book Antiqua" w:hAnsi="Book Antiqua" w:cs="Arial"/>
        </w:rPr>
        <w:t xml:space="preserve">6).  At paragraph 22 the judge finds; </w:t>
      </w:r>
    </w:p>
    <w:p w14:paraId="761FEB15" w14:textId="26B6E2B1" w:rsidR="000809FA" w:rsidRDefault="000809FA" w:rsidP="00A03FE7">
      <w:pPr>
        <w:spacing w:before="240"/>
        <w:ind w:left="1701" w:hanging="567"/>
        <w:jc w:val="both"/>
        <w:rPr>
          <w:rFonts w:ascii="Book Antiqua" w:hAnsi="Book Antiqua" w:cs="Arial"/>
        </w:rPr>
      </w:pPr>
      <w:r>
        <w:rPr>
          <w:rFonts w:ascii="Book Antiqua" w:hAnsi="Book Antiqua" w:cs="Arial"/>
        </w:rPr>
        <w:t>“</w:t>
      </w:r>
      <w:r w:rsidR="00A03FE7">
        <w:rPr>
          <w:rFonts w:ascii="Book Antiqua" w:hAnsi="Book Antiqua" w:cs="Arial"/>
        </w:rPr>
        <w:t>22.</w:t>
      </w:r>
      <w:r w:rsidR="00A03FE7">
        <w:rPr>
          <w:rFonts w:ascii="Book Antiqua" w:hAnsi="Book Antiqua" w:cs="Arial"/>
        </w:rPr>
        <w:tab/>
      </w:r>
      <w:r>
        <w:rPr>
          <w:rFonts w:ascii="Book Antiqua" w:hAnsi="Book Antiqua" w:cs="Arial"/>
        </w:rPr>
        <w:t>I accept that it would not be reasonable to ask the Appellant’s child and mother to leave this country but whilst I accept the Appellant has a genuine and subsisting relationship with his son, and that is a significant factor to have regard to, it is nevertheless not the only factor.”</w:t>
      </w:r>
    </w:p>
    <w:p w14:paraId="5285C07A" w14:textId="77F91A46" w:rsidR="00F05C45" w:rsidRDefault="000809FA" w:rsidP="005E5DFF">
      <w:pPr>
        <w:numPr>
          <w:ilvl w:val="0"/>
          <w:numId w:val="3"/>
        </w:numPr>
        <w:spacing w:before="240"/>
        <w:jc w:val="both"/>
        <w:rPr>
          <w:rFonts w:ascii="Book Antiqua" w:hAnsi="Book Antiqua" w:cs="Arial"/>
        </w:rPr>
      </w:pPr>
      <w:r>
        <w:rPr>
          <w:rFonts w:ascii="Book Antiqua" w:hAnsi="Book Antiqua" w:cs="Arial"/>
        </w:rPr>
        <w:t xml:space="preserve">The judge then goes on consider the best interests of the Appellant’s son, which would normally be considered prior to making a decision as to whether it would be reasonable to expect a qualifying child to leave the UK.  The judge at paragraph 26 finds that it would be in the best interests of the child as a British citizen to remain in the UK.  At paragraph 27 the judge finds that the best interests assessment does not automatically resolve the reasonableness question, and that where a child’s best interest is to remain in the UK, it may still not be unreasonable to require either the child or the parent to leave.  That finding cannot be faulted, but the judge has already made a finding that it would not be reasonable </w:t>
      </w:r>
      <w:r w:rsidR="0037772E">
        <w:rPr>
          <w:rFonts w:ascii="Book Antiqua" w:hAnsi="Book Antiqua" w:cs="Arial"/>
        </w:rPr>
        <w:t xml:space="preserve">to expect the child to leave the UK. </w:t>
      </w:r>
    </w:p>
    <w:p w14:paraId="2A71F208" w14:textId="2D044434" w:rsidR="0037772E" w:rsidRDefault="0037772E" w:rsidP="005E5DFF">
      <w:pPr>
        <w:numPr>
          <w:ilvl w:val="0"/>
          <w:numId w:val="3"/>
        </w:numPr>
        <w:spacing w:before="240"/>
        <w:jc w:val="both"/>
        <w:rPr>
          <w:rFonts w:ascii="Book Antiqua" w:hAnsi="Book Antiqua" w:cs="Arial"/>
        </w:rPr>
      </w:pPr>
      <w:r>
        <w:rPr>
          <w:rFonts w:ascii="Book Antiqua" w:hAnsi="Book Antiqua" w:cs="Arial"/>
        </w:rPr>
        <w:t xml:space="preserve">At this point in the decision the judge has therefore found that the Appellant is not liable to deportation, he has a genuine and subsisting relationship with a qualifying child, it would be in the child’s best interests to remain in the UK, and it would not be </w:t>
      </w:r>
      <w:r>
        <w:rPr>
          <w:rFonts w:ascii="Book Antiqua" w:hAnsi="Book Antiqua" w:cs="Arial"/>
        </w:rPr>
        <w:lastRenderedPageBreak/>
        <w:t xml:space="preserve">reasonable to expect the child to leave the UK.  Therefore, the judge has found that the requirements of </w:t>
      </w:r>
      <w:r w:rsidR="00BC3CCE">
        <w:rPr>
          <w:rFonts w:ascii="Book Antiqua" w:hAnsi="Book Antiqua" w:cs="Arial"/>
        </w:rPr>
        <w:t>s</w:t>
      </w:r>
      <w:r>
        <w:rPr>
          <w:rFonts w:ascii="Book Antiqua" w:hAnsi="Book Antiqua" w:cs="Arial"/>
        </w:rPr>
        <w:t>ection 117</w:t>
      </w:r>
      <w:proofErr w:type="gramStart"/>
      <w:r>
        <w:rPr>
          <w:rFonts w:ascii="Book Antiqua" w:hAnsi="Book Antiqua" w:cs="Arial"/>
        </w:rPr>
        <w:t>B(</w:t>
      </w:r>
      <w:proofErr w:type="gramEnd"/>
      <w:r>
        <w:rPr>
          <w:rFonts w:ascii="Book Antiqua" w:hAnsi="Book Antiqua" w:cs="Arial"/>
        </w:rPr>
        <w:t xml:space="preserve">6) are satisfied but then goes on to dismiss the appeal.  This, in my view is an error of law.  </w:t>
      </w:r>
    </w:p>
    <w:p w14:paraId="65A6CE1A" w14:textId="2F33E914" w:rsidR="0037772E" w:rsidRDefault="0037772E" w:rsidP="0037772E">
      <w:pPr>
        <w:numPr>
          <w:ilvl w:val="0"/>
          <w:numId w:val="3"/>
        </w:numPr>
        <w:spacing w:before="240"/>
        <w:jc w:val="both"/>
        <w:rPr>
          <w:rFonts w:ascii="Book Antiqua" w:hAnsi="Book Antiqua" w:cs="Arial"/>
        </w:rPr>
      </w:pPr>
      <w:r>
        <w:rPr>
          <w:rFonts w:ascii="Book Antiqua" w:hAnsi="Book Antiqua" w:cs="Arial"/>
        </w:rPr>
        <w:t xml:space="preserve">Having found that it would not be reasonable for the child to leave the UK, the judge dismisses the appeal because the Appellant has a very poor immigration history.  This should have been considered when deciding whether or not it would be reasonable to expect the child to leave the </w:t>
      </w:r>
      <w:r w:rsidR="00A03FE7">
        <w:rPr>
          <w:rFonts w:ascii="Book Antiqua" w:hAnsi="Book Antiqua" w:cs="Arial"/>
        </w:rPr>
        <w:t>UK.  With r</w:t>
      </w:r>
      <w:r>
        <w:rPr>
          <w:rFonts w:ascii="Book Antiqua" w:hAnsi="Book Antiqua" w:cs="Arial"/>
        </w:rPr>
        <w:t xml:space="preserve">eference to the conclusion as to the Appellant’s very poor immigration history, the judge did not have the benefit of the guidance in </w:t>
      </w:r>
      <w:r w:rsidRPr="00A03FE7">
        <w:rPr>
          <w:rFonts w:ascii="Book Antiqua" w:hAnsi="Book Antiqua" w:cs="Arial"/>
          <w:u w:val="single"/>
        </w:rPr>
        <w:t>MT and ET</w:t>
      </w:r>
      <w:r>
        <w:rPr>
          <w:rFonts w:ascii="Book Antiqua" w:hAnsi="Book Antiqua" w:cs="Arial"/>
        </w:rPr>
        <w:t xml:space="preserve"> which was published after the judge made his decision in this case.  </w:t>
      </w:r>
    </w:p>
    <w:p w14:paraId="51E1521A" w14:textId="75B281B9" w:rsidR="0037772E" w:rsidRDefault="0037772E" w:rsidP="0037772E">
      <w:pPr>
        <w:numPr>
          <w:ilvl w:val="0"/>
          <w:numId w:val="3"/>
        </w:numPr>
        <w:spacing w:before="240"/>
        <w:jc w:val="both"/>
        <w:rPr>
          <w:rFonts w:ascii="Book Antiqua" w:hAnsi="Book Antiqua" w:cs="Arial"/>
        </w:rPr>
      </w:pPr>
      <w:r>
        <w:rPr>
          <w:rFonts w:ascii="Book Antiqua" w:hAnsi="Book Antiqua" w:cs="Arial"/>
        </w:rPr>
        <w:t xml:space="preserve">I find the error of law to be material, and therefore set aside the decision of the FTT and proceed to re-make it. </w:t>
      </w:r>
    </w:p>
    <w:p w14:paraId="5C277CB5" w14:textId="46295C59" w:rsidR="0037772E" w:rsidRDefault="0037772E" w:rsidP="0037772E">
      <w:pPr>
        <w:numPr>
          <w:ilvl w:val="0"/>
          <w:numId w:val="3"/>
        </w:numPr>
        <w:spacing w:before="240"/>
        <w:jc w:val="both"/>
        <w:rPr>
          <w:rFonts w:ascii="Book Antiqua" w:hAnsi="Book Antiqua" w:cs="Arial"/>
        </w:rPr>
      </w:pPr>
      <w:r>
        <w:rPr>
          <w:rFonts w:ascii="Book Antiqua" w:hAnsi="Book Antiqua" w:cs="Arial"/>
        </w:rPr>
        <w:t>The issue it is whether it is reasonable to expect the child to leave the UK.  In considering th</w:t>
      </w:r>
      <w:r w:rsidR="004F3A25">
        <w:rPr>
          <w:rFonts w:ascii="Book Antiqua" w:hAnsi="Book Antiqua" w:cs="Arial"/>
        </w:rPr>
        <w:t xml:space="preserve">is I follow the guidance in </w:t>
      </w:r>
      <w:r w:rsidR="004F3A25" w:rsidRPr="004F3A25">
        <w:rPr>
          <w:rFonts w:ascii="Book Antiqua" w:hAnsi="Book Antiqua" w:cs="Arial"/>
          <w:u w:val="single"/>
        </w:rPr>
        <w:t>MA</w:t>
      </w:r>
      <w:r w:rsidR="004F3A25" w:rsidRPr="004F3A25">
        <w:rPr>
          <w:rFonts w:ascii="Book Antiqua" w:hAnsi="Book Antiqua" w:cs="Arial"/>
        </w:rPr>
        <w:t xml:space="preserve"> (Pakistan) [2016] EWCA </w:t>
      </w:r>
      <w:proofErr w:type="spellStart"/>
      <w:r w:rsidR="004F3A25" w:rsidRPr="004F3A25">
        <w:rPr>
          <w:rFonts w:ascii="Book Antiqua" w:hAnsi="Book Antiqua" w:cs="Arial"/>
        </w:rPr>
        <w:t>Civ</w:t>
      </w:r>
      <w:proofErr w:type="spellEnd"/>
      <w:r w:rsidR="004F3A25" w:rsidRPr="004F3A25">
        <w:rPr>
          <w:rFonts w:ascii="Book Antiqua" w:hAnsi="Book Antiqua" w:cs="Arial"/>
        </w:rPr>
        <w:t xml:space="preserve"> 705</w:t>
      </w:r>
      <w:r w:rsidR="004F3A25">
        <w:rPr>
          <w:rFonts w:ascii="Book Antiqua" w:hAnsi="Book Antiqua" w:cs="Arial"/>
        </w:rPr>
        <w:t xml:space="preserve">.  </w:t>
      </w:r>
    </w:p>
    <w:p w14:paraId="5D5BD900" w14:textId="30D4EBCD" w:rsidR="004F3A25" w:rsidRDefault="004F3A25" w:rsidP="0037772E">
      <w:pPr>
        <w:numPr>
          <w:ilvl w:val="0"/>
          <w:numId w:val="3"/>
        </w:numPr>
        <w:spacing w:before="240"/>
        <w:jc w:val="both"/>
        <w:rPr>
          <w:rFonts w:ascii="Book Antiqua" w:hAnsi="Book Antiqua" w:cs="Arial"/>
        </w:rPr>
      </w:pPr>
      <w:r>
        <w:rPr>
          <w:rFonts w:ascii="Book Antiqua" w:hAnsi="Book Antiqua" w:cs="Arial"/>
        </w:rPr>
        <w:t xml:space="preserve">The Tribunal must not focus on the position of the child alone but must have regard to the wider public interest, including the immigration history of the parent.  The fact that the child is British is a weighty consideration </w:t>
      </w:r>
      <w:r w:rsidR="00A03FE7">
        <w:rPr>
          <w:rFonts w:ascii="Book Antiqua" w:hAnsi="Book Antiqua" w:cs="Arial"/>
        </w:rPr>
        <w:t xml:space="preserve">and </w:t>
      </w:r>
      <w:r>
        <w:rPr>
          <w:rFonts w:ascii="Book Antiqua" w:hAnsi="Book Antiqua" w:cs="Arial"/>
        </w:rPr>
        <w:t xml:space="preserve">was described in </w:t>
      </w:r>
      <w:r w:rsidRPr="004F3A25">
        <w:rPr>
          <w:rFonts w:ascii="Book Antiqua" w:hAnsi="Book Antiqua" w:cs="Arial"/>
          <w:u w:val="single"/>
        </w:rPr>
        <w:t>ZH</w:t>
      </w:r>
      <w:r w:rsidRPr="004F3A25">
        <w:rPr>
          <w:rFonts w:ascii="Book Antiqua" w:hAnsi="Book Antiqua" w:cs="Arial"/>
        </w:rPr>
        <w:t xml:space="preserve"> (Tanzania) [2011] UKSC 4 </w:t>
      </w:r>
      <w:r>
        <w:rPr>
          <w:rFonts w:ascii="Book Antiqua" w:hAnsi="Book Antiqua" w:cs="Arial"/>
        </w:rPr>
        <w:t xml:space="preserve">as being of particular importance although not a trump card. </w:t>
      </w:r>
    </w:p>
    <w:p w14:paraId="12774CB4" w14:textId="4F9C7EEA" w:rsidR="004F3A25" w:rsidRDefault="004F3A25" w:rsidP="0037772E">
      <w:pPr>
        <w:numPr>
          <w:ilvl w:val="0"/>
          <w:numId w:val="3"/>
        </w:numPr>
        <w:spacing w:before="240"/>
        <w:jc w:val="both"/>
        <w:rPr>
          <w:rFonts w:ascii="Book Antiqua" w:hAnsi="Book Antiqua" w:cs="Arial"/>
        </w:rPr>
      </w:pPr>
      <w:r>
        <w:rPr>
          <w:rFonts w:ascii="Book Antiqua" w:hAnsi="Book Antiqua" w:cs="Arial"/>
        </w:rPr>
        <w:t xml:space="preserve">At paragraph 49 of </w:t>
      </w:r>
      <w:r w:rsidRPr="004F3A25">
        <w:rPr>
          <w:rFonts w:ascii="Book Antiqua" w:hAnsi="Book Antiqua" w:cs="Arial"/>
          <w:u w:val="single"/>
        </w:rPr>
        <w:t>MA</w:t>
      </w:r>
      <w:r w:rsidRPr="004F3A25">
        <w:rPr>
          <w:rFonts w:ascii="Book Antiqua" w:hAnsi="Book Antiqua" w:cs="Arial"/>
        </w:rPr>
        <w:t xml:space="preserve"> (Pakistan)</w:t>
      </w:r>
      <w:r w:rsidRPr="004F3A25">
        <w:rPr>
          <w:rFonts w:ascii="Book Antiqua" w:hAnsi="Book Antiqua" w:cs="Arial"/>
          <w:b/>
        </w:rPr>
        <w:t xml:space="preserve"> </w:t>
      </w:r>
      <w:r>
        <w:rPr>
          <w:rFonts w:ascii="Book Antiqua" w:hAnsi="Book Antiqua" w:cs="Arial"/>
        </w:rPr>
        <w:t xml:space="preserve">it is stated </w:t>
      </w:r>
      <w:r w:rsidR="00A03FE7">
        <w:rPr>
          <w:rFonts w:ascii="Book Antiqua" w:hAnsi="Book Antiqua" w:cs="Arial"/>
        </w:rPr>
        <w:t xml:space="preserve">that </w:t>
      </w:r>
      <w:r>
        <w:rPr>
          <w:rFonts w:ascii="Book Antiqua" w:hAnsi="Book Antiqua" w:cs="Arial"/>
        </w:rPr>
        <w:t xml:space="preserve">when considering </w:t>
      </w:r>
      <w:r w:rsidR="00BC3CCE">
        <w:rPr>
          <w:rFonts w:ascii="Book Antiqua" w:hAnsi="Book Antiqua" w:cs="Arial"/>
        </w:rPr>
        <w:t>s</w:t>
      </w:r>
      <w:r>
        <w:rPr>
          <w:rFonts w:ascii="Book Antiqua" w:hAnsi="Book Antiqua" w:cs="Arial"/>
        </w:rPr>
        <w:t>ection 117</w:t>
      </w:r>
      <w:proofErr w:type="gramStart"/>
      <w:r>
        <w:rPr>
          <w:rFonts w:ascii="Book Antiqua" w:hAnsi="Book Antiqua" w:cs="Arial"/>
        </w:rPr>
        <w:t>B(</w:t>
      </w:r>
      <w:proofErr w:type="gramEnd"/>
      <w:r>
        <w:rPr>
          <w:rFonts w:ascii="Book Antiqua" w:hAnsi="Book Antiqua" w:cs="Arial"/>
        </w:rPr>
        <w:t>6) in relation to a qualifying child</w:t>
      </w:r>
      <w:r w:rsidR="00A03FE7">
        <w:rPr>
          <w:rFonts w:ascii="Book Antiqua" w:hAnsi="Book Antiqua" w:cs="Arial"/>
        </w:rPr>
        <w:t>, t</w:t>
      </w:r>
      <w:r>
        <w:rPr>
          <w:rFonts w:ascii="Book Antiqua" w:hAnsi="Book Antiqua" w:cs="Arial"/>
        </w:rPr>
        <w:t>he fact that a child has been in the UK for seven years would need to be given significant weight in the proportionality exercise for two related reasons.  First, because of its relevance to determining the nature and strength of the child’s best interest</w:t>
      </w:r>
      <w:r w:rsidR="00551653">
        <w:rPr>
          <w:rFonts w:ascii="Book Antiqua" w:hAnsi="Book Antiqua" w:cs="Arial"/>
        </w:rPr>
        <w:t>s</w:t>
      </w:r>
      <w:r>
        <w:rPr>
          <w:rFonts w:ascii="Book Antiqua" w:hAnsi="Book Antiqua" w:cs="Arial"/>
        </w:rPr>
        <w:t xml:space="preserve">, and second, because it establishes the starting point that leave should be granted unless there are powerful reasons to the contrary.  I find that a child who is a qualifying child by reason of British citizenship, is analogous to a foreign national child who has accrued seven years’ residence.  I therefore find that the guidance in </w:t>
      </w:r>
      <w:r w:rsidRPr="004F3A25">
        <w:rPr>
          <w:rFonts w:ascii="Book Antiqua" w:hAnsi="Book Antiqua" w:cs="Arial"/>
          <w:u w:val="single"/>
        </w:rPr>
        <w:t>MA</w:t>
      </w:r>
      <w:r>
        <w:rPr>
          <w:rFonts w:ascii="Book Antiqua" w:hAnsi="Book Antiqua" w:cs="Arial"/>
        </w:rPr>
        <w:t xml:space="preserve"> is that leave should be granted so that a British child can remain in the UK unless there are powerful reasons to the contrary.  </w:t>
      </w:r>
    </w:p>
    <w:p w14:paraId="6007AA4E" w14:textId="5322B2B8" w:rsidR="004F3A25" w:rsidRDefault="004F3A25" w:rsidP="00551653">
      <w:pPr>
        <w:numPr>
          <w:ilvl w:val="0"/>
          <w:numId w:val="3"/>
        </w:numPr>
        <w:tabs>
          <w:tab w:val="left" w:pos="3686"/>
        </w:tabs>
        <w:spacing w:before="240"/>
        <w:jc w:val="both"/>
        <w:rPr>
          <w:rFonts w:ascii="Book Antiqua" w:hAnsi="Book Antiqua" w:cs="Arial"/>
        </w:rPr>
      </w:pPr>
      <w:r>
        <w:rPr>
          <w:rFonts w:ascii="Book Antiqua" w:hAnsi="Book Antiqua" w:cs="Arial"/>
        </w:rPr>
        <w:t xml:space="preserve">In considering powerful reasons I take into account the guidance in </w:t>
      </w:r>
      <w:r w:rsidRPr="004F3A25">
        <w:rPr>
          <w:rFonts w:ascii="Book Antiqua" w:hAnsi="Book Antiqua" w:cs="Arial"/>
          <w:u w:val="single"/>
        </w:rPr>
        <w:t>MT and ET</w:t>
      </w:r>
      <w:r>
        <w:rPr>
          <w:rFonts w:ascii="Book Antiqua" w:hAnsi="Book Antiqua" w:cs="Arial"/>
        </w:rPr>
        <w:t xml:space="preserve">.  At paragraph 34 the </w:t>
      </w:r>
      <w:r w:rsidR="007A646A">
        <w:rPr>
          <w:rFonts w:ascii="Book Antiqua" w:hAnsi="Book Antiqua" w:cs="Arial"/>
        </w:rPr>
        <w:t>P</w:t>
      </w:r>
      <w:r>
        <w:rPr>
          <w:rFonts w:ascii="Book Antiqua" w:hAnsi="Book Antiqua" w:cs="Arial"/>
        </w:rPr>
        <w:t xml:space="preserve">resident of the Upper Tribunal found that the parent of a child who was seeking leave to remain had received a community sentence for a criminal offence of using a false document to obtain employment, and was described as abusing the immigration laws of the UK.  The parent in that case had overstayed following entry clearance as a visitor, made a claim for asylum that was found to be false, and had then pursued various legal means of remaining in the UK.  The behaviour of that parent was described as unlawful, but the immigration history was found to be not so bad as to constitute the kind of powerful reason that would render reasonable the removal of the child from the UK.  The child in that case had accrued more than seven years’ residence in the UK but was not a British citizen.  </w:t>
      </w:r>
    </w:p>
    <w:p w14:paraId="6D33CC94" w14:textId="207B9852" w:rsidR="004F3A25" w:rsidRDefault="00BC3CCE" w:rsidP="0037772E">
      <w:pPr>
        <w:numPr>
          <w:ilvl w:val="0"/>
          <w:numId w:val="3"/>
        </w:numPr>
        <w:spacing w:before="240"/>
        <w:jc w:val="both"/>
        <w:rPr>
          <w:rFonts w:ascii="Book Antiqua" w:hAnsi="Book Antiqua" w:cs="Arial"/>
        </w:rPr>
      </w:pPr>
      <w:r>
        <w:rPr>
          <w:rFonts w:ascii="Book Antiqua" w:hAnsi="Book Antiqua" w:cs="Arial"/>
        </w:rPr>
        <w:t>I also consider the R</w:t>
      </w:r>
      <w:r w:rsidR="004F3A25">
        <w:rPr>
          <w:rFonts w:ascii="Book Antiqua" w:hAnsi="Book Antiqua" w:cs="Arial"/>
        </w:rPr>
        <w:t>espondent’s guidance on whether it is reasonable to expect a B</w:t>
      </w:r>
      <w:r>
        <w:rPr>
          <w:rFonts w:ascii="Book Antiqua" w:hAnsi="Book Antiqua" w:cs="Arial"/>
        </w:rPr>
        <w:t xml:space="preserve">ritish child to leave the UK, in accordance with </w:t>
      </w:r>
      <w:r w:rsidRPr="00BC3CCE">
        <w:rPr>
          <w:rFonts w:ascii="Book Antiqua" w:hAnsi="Book Antiqua" w:cs="Arial"/>
          <w:u w:val="single"/>
        </w:rPr>
        <w:t>SF and Others</w:t>
      </w:r>
      <w:r>
        <w:rPr>
          <w:rFonts w:ascii="Book Antiqua" w:hAnsi="Book Antiqua" w:cs="Arial"/>
        </w:rPr>
        <w:t xml:space="preserve"> (Albania) [2017] UKUT </w:t>
      </w:r>
      <w:r>
        <w:rPr>
          <w:rFonts w:ascii="Book Antiqua" w:hAnsi="Book Antiqua" w:cs="Arial"/>
        </w:rPr>
        <w:lastRenderedPageBreak/>
        <w:t>00120 (IAC).  This is not the guidance that was before the FTT, but is the updated guidance published on 22</w:t>
      </w:r>
      <w:r w:rsidRPr="00BC3CCE">
        <w:rPr>
          <w:rFonts w:ascii="Book Antiqua" w:hAnsi="Book Antiqua" w:cs="Arial"/>
          <w:vertAlign w:val="superscript"/>
        </w:rPr>
        <w:t>nd</w:t>
      </w:r>
      <w:r>
        <w:rPr>
          <w:rFonts w:ascii="Book Antiqua" w:hAnsi="Book Antiqua" w:cs="Arial"/>
        </w:rPr>
        <w:t xml:space="preserve"> February 2018.  That guidance indicates at page 73 that if departure of the parent or primary carer would not result in the child being required to leave </w:t>
      </w:r>
      <w:r w:rsidR="00551653">
        <w:rPr>
          <w:rFonts w:ascii="Book Antiqua" w:hAnsi="Book Antiqua" w:cs="Arial"/>
        </w:rPr>
        <w:t>t</w:t>
      </w:r>
      <w:r>
        <w:rPr>
          <w:rFonts w:ascii="Book Antiqua" w:hAnsi="Book Antiqua" w:cs="Arial"/>
        </w:rPr>
        <w:t xml:space="preserve">he UK because the child will always </w:t>
      </w:r>
      <w:r w:rsidR="00551653">
        <w:rPr>
          <w:rFonts w:ascii="Book Antiqua" w:hAnsi="Book Antiqua" w:cs="Arial"/>
        </w:rPr>
        <w:t xml:space="preserve">be </w:t>
      </w:r>
      <w:r>
        <w:rPr>
          <w:rFonts w:ascii="Book Antiqua" w:hAnsi="Book Antiqua" w:cs="Arial"/>
        </w:rPr>
        <w:t>likely to remain living in the UK with another parent or primary carer, the question of whether it is reasonable to expect the child to leave the UK will not arise.</w:t>
      </w:r>
      <w:r w:rsidR="00D4007D">
        <w:rPr>
          <w:rFonts w:ascii="Book Antiqua" w:hAnsi="Book Antiqua" w:cs="Arial"/>
        </w:rPr>
        <w:t xml:space="preserve"> I was not referred to caselaw on this point and</w:t>
      </w:r>
      <w:r>
        <w:rPr>
          <w:rFonts w:ascii="Book Antiqua" w:hAnsi="Book Antiqua" w:cs="Arial"/>
        </w:rPr>
        <w:t xml:space="preserve"> I do not accept that I need not consider reasonableness, even if it is possible or likely that the child would remain in the UK if the parent had to leave.  In my view in this case it is likely that the child would remain in the UK with his mother even if the Appellant had to leave.  However, I find that the wording in section 117</w:t>
      </w:r>
      <w:proofErr w:type="gramStart"/>
      <w:r>
        <w:rPr>
          <w:rFonts w:ascii="Book Antiqua" w:hAnsi="Book Antiqua" w:cs="Arial"/>
        </w:rPr>
        <w:t>B(</w:t>
      </w:r>
      <w:proofErr w:type="gramEnd"/>
      <w:r>
        <w:rPr>
          <w:rFonts w:ascii="Book Antiqua" w:hAnsi="Book Antiqua" w:cs="Arial"/>
        </w:rPr>
        <w:t>6) indicate</w:t>
      </w:r>
      <w:r w:rsidR="00551653">
        <w:rPr>
          <w:rFonts w:ascii="Book Antiqua" w:hAnsi="Book Antiqua" w:cs="Arial"/>
        </w:rPr>
        <w:t>s</w:t>
      </w:r>
      <w:r>
        <w:rPr>
          <w:rFonts w:ascii="Book Antiqua" w:hAnsi="Book Antiqua" w:cs="Arial"/>
        </w:rPr>
        <w:t xml:space="preserve"> that I must consider whether it </w:t>
      </w:r>
      <w:r w:rsidRPr="00BC3CCE">
        <w:rPr>
          <w:rFonts w:ascii="Book Antiqua" w:hAnsi="Book Antiqua" w:cs="Arial"/>
          <w:u w:val="single"/>
        </w:rPr>
        <w:t>would</w:t>
      </w:r>
      <w:r>
        <w:rPr>
          <w:rFonts w:ascii="Book Antiqua" w:hAnsi="Book Antiqua" w:cs="Arial"/>
        </w:rPr>
        <w:t xml:space="preserve"> not be reasonable to expect the child to leave the United Kingdom.  I therefore conclude that I must consider reasonableness.  </w:t>
      </w:r>
    </w:p>
    <w:p w14:paraId="44DF976A" w14:textId="178AD16C" w:rsidR="00BC3CCE" w:rsidRDefault="00BC3CCE" w:rsidP="00BC3CCE">
      <w:pPr>
        <w:numPr>
          <w:ilvl w:val="0"/>
          <w:numId w:val="3"/>
        </w:numPr>
        <w:spacing w:before="240"/>
        <w:jc w:val="both"/>
        <w:rPr>
          <w:rFonts w:ascii="Book Antiqua" w:hAnsi="Book Antiqua" w:cs="Arial"/>
        </w:rPr>
      </w:pPr>
      <w:r>
        <w:rPr>
          <w:rFonts w:ascii="Book Antiqua" w:hAnsi="Book Antiqua" w:cs="Arial"/>
        </w:rPr>
        <w:t>The Respondent’s guidance goes on at page 76 to indicate that where a child is a British citizen it would not be reasonable to expect them to leave the UK with the applicant parent or primary carer facing removal unless the conduct of the parent or primary carer gives rise to public interest considerations of such weight as to justify their removal and the British citizen child could remain in the UK with another parent or alternative primary carer.  The c</w:t>
      </w:r>
      <w:r w:rsidR="00551653">
        <w:rPr>
          <w:rFonts w:ascii="Book Antiqua" w:hAnsi="Book Antiqua" w:cs="Arial"/>
        </w:rPr>
        <w:t>ircumstances envisaged include</w:t>
      </w:r>
      <w:r>
        <w:rPr>
          <w:rFonts w:ascii="Book Antiqua" w:hAnsi="Book Antiqua" w:cs="Arial"/>
        </w:rPr>
        <w:t xml:space="preserve"> an individual who has committed significant or persistent criminal offences falling below the threshold for deportation set out in paragraph 398 of the Immigration Rules, or has a very poor immigration history, having repeatedly and deliberately breached the Immigration Rules.</w:t>
      </w:r>
    </w:p>
    <w:p w14:paraId="02696D74" w14:textId="0AD19267" w:rsidR="00BC3CCE" w:rsidRDefault="00BC3CCE" w:rsidP="00BC3CCE">
      <w:pPr>
        <w:numPr>
          <w:ilvl w:val="0"/>
          <w:numId w:val="3"/>
        </w:numPr>
        <w:spacing w:before="240"/>
        <w:jc w:val="both"/>
        <w:rPr>
          <w:rFonts w:ascii="Book Antiqua" w:hAnsi="Book Antiqua" w:cs="Arial"/>
        </w:rPr>
      </w:pPr>
      <w:r>
        <w:rPr>
          <w:rFonts w:ascii="Book Antiqua" w:hAnsi="Book Antiqua" w:cs="Arial"/>
        </w:rPr>
        <w:t xml:space="preserve">The Appellant does not have any criminal convictions.  He is therefore in a more advantageous position than the parent considered in </w:t>
      </w:r>
      <w:r w:rsidRPr="00BC3CCE">
        <w:rPr>
          <w:rFonts w:ascii="Book Antiqua" w:hAnsi="Book Antiqua" w:cs="Arial"/>
          <w:u w:val="single"/>
        </w:rPr>
        <w:t>MT and ET</w:t>
      </w:r>
      <w:r>
        <w:rPr>
          <w:rFonts w:ascii="Book Antiqua" w:hAnsi="Book Antiqua" w:cs="Arial"/>
        </w:rPr>
        <w:t>.  He is in a similar position to the parent in that case by having entered</w:t>
      </w:r>
      <w:r w:rsidR="00551653">
        <w:rPr>
          <w:rFonts w:ascii="Book Antiqua" w:hAnsi="Book Antiqua" w:cs="Arial"/>
        </w:rPr>
        <w:t xml:space="preserve"> the UK as a visitor, and </w:t>
      </w:r>
      <w:r>
        <w:rPr>
          <w:rFonts w:ascii="Book Antiqua" w:hAnsi="Book Antiqua" w:cs="Arial"/>
        </w:rPr>
        <w:t xml:space="preserve">then having overstayed and made an asylum claim, which was dismissed.  He is in a similar position having remained in the UK following the dismissal of his asylum claim and becoming appeal rights exhausted.  Again, his history is similar in that he has made further attempts to remain in the UK by making applications for leave. </w:t>
      </w:r>
    </w:p>
    <w:p w14:paraId="123FF061" w14:textId="69A511E2" w:rsidR="00BC3CCE" w:rsidRDefault="00BC3CCE" w:rsidP="00BC3CCE">
      <w:pPr>
        <w:numPr>
          <w:ilvl w:val="0"/>
          <w:numId w:val="3"/>
        </w:numPr>
        <w:spacing w:before="240"/>
        <w:jc w:val="both"/>
        <w:rPr>
          <w:rFonts w:ascii="Book Antiqua" w:hAnsi="Book Antiqua" w:cs="Arial"/>
        </w:rPr>
      </w:pPr>
      <w:r>
        <w:rPr>
          <w:rFonts w:ascii="Book Antiqua" w:hAnsi="Book Antiqua" w:cs="Arial"/>
        </w:rPr>
        <w:t xml:space="preserve">Having placed very significant weight upon the conclusion reached in </w:t>
      </w:r>
      <w:r w:rsidRPr="00BC3CCE">
        <w:rPr>
          <w:rFonts w:ascii="Book Antiqua" w:hAnsi="Book Antiqua" w:cs="Arial"/>
          <w:u w:val="single"/>
        </w:rPr>
        <w:t>MT and ET</w:t>
      </w:r>
      <w:r>
        <w:rPr>
          <w:rFonts w:ascii="Book Antiqua" w:hAnsi="Book Antiqua" w:cs="Arial"/>
        </w:rPr>
        <w:t xml:space="preserve">, I do not find that it can be said that the Appellant has a very poor immigration history, having repeatedly and deliberately breached the Immigration Rules.  </w:t>
      </w:r>
    </w:p>
    <w:p w14:paraId="6197B3FA" w14:textId="3319F528" w:rsidR="00BC3CCE" w:rsidRPr="00BC3CCE" w:rsidRDefault="00BC3CCE" w:rsidP="00BC3CCE">
      <w:pPr>
        <w:numPr>
          <w:ilvl w:val="0"/>
          <w:numId w:val="3"/>
        </w:numPr>
        <w:spacing w:before="240"/>
        <w:jc w:val="both"/>
        <w:rPr>
          <w:rFonts w:ascii="Book Antiqua" w:hAnsi="Book Antiqua" w:cs="Arial"/>
        </w:rPr>
      </w:pPr>
      <w:r>
        <w:rPr>
          <w:rFonts w:ascii="Book Antiqua" w:hAnsi="Book Antiqua" w:cs="Arial"/>
        </w:rPr>
        <w:t>I therefore conclude that it would not be reasonable to expect the Appellant’s British son to leave the UK and the appeal falls to be allowed with reference to section 117</w:t>
      </w:r>
      <w:proofErr w:type="gramStart"/>
      <w:r>
        <w:rPr>
          <w:rFonts w:ascii="Book Antiqua" w:hAnsi="Book Antiqua" w:cs="Arial"/>
        </w:rPr>
        <w:t>B(</w:t>
      </w:r>
      <w:proofErr w:type="gramEnd"/>
      <w:r>
        <w:rPr>
          <w:rFonts w:ascii="Book Antiqua" w:hAnsi="Book Antiqua" w:cs="Arial"/>
        </w:rPr>
        <w:t xml:space="preserve">6) and Article 8 of the 1950 Convention.  </w:t>
      </w:r>
    </w:p>
    <w:p w14:paraId="7035E6BA" w14:textId="77777777"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5EE168AD" w14:textId="77777777" w:rsidR="00F13D39" w:rsidRPr="00F13D39" w:rsidRDefault="00F13D39" w:rsidP="00F13D39">
      <w:pPr>
        <w:jc w:val="both"/>
        <w:rPr>
          <w:rFonts w:ascii="Book Antiqua" w:hAnsi="Book Antiqua" w:cs="Arial"/>
        </w:rPr>
      </w:pPr>
    </w:p>
    <w:p w14:paraId="1E8A2C92" w14:textId="40D3C3FD" w:rsidR="00F13D39" w:rsidRDefault="00BC3CCE" w:rsidP="00F13D39">
      <w:pPr>
        <w:jc w:val="both"/>
        <w:rPr>
          <w:rFonts w:ascii="Book Antiqua" w:hAnsi="Book Antiqua" w:cs="Arial"/>
        </w:rPr>
      </w:pPr>
      <w:r>
        <w:rPr>
          <w:rFonts w:ascii="Book Antiqua" w:hAnsi="Book Antiqua" w:cs="Arial"/>
        </w:rPr>
        <w:t xml:space="preserve">The decision of the First-tier Tribunal contained an error of law and was set aside.  I substitute a fresh decision. </w:t>
      </w:r>
    </w:p>
    <w:p w14:paraId="17128EEA" w14:textId="56504FF6" w:rsidR="00BC3CCE" w:rsidRDefault="00BC3CCE" w:rsidP="00F13D39">
      <w:pPr>
        <w:jc w:val="both"/>
        <w:rPr>
          <w:rFonts w:ascii="Book Antiqua" w:hAnsi="Book Antiqua" w:cs="Arial"/>
        </w:rPr>
      </w:pPr>
    </w:p>
    <w:p w14:paraId="4021D04A" w14:textId="0CF4DFA1" w:rsidR="00176384" w:rsidRDefault="00BC3CCE" w:rsidP="00F13D39">
      <w:pPr>
        <w:jc w:val="both"/>
        <w:rPr>
          <w:rFonts w:ascii="Book Antiqua" w:hAnsi="Book Antiqua" w:cs="Arial"/>
        </w:rPr>
      </w:pPr>
      <w:r>
        <w:rPr>
          <w:rFonts w:ascii="Book Antiqua" w:hAnsi="Book Antiqua" w:cs="Arial"/>
        </w:rPr>
        <w:t>The appeal is allowed on human rights grounds with reference to Article 8 of the 1950 Convention.</w:t>
      </w:r>
    </w:p>
    <w:p w14:paraId="2933CB94" w14:textId="4E8E89FE" w:rsidR="00176384" w:rsidRDefault="00176384" w:rsidP="00F13D39">
      <w:pPr>
        <w:jc w:val="both"/>
        <w:rPr>
          <w:rFonts w:ascii="Book Antiqua" w:hAnsi="Book Antiqua" w:cs="Arial"/>
        </w:rPr>
      </w:pPr>
    </w:p>
    <w:p w14:paraId="4D50AA3E" w14:textId="77777777" w:rsidR="00176384" w:rsidRDefault="00176384" w:rsidP="00F13D39">
      <w:pPr>
        <w:jc w:val="both"/>
        <w:rPr>
          <w:rFonts w:ascii="Book Antiqua" w:hAnsi="Book Antiqua" w:cs="Arial"/>
        </w:rPr>
      </w:pPr>
    </w:p>
    <w:p w14:paraId="3E0AC3AF" w14:textId="6902D3E6" w:rsidR="00BC3CCE" w:rsidRDefault="00BC3CCE" w:rsidP="00F13D39">
      <w:pPr>
        <w:jc w:val="both"/>
        <w:rPr>
          <w:rFonts w:ascii="Book Antiqua" w:hAnsi="Book Antiqua" w:cs="Arial"/>
        </w:rPr>
      </w:pPr>
    </w:p>
    <w:p w14:paraId="2C88128C" w14:textId="773E6DB8" w:rsidR="00BC3CCE" w:rsidRPr="00F13D39" w:rsidRDefault="00BC3CCE" w:rsidP="00F13D39">
      <w:pPr>
        <w:jc w:val="both"/>
        <w:rPr>
          <w:rFonts w:ascii="Book Antiqua" w:hAnsi="Book Antiqua" w:cs="Arial"/>
        </w:rPr>
      </w:pPr>
      <w:r>
        <w:rPr>
          <w:rFonts w:ascii="Book Antiqua" w:hAnsi="Book Antiqua" w:cs="Arial"/>
        </w:rPr>
        <w:t xml:space="preserve">No anonymity direction was made by the FTT.  There has been no request made for anonymity to the Upper Tribunal and I see no need to make an anonymity direction.  </w:t>
      </w:r>
    </w:p>
    <w:p w14:paraId="35DCB275" w14:textId="77777777" w:rsidR="00F13D39" w:rsidRPr="00F13D39" w:rsidRDefault="00F13D39" w:rsidP="00F13D39">
      <w:pPr>
        <w:jc w:val="both"/>
        <w:rPr>
          <w:rFonts w:ascii="Book Antiqua" w:hAnsi="Book Antiqua" w:cs="Arial"/>
        </w:rPr>
      </w:pPr>
    </w:p>
    <w:p w14:paraId="4851B70A" w14:textId="77777777" w:rsidR="00F13D39" w:rsidRPr="00F5664C" w:rsidRDefault="00F13D39" w:rsidP="000369F5">
      <w:pPr>
        <w:tabs>
          <w:tab w:val="left" w:pos="2520"/>
        </w:tabs>
        <w:jc w:val="both"/>
        <w:rPr>
          <w:rFonts w:ascii="Book Antiqua" w:hAnsi="Book Antiqua" w:cs="Arial"/>
        </w:rPr>
      </w:pPr>
    </w:p>
    <w:p w14:paraId="01E7D53A"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35EBB656" w14:textId="77777777" w:rsidR="001F2716" w:rsidRPr="00F5664C" w:rsidRDefault="001F2716" w:rsidP="000369F5">
      <w:pPr>
        <w:tabs>
          <w:tab w:val="left" w:pos="2520"/>
        </w:tabs>
        <w:jc w:val="both"/>
        <w:rPr>
          <w:rFonts w:ascii="Book Antiqua" w:hAnsi="Book Antiqua" w:cs="Arial"/>
        </w:rPr>
      </w:pPr>
    </w:p>
    <w:p w14:paraId="6A6922FE" w14:textId="3EB66EC1"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r w:rsidR="00BC3CCE">
        <w:rPr>
          <w:rFonts w:ascii="Book Antiqua" w:hAnsi="Book Antiqua" w:cs="Arial"/>
        </w:rPr>
        <w:tab/>
      </w:r>
      <w:r w:rsidR="00BC3CCE">
        <w:rPr>
          <w:rFonts w:ascii="Book Antiqua" w:hAnsi="Book Antiqua" w:cs="Arial"/>
        </w:rPr>
        <w:tab/>
      </w:r>
      <w:r w:rsidR="00BC3CCE">
        <w:rPr>
          <w:rFonts w:ascii="Book Antiqua" w:hAnsi="Book Antiqua" w:cs="Arial"/>
        </w:rPr>
        <w:tab/>
        <w:t>10</w:t>
      </w:r>
      <w:r w:rsidR="00BC3CCE" w:rsidRPr="00BC3CCE">
        <w:rPr>
          <w:rFonts w:ascii="Book Antiqua" w:hAnsi="Book Antiqua" w:cs="Arial"/>
          <w:vertAlign w:val="superscript"/>
        </w:rPr>
        <w:t>th</w:t>
      </w:r>
      <w:r w:rsidR="00BC3CCE">
        <w:rPr>
          <w:rFonts w:ascii="Book Antiqua" w:hAnsi="Book Antiqua" w:cs="Arial"/>
        </w:rPr>
        <w:t xml:space="preserve"> July 2018</w:t>
      </w:r>
    </w:p>
    <w:p w14:paraId="16B21E86" w14:textId="46BD2BF8" w:rsidR="00F13D39" w:rsidRDefault="00F13D39" w:rsidP="000369F5">
      <w:pPr>
        <w:tabs>
          <w:tab w:val="left" w:pos="2520"/>
        </w:tabs>
        <w:jc w:val="both"/>
        <w:rPr>
          <w:rFonts w:ascii="Book Antiqua" w:hAnsi="Book Antiqua" w:cs="Arial"/>
        </w:rPr>
      </w:pPr>
    </w:p>
    <w:p w14:paraId="624CA089" w14:textId="713C4C80" w:rsidR="00B15233" w:rsidRDefault="00B15233" w:rsidP="000369F5">
      <w:pPr>
        <w:tabs>
          <w:tab w:val="left" w:pos="2520"/>
        </w:tabs>
        <w:jc w:val="both"/>
        <w:rPr>
          <w:rFonts w:ascii="Book Antiqua" w:hAnsi="Book Antiqua" w:cs="Arial"/>
        </w:rPr>
      </w:pPr>
    </w:p>
    <w:p w14:paraId="314FBBDE" w14:textId="683C624A" w:rsidR="00B15233" w:rsidRDefault="00B15233" w:rsidP="000369F5">
      <w:pPr>
        <w:tabs>
          <w:tab w:val="left" w:pos="2520"/>
        </w:tabs>
        <w:jc w:val="both"/>
        <w:rPr>
          <w:rFonts w:ascii="Book Antiqua" w:hAnsi="Book Antiqua" w:cs="Arial"/>
        </w:rPr>
      </w:pPr>
    </w:p>
    <w:p w14:paraId="6F938CF8" w14:textId="77777777" w:rsidR="00B15233" w:rsidRDefault="00B15233" w:rsidP="000369F5">
      <w:pPr>
        <w:tabs>
          <w:tab w:val="left" w:pos="2520"/>
        </w:tabs>
        <w:jc w:val="both"/>
        <w:rPr>
          <w:rFonts w:ascii="Book Antiqua" w:hAnsi="Book Antiqua" w:cs="Arial"/>
        </w:rPr>
      </w:pPr>
    </w:p>
    <w:p w14:paraId="4A49C7DB" w14:textId="77777777"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14:paraId="0B84F9D9"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0771B2C8" w14:textId="77777777" w:rsidR="00F13D39" w:rsidRPr="00F13D39" w:rsidRDefault="00F13D39" w:rsidP="00F13D39">
      <w:pPr>
        <w:ind w:left="567" w:hanging="567"/>
        <w:jc w:val="both"/>
        <w:rPr>
          <w:rFonts w:ascii="Book Antiqua" w:hAnsi="Book Antiqua" w:cs="Arial"/>
        </w:rPr>
      </w:pPr>
    </w:p>
    <w:p w14:paraId="5F51BEB0" w14:textId="4214A483" w:rsidR="00F13D39" w:rsidRDefault="00F13D39" w:rsidP="00BC3CCE">
      <w:pPr>
        <w:jc w:val="both"/>
        <w:rPr>
          <w:rFonts w:ascii="Book Antiqua" w:hAnsi="Book Antiqua" w:cs="Arial"/>
        </w:rPr>
      </w:pPr>
      <w:r w:rsidRPr="00F13D39">
        <w:rPr>
          <w:rFonts w:ascii="Book Antiqua" w:hAnsi="Book Antiqua" w:cs="Arial"/>
        </w:rPr>
        <w:t>As I have allowed the appeal</w:t>
      </w:r>
      <w:r w:rsidR="00BC3CCE">
        <w:rPr>
          <w:rFonts w:ascii="Book Antiqua" w:hAnsi="Book Antiqua" w:cs="Arial"/>
        </w:rPr>
        <w:t xml:space="preserve"> I have considered whether to make a fee award.  I make no fee award.  The appeal has been allowed because of evidence considered by the Tribunal which was not before the initial decision maker.</w:t>
      </w:r>
    </w:p>
    <w:p w14:paraId="5E0D3CEE" w14:textId="77777777" w:rsidR="00F13D39" w:rsidRDefault="00F13D39" w:rsidP="00F13D39">
      <w:pPr>
        <w:jc w:val="both"/>
        <w:rPr>
          <w:rFonts w:ascii="Book Antiqua" w:hAnsi="Book Antiqua" w:cs="Arial"/>
        </w:rPr>
      </w:pPr>
    </w:p>
    <w:p w14:paraId="464E7924" w14:textId="77777777" w:rsidR="00F13D39" w:rsidRDefault="00F13D39" w:rsidP="00F13D39">
      <w:pPr>
        <w:jc w:val="both"/>
        <w:rPr>
          <w:rFonts w:ascii="Book Antiqua" w:hAnsi="Book Antiqua" w:cs="Arial"/>
        </w:rPr>
      </w:pPr>
    </w:p>
    <w:p w14:paraId="4B8A35DD"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14:paraId="3427908B" w14:textId="77777777" w:rsidR="00F13D39" w:rsidRPr="00F5664C" w:rsidRDefault="00F13D39" w:rsidP="00F13D39">
      <w:pPr>
        <w:tabs>
          <w:tab w:val="left" w:pos="2520"/>
        </w:tabs>
        <w:jc w:val="both"/>
        <w:rPr>
          <w:rFonts w:ascii="Book Antiqua" w:hAnsi="Book Antiqua" w:cs="Arial"/>
        </w:rPr>
      </w:pPr>
    </w:p>
    <w:p w14:paraId="6CE0FC76" w14:textId="7A4BB0FA" w:rsidR="00C321B5" w:rsidRPr="00F5664C"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r w:rsidR="00BC3CCE">
        <w:rPr>
          <w:rFonts w:ascii="Book Antiqua" w:hAnsi="Book Antiqua" w:cs="Arial"/>
        </w:rPr>
        <w:tab/>
      </w:r>
      <w:r w:rsidR="00BC3CCE">
        <w:rPr>
          <w:rFonts w:ascii="Book Antiqua" w:hAnsi="Book Antiqua" w:cs="Arial"/>
        </w:rPr>
        <w:tab/>
      </w:r>
      <w:r w:rsidR="00BC3CCE">
        <w:rPr>
          <w:rFonts w:ascii="Book Antiqua" w:hAnsi="Book Antiqua" w:cs="Arial"/>
        </w:rPr>
        <w:tab/>
        <w:t>10</w:t>
      </w:r>
      <w:r w:rsidR="00BC3CCE" w:rsidRPr="00BC3CCE">
        <w:rPr>
          <w:rFonts w:ascii="Book Antiqua" w:hAnsi="Book Antiqua" w:cs="Arial"/>
          <w:vertAlign w:val="superscript"/>
        </w:rPr>
        <w:t>th</w:t>
      </w:r>
      <w:r w:rsidR="00BC3CCE">
        <w:rPr>
          <w:rFonts w:ascii="Book Antiqua" w:hAnsi="Book Antiqua" w:cs="Arial"/>
        </w:rPr>
        <w:t xml:space="preserve"> July 2018</w:t>
      </w:r>
    </w:p>
    <w:sectPr w:rsidR="00C321B5"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8DA14" w14:textId="77777777" w:rsidR="00EF56EB" w:rsidRDefault="00EF56EB">
      <w:r>
        <w:separator/>
      </w:r>
    </w:p>
  </w:endnote>
  <w:endnote w:type="continuationSeparator" w:id="0">
    <w:p w14:paraId="26CD7B0F" w14:textId="77777777" w:rsidR="00EF56EB" w:rsidRDefault="00EF5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A8EBB" w14:textId="608C1EBB"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F021F">
      <w:rPr>
        <w:rStyle w:val="PageNumber"/>
        <w:rFonts w:ascii="Book Antiqua" w:hAnsi="Book Antiqua" w:cs="Arial"/>
        <w:noProof/>
        <w:sz w:val="16"/>
        <w:szCs w:val="16"/>
      </w:rPr>
      <w:t>7</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66233"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EA3A6" w14:textId="77777777" w:rsidR="00EF56EB" w:rsidRDefault="00EF56EB">
      <w:r>
        <w:separator/>
      </w:r>
    </w:p>
  </w:footnote>
  <w:footnote w:type="continuationSeparator" w:id="0">
    <w:p w14:paraId="687A283E" w14:textId="77777777" w:rsidR="00EF56EB" w:rsidRDefault="00EF5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5E7BB" w14:textId="21C428A4" w:rsidR="00CF253F" w:rsidRDefault="00CF253F" w:rsidP="000369F5">
    <w:pPr>
      <w:pStyle w:val="Header"/>
      <w:tabs>
        <w:tab w:val="clear" w:pos="4153"/>
        <w:tab w:val="clear" w:pos="8306"/>
        <w:tab w:val="right" w:pos="9639"/>
      </w:tabs>
      <w:jc w:val="right"/>
      <w:rPr>
        <w:rFonts w:ascii="Book Antiqua" w:hAnsi="Book Antiqua" w:cs="Arial"/>
        <w:caps/>
        <w:sz w:val="16"/>
        <w:szCs w:val="16"/>
      </w:rPr>
    </w:pPr>
    <w:r w:rsidRPr="001103E5">
      <w:rPr>
        <w:rFonts w:ascii="Book Antiqua" w:hAnsi="Book Antiqua" w:cs="Arial"/>
        <w:sz w:val="16"/>
        <w:szCs w:val="16"/>
      </w:rPr>
      <w:t>Appeal Number:</w:t>
    </w:r>
    <w:r w:rsidR="000369F5" w:rsidRPr="001103E5">
      <w:rPr>
        <w:rFonts w:ascii="Book Antiqua" w:hAnsi="Book Antiqua" w:cs="Arial"/>
        <w:sz w:val="16"/>
        <w:szCs w:val="16"/>
      </w:rPr>
      <w:t xml:space="preserve"> </w:t>
    </w:r>
    <w:r w:rsidR="001103E5" w:rsidRPr="001103E5">
      <w:rPr>
        <w:rFonts w:ascii="Book Antiqua" w:hAnsi="Book Antiqua" w:cs="Arial"/>
        <w:caps/>
        <w:sz w:val="16"/>
        <w:szCs w:val="16"/>
      </w:rPr>
      <w:t>PA/00666/2018</w:t>
    </w:r>
  </w:p>
  <w:p w14:paraId="672BACAB" w14:textId="1C609319" w:rsidR="00551653" w:rsidRDefault="00551653" w:rsidP="000369F5">
    <w:pPr>
      <w:pStyle w:val="Header"/>
      <w:tabs>
        <w:tab w:val="clear" w:pos="4153"/>
        <w:tab w:val="clear" w:pos="8306"/>
        <w:tab w:val="right" w:pos="9639"/>
      </w:tabs>
      <w:jc w:val="right"/>
      <w:rPr>
        <w:rFonts w:ascii="Book Antiqua" w:hAnsi="Book Antiqua" w:cs="Arial"/>
        <w:caps/>
        <w:sz w:val="16"/>
        <w:szCs w:val="16"/>
      </w:rPr>
    </w:pPr>
  </w:p>
  <w:p w14:paraId="3FF7DF7A" w14:textId="5C039661" w:rsidR="00551653" w:rsidRDefault="00551653" w:rsidP="000369F5">
    <w:pPr>
      <w:pStyle w:val="Header"/>
      <w:tabs>
        <w:tab w:val="clear" w:pos="4153"/>
        <w:tab w:val="clear" w:pos="8306"/>
        <w:tab w:val="right" w:pos="9639"/>
      </w:tabs>
      <w:jc w:val="right"/>
      <w:rPr>
        <w:rFonts w:ascii="Book Antiqua" w:hAnsi="Book Antiqua" w:cs="Arial"/>
        <w:caps/>
        <w:sz w:val="16"/>
        <w:szCs w:val="16"/>
      </w:rPr>
    </w:pPr>
  </w:p>
  <w:p w14:paraId="4FC35E84" w14:textId="4B7E4A5C" w:rsidR="00551653" w:rsidRPr="001103E5" w:rsidRDefault="00551653"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039BE" w14:textId="18EC80E5"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F8E"/>
    <w:rsid w:val="00000621"/>
    <w:rsid w:val="000036C2"/>
    <w:rsid w:val="00030C00"/>
    <w:rsid w:val="00033D3D"/>
    <w:rsid w:val="000369F5"/>
    <w:rsid w:val="00047F27"/>
    <w:rsid w:val="00071A7E"/>
    <w:rsid w:val="000746C0"/>
    <w:rsid w:val="00074D1D"/>
    <w:rsid w:val="000809FA"/>
    <w:rsid w:val="00092580"/>
    <w:rsid w:val="000C2ECD"/>
    <w:rsid w:val="000D01C9"/>
    <w:rsid w:val="000D5D94"/>
    <w:rsid w:val="000E0CD7"/>
    <w:rsid w:val="001073AC"/>
    <w:rsid w:val="001103E5"/>
    <w:rsid w:val="00114F8B"/>
    <w:rsid w:val="001165A7"/>
    <w:rsid w:val="00151BB7"/>
    <w:rsid w:val="00167D3A"/>
    <w:rsid w:val="00176384"/>
    <w:rsid w:val="001A1E2C"/>
    <w:rsid w:val="001F2716"/>
    <w:rsid w:val="0020133A"/>
    <w:rsid w:val="00207617"/>
    <w:rsid w:val="00244BC9"/>
    <w:rsid w:val="00255071"/>
    <w:rsid w:val="002750E5"/>
    <w:rsid w:val="00283659"/>
    <w:rsid w:val="00294B45"/>
    <w:rsid w:val="002C2606"/>
    <w:rsid w:val="002C4E73"/>
    <w:rsid w:val="002D68BF"/>
    <w:rsid w:val="002F021F"/>
    <w:rsid w:val="00336CBF"/>
    <w:rsid w:val="003546C8"/>
    <w:rsid w:val="00354D3B"/>
    <w:rsid w:val="0037772E"/>
    <w:rsid w:val="003A7CF2"/>
    <w:rsid w:val="003C49CE"/>
    <w:rsid w:val="003C5CE5"/>
    <w:rsid w:val="003E267B"/>
    <w:rsid w:val="003E7CD1"/>
    <w:rsid w:val="00402B9E"/>
    <w:rsid w:val="00405722"/>
    <w:rsid w:val="00423932"/>
    <w:rsid w:val="004249CB"/>
    <w:rsid w:val="0044127D"/>
    <w:rsid w:val="004448DB"/>
    <w:rsid w:val="00446C9A"/>
    <w:rsid w:val="00465F8E"/>
    <w:rsid w:val="00477193"/>
    <w:rsid w:val="0049316F"/>
    <w:rsid w:val="004A1848"/>
    <w:rsid w:val="004F3A25"/>
    <w:rsid w:val="00507FEC"/>
    <w:rsid w:val="00510F0E"/>
    <w:rsid w:val="00524FE3"/>
    <w:rsid w:val="005479E1"/>
    <w:rsid w:val="00551653"/>
    <w:rsid w:val="005570FD"/>
    <w:rsid w:val="005575EA"/>
    <w:rsid w:val="0057790C"/>
    <w:rsid w:val="00593795"/>
    <w:rsid w:val="005A75FF"/>
    <w:rsid w:val="005B7789"/>
    <w:rsid w:val="005E1C41"/>
    <w:rsid w:val="005E5DFF"/>
    <w:rsid w:val="005F7DB4"/>
    <w:rsid w:val="00610027"/>
    <w:rsid w:val="0065791C"/>
    <w:rsid w:val="00662747"/>
    <w:rsid w:val="00690B8A"/>
    <w:rsid w:val="006D1DFA"/>
    <w:rsid w:val="006D506B"/>
    <w:rsid w:val="006E3C90"/>
    <w:rsid w:val="00704B61"/>
    <w:rsid w:val="00707DB1"/>
    <w:rsid w:val="007353BB"/>
    <w:rsid w:val="007421C4"/>
    <w:rsid w:val="00742A8D"/>
    <w:rsid w:val="00752359"/>
    <w:rsid w:val="007552A9"/>
    <w:rsid w:val="00761858"/>
    <w:rsid w:val="00767D59"/>
    <w:rsid w:val="00776E97"/>
    <w:rsid w:val="00780FD7"/>
    <w:rsid w:val="007912AD"/>
    <w:rsid w:val="007A1F28"/>
    <w:rsid w:val="007A646A"/>
    <w:rsid w:val="007B0824"/>
    <w:rsid w:val="007C0CD9"/>
    <w:rsid w:val="008303B8"/>
    <w:rsid w:val="00833DCE"/>
    <w:rsid w:val="00842418"/>
    <w:rsid w:val="008634DB"/>
    <w:rsid w:val="00871D34"/>
    <w:rsid w:val="00887842"/>
    <w:rsid w:val="008901DD"/>
    <w:rsid w:val="0089094B"/>
    <w:rsid w:val="008B270C"/>
    <w:rsid w:val="008C2ED5"/>
    <w:rsid w:val="008C3D3D"/>
    <w:rsid w:val="008D4131"/>
    <w:rsid w:val="008D5128"/>
    <w:rsid w:val="008F1932"/>
    <w:rsid w:val="008F294D"/>
    <w:rsid w:val="00921062"/>
    <w:rsid w:val="0092618D"/>
    <w:rsid w:val="0093083E"/>
    <w:rsid w:val="00966ECF"/>
    <w:rsid w:val="009727A3"/>
    <w:rsid w:val="00987774"/>
    <w:rsid w:val="009A11E8"/>
    <w:rsid w:val="009D0C2C"/>
    <w:rsid w:val="009E4E62"/>
    <w:rsid w:val="009F2FE0"/>
    <w:rsid w:val="009F5220"/>
    <w:rsid w:val="009F7C4D"/>
    <w:rsid w:val="00A03FE7"/>
    <w:rsid w:val="00A123EF"/>
    <w:rsid w:val="00A15234"/>
    <w:rsid w:val="00A153DB"/>
    <w:rsid w:val="00A201AB"/>
    <w:rsid w:val="00A31C8B"/>
    <w:rsid w:val="00A75965"/>
    <w:rsid w:val="00A845DC"/>
    <w:rsid w:val="00A90C98"/>
    <w:rsid w:val="00A97AEE"/>
    <w:rsid w:val="00AC5CF6"/>
    <w:rsid w:val="00AF5A03"/>
    <w:rsid w:val="00B144FA"/>
    <w:rsid w:val="00B15233"/>
    <w:rsid w:val="00B16F58"/>
    <w:rsid w:val="00B30648"/>
    <w:rsid w:val="00B337AA"/>
    <w:rsid w:val="00B3524D"/>
    <w:rsid w:val="00B40F69"/>
    <w:rsid w:val="00B4659E"/>
    <w:rsid w:val="00B46616"/>
    <w:rsid w:val="00B610E3"/>
    <w:rsid w:val="00B61205"/>
    <w:rsid w:val="00B617C4"/>
    <w:rsid w:val="00B626FA"/>
    <w:rsid w:val="00B7040A"/>
    <w:rsid w:val="00B96FA0"/>
    <w:rsid w:val="00BC3CCE"/>
    <w:rsid w:val="00BD4196"/>
    <w:rsid w:val="00BE31CE"/>
    <w:rsid w:val="00BF22CA"/>
    <w:rsid w:val="00C26032"/>
    <w:rsid w:val="00C265B0"/>
    <w:rsid w:val="00C321B5"/>
    <w:rsid w:val="00C345E1"/>
    <w:rsid w:val="00C977BA"/>
    <w:rsid w:val="00CB6E35"/>
    <w:rsid w:val="00CC03A7"/>
    <w:rsid w:val="00CE1A46"/>
    <w:rsid w:val="00CE26B2"/>
    <w:rsid w:val="00CE4A7A"/>
    <w:rsid w:val="00CF0777"/>
    <w:rsid w:val="00CF253F"/>
    <w:rsid w:val="00CF56B4"/>
    <w:rsid w:val="00D0417D"/>
    <w:rsid w:val="00D20F09"/>
    <w:rsid w:val="00D22636"/>
    <w:rsid w:val="00D4007D"/>
    <w:rsid w:val="00D40FD9"/>
    <w:rsid w:val="00D45764"/>
    <w:rsid w:val="00D45A31"/>
    <w:rsid w:val="00D53769"/>
    <w:rsid w:val="00D65912"/>
    <w:rsid w:val="00D85C13"/>
    <w:rsid w:val="00D91BE3"/>
    <w:rsid w:val="00D94AFC"/>
    <w:rsid w:val="00DB70AE"/>
    <w:rsid w:val="00DB7231"/>
    <w:rsid w:val="00DC1C00"/>
    <w:rsid w:val="00DD5071"/>
    <w:rsid w:val="00DD5C39"/>
    <w:rsid w:val="00DE26AF"/>
    <w:rsid w:val="00DE7DB7"/>
    <w:rsid w:val="00E00A0A"/>
    <w:rsid w:val="00E07F57"/>
    <w:rsid w:val="00E1040E"/>
    <w:rsid w:val="00E50BCE"/>
    <w:rsid w:val="00E61292"/>
    <w:rsid w:val="00E76309"/>
    <w:rsid w:val="00E77C4D"/>
    <w:rsid w:val="00E81D01"/>
    <w:rsid w:val="00EC3DB1"/>
    <w:rsid w:val="00EE45D8"/>
    <w:rsid w:val="00EF56EB"/>
    <w:rsid w:val="00F004CD"/>
    <w:rsid w:val="00F05C45"/>
    <w:rsid w:val="00F13D39"/>
    <w:rsid w:val="00F22A22"/>
    <w:rsid w:val="00F22EDA"/>
    <w:rsid w:val="00F3224D"/>
    <w:rsid w:val="00F33E0E"/>
    <w:rsid w:val="00F5664C"/>
    <w:rsid w:val="00F82255"/>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7F491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2852</Words>
  <Characters>13377</Characters>
  <Application>Microsoft Office Word</Application>
  <DocSecurity>0</DocSecurity>
  <Lines>111</Lines>
  <Paragraphs>32</Paragraphs>
  <ScaleCrop>false</ScaleCrop>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2018-08-02T14:38:00Z</dcterms:created>
  <dcterms:modified xsi:type="dcterms:W3CDTF">2018-08-02T14:39:00Z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