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C44DA"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C545C"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C545C">
        <w:rPr>
          <w:rFonts w:ascii="Book Antiqua" w:hAnsi="Book Antiqua" w:cs="Arial"/>
          <w:b/>
        </w:rPr>
        <w:t xml:space="preserve">   </w:t>
      </w:r>
      <w:proofErr w:type="gramEnd"/>
      <w:r w:rsidR="00AC545C">
        <w:rPr>
          <w:rFonts w:ascii="Book Antiqua" w:hAnsi="Book Antiqua" w:cs="Arial"/>
          <w:b/>
        </w:rPr>
        <w:t xml:space="preserve">                    </w:t>
      </w:r>
      <w:r w:rsidR="00B3524D" w:rsidRPr="00AC545C">
        <w:rPr>
          <w:rFonts w:ascii="Book Antiqua" w:hAnsi="Book Antiqua" w:cs="Arial"/>
          <w:b/>
        </w:rPr>
        <w:t>Appeal Number</w:t>
      </w:r>
      <w:r w:rsidR="00D53769" w:rsidRPr="00AC545C">
        <w:rPr>
          <w:rFonts w:ascii="Book Antiqua" w:hAnsi="Book Antiqua" w:cs="Arial"/>
          <w:b/>
        </w:rPr>
        <w:t>:</w:t>
      </w:r>
      <w:r w:rsidR="00B3524D" w:rsidRPr="00AC545C">
        <w:rPr>
          <w:rFonts w:ascii="Book Antiqua" w:hAnsi="Book Antiqua" w:cs="Arial"/>
          <w:b/>
        </w:rPr>
        <w:t xml:space="preserve"> </w:t>
      </w:r>
      <w:r w:rsidR="00CC44DA" w:rsidRPr="00AC545C">
        <w:rPr>
          <w:rFonts w:ascii="Book Antiqua" w:hAnsi="Book Antiqua" w:cs="Arial"/>
          <w:b/>
          <w:caps/>
        </w:rPr>
        <w:t>pa/00674/2018</w:t>
      </w:r>
    </w:p>
    <w:p w:rsidR="005E3F47" w:rsidRDefault="005E3F47"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tbl>
      <w:tblPr>
        <w:tblStyle w:val="TableGrid"/>
        <w:tblW w:w="10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5083"/>
      </w:tblGrid>
      <w:tr w:rsidR="00D22636" w:rsidRPr="00F5664C" w:rsidTr="00AC545C">
        <w:trPr>
          <w:trHeight w:val="454"/>
        </w:trPr>
        <w:tc>
          <w:tcPr>
            <w:tcW w:w="5103" w:type="dxa"/>
          </w:tcPr>
          <w:p w:rsidR="005B1025" w:rsidRDefault="005B1025" w:rsidP="004A1848">
            <w:pPr>
              <w:jc w:val="both"/>
              <w:rPr>
                <w:rFonts w:ascii="Book Antiqua" w:hAnsi="Book Antiqua" w:cs="Arial"/>
                <w:b/>
              </w:rPr>
            </w:pPr>
          </w:p>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C44DA">
              <w:rPr>
                <w:rFonts w:ascii="Book Antiqua" w:hAnsi="Book Antiqua" w:cs="Arial"/>
                <w:b/>
              </w:rPr>
              <w:t>Field House</w:t>
            </w:r>
            <w:r w:rsidR="00180454">
              <w:rPr>
                <w:rFonts w:ascii="Book Antiqua" w:hAnsi="Book Antiqua" w:cs="Arial"/>
                <w:b/>
              </w:rPr>
              <w:t xml:space="preserve">                            </w:t>
            </w:r>
          </w:p>
        </w:tc>
        <w:tc>
          <w:tcPr>
            <w:tcW w:w="5083" w:type="dxa"/>
          </w:tcPr>
          <w:p w:rsidR="00180454" w:rsidRDefault="00180454" w:rsidP="00180454">
            <w:pPr>
              <w:rPr>
                <w:rFonts w:ascii="Book Antiqua" w:hAnsi="Book Antiqua" w:cs="Arial"/>
                <w:b/>
              </w:rPr>
            </w:pPr>
          </w:p>
          <w:p w:rsidR="00D22636" w:rsidRPr="00180454" w:rsidRDefault="00AC545C" w:rsidP="00180454">
            <w:pPr>
              <w:rPr>
                <w:rFonts w:ascii="Book Antiqua" w:hAnsi="Book Antiqua" w:cs="Arial"/>
                <w:b/>
              </w:rPr>
            </w:pPr>
            <w:r>
              <w:rPr>
                <w:rFonts w:ascii="Book Antiqua" w:hAnsi="Book Antiqua" w:cs="Arial"/>
                <w:b/>
              </w:rPr>
              <w:t xml:space="preserve">    </w:t>
            </w:r>
            <w:r w:rsidRPr="00180454">
              <w:rPr>
                <w:rFonts w:ascii="Book Antiqua" w:hAnsi="Book Antiqua" w:cs="Arial"/>
                <w:b/>
              </w:rPr>
              <w:t xml:space="preserve">Decision &amp; </w:t>
            </w:r>
            <w:r>
              <w:rPr>
                <w:rFonts w:ascii="Book Antiqua" w:hAnsi="Book Antiqua" w:cs="Arial"/>
                <w:b/>
              </w:rPr>
              <w:t xml:space="preserve">Reasons </w:t>
            </w:r>
            <w:r w:rsidR="00180454" w:rsidRPr="00180454">
              <w:rPr>
                <w:rFonts w:ascii="Book Antiqua" w:hAnsi="Book Antiqua" w:cs="Arial"/>
                <w:b/>
              </w:rPr>
              <w:t>Promulgated</w:t>
            </w:r>
          </w:p>
        </w:tc>
      </w:tr>
      <w:tr w:rsidR="00D22636" w:rsidRPr="00F5664C" w:rsidTr="00AC545C">
        <w:trPr>
          <w:trHeight w:val="226"/>
        </w:trPr>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C44DA">
              <w:rPr>
                <w:rFonts w:ascii="Book Antiqua" w:hAnsi="Book Antiqua" w:cs="Arial"/>
                <w:b/>
              </w:rPr>
              <w:t>19</w:t>
            </w:r>
            <w:r w:rsidR="00CC44DA" w:rsidRPr="00CC44DA">
              <w:rPr>
                <w:rFonts w:ascii="Book Antiqua" w:hAnsi="Book Antiqua" w:cs="Arial"/>
                <w:b/>
                <w:vertAlign w:val="superscript"/>
              </w:rPr>
              <w:t>th</w:t>
            </w:r>
            <w:r w:rsidR="00CC44DA">
              <w:rPr>
                <w:rFonts w:ascii="Book Antiqua" w:hAnsi="Book Antiqua" w:cs="Arial"/>
                <w:b/>
              </w:rPr>
              <w:t xml:space="preserve"> June 2018</w:t>
            </w:r>
            <w:r w:rsidR="00180454">
              <w:rPr>
                <w:rFonts w:ascii="Book Antiqua" w:hAnsi="Book Antiqua" w:cs="Arial"/>
                <w:b/>
              </w:rPr>
              <w:t xml:space="preserve">                               </w:t>
            </w:r>
          </w:p>
        </w:tc>
        <w:tc>
          <w:tcPr>
            <w:tcW w:w="5083" w:type="dxa"/>
          </w:tcPr>
          <w:p w:rsidR="00D22636" w:rsidRPr="00F5664C" w:rsidRDefault="00AC545C" w:rsidP="004A1848">
            <w:pPr>
              <w:jc w:val="both"/>
              <w:rPr>
                <w:rFonts w:ascii="Book Antiqua" w:hAnsi="Book Antiqua" w:cs="Arial"/>
                <w:b/>
              </w:rPr>
            </w:pPr>
            <w:r>
              <w:rPr>
                <w:rFonts w:ascii="Book Antiqua" w:hAnsi="Book Antiqua" w:cs="Arial"/>
                <w:b/>
              </w:rPr>
              <w:t xml:space="preserve">    </w:t>
            </w:r>
            <w:r>
              <w:rPr>
                <w:rFonts w:ascii="Book Antiqua" w:hAnsi="Book Antiqua" w:cs="Arial"/>
                <w:b/>
              </w:rPr>
              <w:t>On 27</w:t>
            </w:r>
            <w:r w:rsidRPr="00180454">
              <w:rPr>
                <w:rFonts w:ascii="Book Antiqua" w:hAnsi="Book Antiqua" w:cs="Arial"/>
                <w:b/>
                <w:vertAlign w:val="superscript"/>
              </w:rPr>
              <w:t>th</w:t>
            </w:r>
            <w:r>
              <w:rPr>
                <w:rFonts w:ascii="Book Antiqua" w:hAnsi="Book Antiqua" w:cs="Arial"/>
                <w:b/>
              </w:rPr>
              <w:t xml:space="preserve"> June 2018</w:t>
            </w:r>
          </w:p>
        </w:tc>
      </w:tr>
    </w:tbl>
    <w:p w:rsidR="00A15234" w:rsidRPr="00F5664C" w:rsidRDefault="00A15234" w:rsidP="005B1025">
      <w:pPr>
        <w:rPr>
          <w:rFonts w:ascii="Book Antiqua" w:hAnsi="Book Antiqua" w:cs="Arial"/>
        </w:rPr>
      </w:pPr>
    </w:p>
    <w:p w:rsidR="00AC545C" w:rsidRDefault="00AC545C"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C44DA" w:rsidP="00742A8D">
      <w:pPr>
        <w:jc w:val="center"/>
        <w:rPr>
          <w:rFonts w:ascii="Book Antiqua" w:hAnsi="Book Antiqua" w:cs="Arial"/>
          <w:b/>
          <w:caps/>
        </w:rPr>
      </w:pPr>
      <w:r>
        <w:rPr>
          <w:rFonts w:ascii="Book Antiqua" w:hAnsi="Book Antiqua" w:cs="Arial"/>
          <w:b/>
          <w:caps/>
        </w:rPr>
        <w:t>MD MASHUK MIAH</w:t>
      </w:r>
    </w:p>
    <w:p w:rsidR="00F13D39" w:rsidRPr="00AC545C" w:rsidRDefault="00F13D39" w:rsidP="00F13D39">
      <w:pPr>
        <w:jc w:val="center"/>
        <w:rPr>
          <w:rFonts w:ascii="Book Antiqua" w:hAnsi="Book Antiqua" w:cs="Arial"/>
          <w:caps/>
        </w:rPr>
      </w:pPr>
      <w:r w:rsidRPr="00AC545C">
        <w:rPr>
          <w:rFonts w:ascii="Book Antiqua" w:hAnsi="Book Antiqua" w:cs="Arial"/>
          <w:caps/>
        </w:rPr>
        <w:t xml:space="preserve">(ANONYMITY DIRECTION </w:t>
      </w:r>
      <w:r w:rsidR="00CC44DA" w:rsidRPr="00AC545C">
        <w:rPr>
          <w:rFonts w:ascii="Book Antiqua" w:hAnsi="Book Antiqua" w:cs="Arial"/>
          <w:caps/>
        </w:rPr>
        <w:t>NOT MADE</w:t>
      </w:r>
      <w:r w:rsidRPr="00AC545C">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AC545C" w:rsidRPr="00F5664C" w:rsidRDefault="00AC545C"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CC44DA">
      <w:pPr>
        <w:tabs>
          <w:tab w:val="left" w:pos="241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C44DA">
        <w:rPr>
          <w:rFonts w:ascii="Book Antiqua" w:hAnsi="Book Antiqua" w:cs="Arial"/>
        </w:rPr>
        <w:t xml:space="preserve">Mr L Rahman of Counsel, instructed by Edward </w:t>
      </w:r>
      <w:proofErr w:type="spellStart"/>
      <w:r w:rsidR="00CC44DA">
        <w:rPr>
          <w:rFonts w:ascii="Book Antiqua" w:hAnsi="Book Antiqua" w:cs="Arial"/>
        </w:rPr>
        <w:t>Alam</w:t>
      </w:r>
      <w:proofErr w:type="spellEnd"/>
      <w:r w:rsidR="00CC44DA">
        <w:rPr>
          <w:rFonts w:ascii="Book Antiqua" w:hAnsi="Book Antiqua" w:cs="Arial"/>
        </w:rPr>
        <w:t xml:space="preserve"> &amp; Associates</w:t>
      </w:r>
    </w:p>
    <w:p w:rsidR="00DE7DB7" w:rsidRPr="00F5664C" w:rsidRDefault="00DE7DB7" w:rsidP="00CC44DA">
      <w:pPr>
        <w:tabs>
          <w:tab w:val="left" w:pos="241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C44DA">
        <w:rPr>
          <w:rFonts w:ascii="Book Antiqua" w:hAnsi="Book Antiqua" w:cs="Arial"/>
        </w:rPr>
        <w:t xml:space="preserve">Mr S </w:t>
      </w:r>
      <w:proofErr w:type="spellStart"/>
      <w:r w:rsidR="00CC44DA">
        <w:rPr>
          <w:rFonts w:ascii="Book Antiqua" w:hAnsi="Book Antiqua" w:cs="Arial"/>
        </w:rPr>
        <w:t>Kotas</w:t>
      </w:r>
      <w:proofErr w:type="spellEnd"/>
      <w:r w:rsidR="00CC44DA">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CC44DA" w:rsidRDefault="00CC44DA" w:rsidP="00402B9E">
      <w:pPr>
        <w:tabs>
          <w:tab w:val="left" w:pos="2520"/>
        </w:tabs>
        <w:jc w:val="both"/>
        <w:rPr>
          <w:rFonts w:ascii="Book Antiqua" w:hAnsi="Book Antiqua" w:cs="Arial"/>
          <w:b/>
        </w:rPr>
      </w:pPr>
    </w:p>
    <w:p w:rsidR="00B626FA" w:rsidRPr="00CC44DA" w:rsidRDefault="00CC44DA"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CC44DA"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w:t>
      </w:r>
      <w:proofErr w:type="spellStart"/>
      <w:r>
        <w:rPr>
          <w:rFonts w:ascii="Book Antiqua" w:hAnsi="Book Antiqua" w:cs="Arial"/>
        </w:rPr>
        <w:t>Swinnerton</w:t>
      </w:r>
      <w:proofErr w:type="spellEnd"/>
      <w:r>
        <w:rPr>
          <w:rFonts w:ascii="Book Antiqua" w:hAnsi="Book Antiqua" w:cs="Arial"/>
        </w:rPr>
        <w:t xml:space="preserve"> (the judge) of the First-tier Tribunal (the </w:t>
      </w:r>
      <w:proofErr w:type="spellStart"/>
      <w:r>
        <w:rPr>
          <w:rFonts w:ascii="Book Antiqua" w:hAnsi="Book Antiqua" w:cs="Arial"/>
        </w:rPr>
        <w:t>FtT</w:t>
      </w:r>
      <w:proofErr w:type="spellEnd"/>
      <w:r>
        <w:rPr>
          <w:rFonts w:ascii="Book Antiqua" w:hAnsi="Book Antiqua" w:cs="Arial"/>
        </w:rPr>
        <w:t>) promulgated on 1</w:t>
      </w:r>
      <w:r w:rsidRPr="00CC44DA">
        <w:rPr>
          <w:rFonts w:ascii="Book Antiqua" w:hAnsi="Book Antiqua" w:cs="Arial"/>
          <w:vertAlign w:val="superscript"/>
        </w:rPr>
        <w:t>st</w:t>
      </w:r>
      <w:r>
        <w:rPr>
          <w:rFonts w:ascii="Book Antiqua" w:hAnsi="Book Antiqua" w:cs="Arial"/>
        </w:rPr>
        <w:t xml:space="preserve"> March 2018.</w:t>
      </w:r>
    </w:p>
    <w:p w:rsidR="00CC44DA" w:rsidRDefault="00CC44DA" w:rsidP="005E5DFF">
      <w:pPr>
        <w:numPr>
          <w:ilvl w:val="0"/>
          <w:numId w:val="3"/>
        </w:numPr>
        <w:spacing w:before="240"/>
        <w:jc w:val="both"/>
        <w:rPr>
          <w:rFonts w:ascii="Book Antiqua" w:hAnsi="Book Antiqua" w:cs="Arial"/>
        </w:rPr>
      </w:pPr>
      <w:r>
        <w:rPr>
          <w:rFonts w:ascii="Book Antiqua" w:hAnsi="Book Antiqua" w:cs="Arial"/>
        </w:rPr>
        <w:t>The Appellant, who claims to be Bihari and stateless, appealed against the Respondent’s decision dated 15</w:t>
      </w:r>
      <w:r w:rsidRPr="00CC44DA">
        <w:rPr>
          <w:rFonts w:ascii="Book Antiqua" w:hAnsi="Book Antiqua" w:cs="Arial"/>
          <w:vertAlign w:val="superscript"/>
        </w:rPr>
        <w:t>th</w:t>
      </w:r>
      <w:r>
        <w:rPr>
          <w:rFonts w:ascii="Book Antiqua" w:hAnsi="Book Antiqua" w:cs="Arial"/>
        </w:rPr>
        <w:t xml:space="preserve"> December 2017 to refuse his protection and human rights claim.  </w:t>
      </w:r>
    </w:p>
    <w:p w:rsidR="00CC44DA" w:rsidRDefault="00CC44DA" w:rsidP="005E5DFF">
      <w:pPr>
        <w:numPr>
          <w:ilvl w:val="0"/>
          <w:numId w:val="3"/>
        </w:numPr>
        <w:spacing w:before="240"/>
        <w:jc w:val="both"/>
        <w:rPr>
          <w:rFonts w:ascii="Book Antiqua" w:hAnsi="Book Antiqua" w:cs="Arial"/>
        </w:rPr>
      </w:pPr>
      <w:r>
        <w:rPr>
          <w:rFonts w:ascii="Book Antiqua" w:hAnsi="Book Antiqua" w:cs="Arial"/>
        </w:rPr>
        <w:t xml:space="preserve">The appeal was heard by the </w:t>
      </w:r>
      <w:proofErr w:type="spellStart"/>
      <w:r>
        <w:rPr>
          <w:rFonts w:ascii="Book Antiqua" w:hAnsi="Book Antiqua" w:cs="Arial"/>
        </w:rPr>
        <w:t>FtT</w:t>
      </w:r>
      <w:proofErr w:type="spellEnd"/>
      <w:r>
        <w:rPr>
          <w:rFonts w:ascii="Book Antiqua" w:hAnsi="Book Antiqua" w:cs="Arial"/>
        </w:rPr>
        <w:t xml:space="preserve"> on 12</w:t>
      </w:r>
      <w:r w:rsidRPr="00CC44DA">
        <w:rPr>
          <w:rFonts w:ascii="Book Antiqua" w:hAnsi="Book Antiqua" w:cs="Arial"/>
          <w:vertAlign w:val="superscript"/>
        </w:rPr>
        <w:t>th</w:t>
      </w:r>
      <w:r>
        <w:rPr>
          <w:rFonts w:ascii="Book Antiqua" w:hAnsi="Book Antiqua" w:cs="Arial"/>
        </w:rPr>
        <w:t xml:space="preserve"> February 2018 and dismissed on all grounds.  The </w:t>
      </w:r>
      <w:proofErr w:type="spellStart"/>
      <w:r>
        <w:rPr>
          <w:rFonts w:ascii="Book Antiqua" w:hAnsi="Book Antiqua" w:cs="Arial"/>
        </w:rPr>
        <w:t>FtT</w:t>
      </w:r>
      <w:proofErr w:type="spellEnd"/>
      <w:r>
        <w:rPr>
          <w:rFonts w:ascii="Book Antiqua" w:hAnsi="Book Antiqua" w:cs="Arial"/>
        </w:rPr>
        <w:t xml:space="preserve"> heard evidence from the Appellant and his wife and found that they had given conflicting and inconsistent evidence, and did not find them to be credible witnesses.  </w:t>
      </w:r>
      <w:r>
        <w:rPr>
          <w:rFonts w:ascii="Book Antiqua" w:hAnsi="Book Antiqua" w:cs="Arial"/>
        </w:rPr>
        <w:lastRenderedPageBreak/>
        <w:t xml:space="preserve">The </w:t>
      </w:r>
      <w:proofErr w:type="spellStart"/>
      <w:r>
        <w:rPr>
          <w:rFonts w:ascii="Book Antiqua" w:hAnsi="Book Antiqua" w:cs="Arial"/>
        </w:rPr>
        <w:t>FtT</w:t>
      </w:r>
      <w:proofErr w:type="spellEnd"/>
      <w:r>
        <w:rPr>
          <w:rFonts w:ascii="Book Antiqua" w:hAnsi="Book Antiqua" w:cs="Arial"/>
        </w:rPr>
        <w:t xml:space="preserve"> found that the Appellant </w:t>
      </w:r>
      <w:r w:rsidR="00517DF3">
        <w:rPr>
          <w:rFonts w:ascii="Book Antiqua" w:hAnsi="Book Antiqua" w:cs="Arial"/>
        </w:rPr>
        <w:t>c</w:t>
      </w:r>
      <w:r>
        <w:rPr>
          <w:rFonts w:ascii="Book Antiqua" w:hAnsi="Book Antiqua" w:cs="Arial"/>
        </w:rPr>
        <w:t xml:space="preserve">ould return to Bangladesh with his family and he would not face very significant obstacles in so doing.  </w:t>
      </w:r>
    </w:p>
    <w:p w:rsidR="00CC44DA" w:rsidRDefault="00CC44DA" w:rsidP="005E5DFF">
      <w:pPr>
        <w:numPr>
          <w:ilvl w:val="0"/>
          <w:numId w:val="3"/>
        </w:numPr>
        <w:spacing w:before="240"/>
        <w:jc w:val="both"/>
        <w:rPr>
          <w:rFonts w:ascii="Book Antiqua" w:hAnsi="Book Antiqua" w:cs="Arial"/>
        </w:rPr>
      </w:pPr>
      <w:r>
        <w:rPr>
          <w:rFonts w:ascii="Book Antiqua" w:hAnsi="Book Antiqua" w:cs="Arial"/>
        </w:rPr>
        <w:t>The Appellant applied for permission to appeal to the Upper Tribunal.  The grounds are summarised below.</w:t>
      </w:r>
    </w:p>
    <w:p w:rsidR="00CC44DA" w:rsidRDefault="00CC44DA" w:rsidP="005E5DFF">
      <w:pPr>
        <w:numPr>
          <w:ilvl w:val="0"/>
          <w:numId w:val="3"/>
        </w:numPr>
        <w:spacing w:before="240"/>
        <w:jc w:val="both"/>
        <w:rPr>
          <w:rFonts w:ascii="Book Antiqua" w:hAnsi="Book Antiqua" w:cs="Arial"/>
        </w:rPr>
      </w:pPr>
      <w:r>
        <w:rPr>
          <w:rFonts w:ascii="Book Antiqua" w:hAnsi="Book Antiqua" w:cs="Arial"/>
        </w:rPr>
        <w:t xml:space="preserve">It was contended that the judge had erred in not accepting the Appellant and his wife to be credible. </w:t>
      </w:r>
      <w:r w:rsidR="00782A16">
        <w:rPr>
          <w:rFonts w:ascii="Book Antiqua" w:hAnsi="Book Antiqua" w:cs="Arial"/>
        </w:rPr>
        <w:t>C</w:t>
      </w:r>
      <w:r>
        <w:rPr>
          <w:rFonts w:ascii="Book Antiqua" w:hAnsi="Book Antiqua" w:cs="Arial"/>
        </w:rPr>
        <w:t>omplaint was made that at paragraph 21 the judge had placed far too much weight upon answers given by the Appellant at interview, rather than properly assess the consistency in evidence at the hearing.  It was submitted that the judge had identified one discrepancy in relation to the Appellant’s claim.</w:t>
      </w:r>
      <w:r w:rsidR="007B2D55">
        <w:rPr>
          <w:rFonts w:ascii="Book Antiqua" w:hAnsi="Book Antiqua" w:cs="Arial"/>
        </w:rPr>
        <w:t xml:space="preserve">  </w:t>
      </w:r>
    </w:p>
    <w:p w:rsidR="007B2D55" w:rsidRDefault="007B2D55" w:rsidP="005E5DFF">
      <w:pPr>
        <w:numPr>
          <w:ilvl w:val="0"/>
          <w:numId w:val="3"/>
        </w:numPr>
        <w:spacing w:before="240"/>
        <w:jc w:val="both"/>
        <w:rPr>
          <w:rFonts w:ascii="Book Antiqua" w:hAnsi="Book Antiqua" w:cs="Arial"/>
        </w:rPr>
      </w:pPr>
      <w:r>
        <w:rPr>
          <w:rFonts w:ascii="Book Antiqua" w:hAnsi="Book Antiqua" w:cs="Arial"/>
        </w:rPr>
        <w:t>At paragraph 22 it was contended that the judge had erred by simply relying upon the Respondent’s refusal letter, and had not a</w:t>
      </w:r>
      <w:r w:rsidR="00953124">
        <w:rPr>
          <w:rFonts w:ascii="Book Antiqua" w:hAnsi="Book Antiqua" w:cs="Arial"/>
        </w:rPr>
        <w:t>ssessed the oral evidence given at the hearing.</w:t>
      </w:r>
    </w:p>
    <w:p w:rsidR="00953124" w:rsidRDefault="00953124" w:rsidP="005E5DFF">
      <w:pPr>
        <w:numPr>
          <w:ilvl w:val="0"/>
          <w:numId w:val="3"/>
        </w:numPr>
        <w:spacing w:before="240"/>
        <w:jc w:val="both"/>
        <w:rPr>
          <w:rFonts w:ascii="Book Antiqua" w:hAnsi="Book Antiqua" w:cs="Arial"/>
        </w:rPr>
      </w:pPr>
      <w:r>
        <w:rPr>
          <w:rFonts w:ascii="Book Antiqua" w:hAnsi="Book Antiqua" w:cs="Arial"/>
        </w:rPr>
        <w:t>It was submitted that the judge had failed to properly consider the best interest</w:t>
      </w:r>
      <w:r w:rsidR="0048722D">
        <w:rPr>
          <w:rFonts w:ascii="Book Antiqua" w:hAnsi="Book Antiqua" w:cs="Arial"/>
        </w:rPr>
        <w:t>s</w:t>
      </w:r>
      <w:r>
        <w:rPr>
          <w:rFonts w:ascii="Book Antiqua" w:hAnsi="Book Antiqua" w:cs="Arial"/>
        </w:rPr>
        <w:t xml:space="preserve"> of the Appellant’s two sons born 1</w:t>
      </w:r>
      <w:r w:rsidRPr="00953124">
        <w:rPr>
          <w:rFonts w:ascii="Book Antiqua" w:hAnsi="Book Antiqua" w:cs="Arial"/>
          <w:vertAlign w:val="superscript"/>
        </w:rPr>
        <w:t>st</w:t>
      </w:r>
      <w:r>
        <w:rPr>
          <w:rFonts w:ascii="Book Antiqua" w:hAnsi="Book Antiqua" w:cs="Arial"/>
        </w:rPr>
        <w:t xml:space="preserve"> October 2014 and 12</w:t>
      </w:r>
      <w:r w:rsidRPr="00953124">
        <w:rPr>
          <w:rFonts w:ascii="Book Antiqua" w:hAnsi="Book Antiqua" w:cs="Arial"/>
          <w:vertAlign w:val="superscript"/>
        </w:rPr>
        <w:t>th</w:t>
      </w:r>
      <w:r>
        <w:rPr>
          <w:rFonts w:ascii="Book Antiqua" w:hAnsi="Book Antiqua" w:cs="Arial"/>
        </w:rPr>
        <w:t xml:space="preserve"> August 2017.  Evidence had been given that the eldest son had “significant development</w:t>
      </w:r>
      <w:r w:rsidR="0048722D">
        <w:rPr>
          <w:rFonts w:ascii="Book Antiqua" w:hAnsi="Book Antiqua" w:cs="Arial"/>
        </w:rPr>
        <w:t>al</w:t>
      </w:r>
      <w:r>
        <w:rPr>
          <w:rFonts w:ascii="Book Antiqua" w:hAnsi="Book Antiqua" w:cs="Arial"/>
        </w:rPr>
        <w:t xml:space="preserve"> difficulties”.  It was submitted that the judge had failed to refer to the schooling of the children, their welfare, and their social network in the UK.  </w:t>
      </w:r>
    </w:p>
    <w:p w:rsidR="00953124" w:rsidRDefault="00953124" w:rsidP="005E5DFF">
      <w:pPr>
        <w:numPr>
          <w:ilvl w:val="0"/>
          <w:numId w:val="3"/>
        </w:numPr>
        <w:spacing w:before="240"/>
        <w:jc w:val="both"/>
        <w:rPr>
          <w:rFonts w:ascii="Book Antiqua" w:hAnsi="Book Antiqua" w:cs="Arial"/>
        </w:rPr>
      </w:pPr>
      <w:r>
        <w:rPr>
          <w:rFonts w:ascii="Book Antiqua" w:hAnsi="Book Antiqua" w:cs="Arial"/>
        </w:rPr>
        <w:t>It was contended that the judge had erred by failing to consider paragraph 276ADE(1)(vi) of the Immigration Rules, and failed to take into account that the Appellant had resided in the UK for almost seventeen years.</w:t>
      </w:r>
    </w:p>
    <w:p w:rsidR="00953124" w:rsidRDefault="00953124" w:rsidP="005E5DFF">
      <w:pPr>
        <w:numPr>
          <w:ilvl w:val="0"/>
          <w:numId w:val="3"/>
        </w:numPr>
        <w:spacing w:before="240"/>
        <w:jc w:val="both"/>
        <w:rPr>
          <w:rFonts w:ascii="Book Antiqua" w:hAnsi="Book Antiqua" w:cs="Arial"/>
        </w:rPr>
      </w:pPr>
      <w:r>
        <w:rPr>
          <w:rFonts w:ascii="Book Antiqua" w:hAnsi="Book Antiqua" w:cs="Arial"/>
        </w:rPr>
        <w:t xml:space="preserve">Permission to appeal was given by Judge Osborne of the </w:t>
      </w:r>
      <w:proofErr w:type="spellStart"/>
      <w:r>
        <w:rPr>
          <w:rFonts w:ascii="Book Antiqua" w:hAnsi="Book Antiqua" w:cs="Arial"/>
        </w:rPr>
        <w:t>FtT</w:t>
      </w:r>
      <w:proofErr w:type="spellEnd"/>
      <w:r>
        <w:rPr>
          <w:rFonts w:ascii="Book Antiqua" w:hAnsi="Book Antiqua" w:cs="Arial"/>
        </w:rPr>
        <w:t xml:space="preserve"> in the following terms;</w:t>
      </w:r>
    </w:p>
    <w:p w:rsidR="00953124" w:rsidRPr="00953124" w:rsidRDefault="00953124" w:rsidP="00953124">
      <w:pPr>
        <w:spacing w:before="240"/>
        <w:ind w:left="1701" w:hanging="567"/>
        <w:jc w:val="both"/>
        <w:rPr>
          <w:rFonts w:ascii="Book Antiqua" w:hAnsi="Book Antiqua" w:cs="Arial"/>
          <w:sz w:val="22"/>
          <w:szCs w:val="22"/>
        </w:rPr>
      </w:pPr>
      <w:r>
        <w:rPr>
          <w:rFonts w:ascii="Book Antiqua" w:hAnsi="Book Antiqua" w:cs="Arial"/>
          <w:sz w:val="22"/>
        </w:rPr>
        <w:t>“2.</w:t>
      </w:r>
      <w:r>
        <w:rPr>
          <w:rFonts w:ascii="Book Antiqua" w:hAnsi="Book Antiqua" w:cs="Arial"/>
          <w:sz w:val="22"/>
        </w:rPr>
        <w:tab/>
      </w:r>
      <w:r w:rsidRPr="00953124">
        <w:rPr>
          <w:rFonts w:ascii="Book Antiqua" w:hAnsi="Book Antiqua" w:cs="Arial"/>
          <w:sz w:val="22"/>
        </w:rPr>
        <w:t xml:space="preserve">The grounds assert </w:t>
      </w:r>
      <w:r w:rsidRPr="00953124">
        <w:rPr>
          <w:rFonts w:ascii="Book Antiqua" w:hAnsi="Book Antiqua" w:cs="Arial"/>
          <w:sz w:val="22"/>
          <w:szCs w:val="22"/>
        </w:rPr>
        <w:t>that the judge materially erred in law.  He failed to properly assess the Article 8 appeal.  Paragraph 276ADE Immigration Rules is clearly engaged.  The judge failed to properly consider the best interests of the child.  Proper findings on credibility were not reached and were inadequately reasoned.  The judge failed to assess the Appellant’s oral evidence that he is a Bihari.  The judge failed to consider the issue of private life.</w:t>
      </w:r>
    </w:p>
    <w:p w:rsidR="00953124" w:rsidRDefault="00953124" w:rsidP="00517DF3">
      <w:pPr>
        <w:spacing w:before="240"/>
        <w:ind w:left="1701" w:hanging="567"/>
        <w:jc w:val="both"/>
        <w:rPr>
          <w:rFonts w:ascii="Book Antiqua" w:hAnsi="Book Antiqua" w:cs="Arial"/>
          <w:sz w:val="22"/>
          <w:szCs w:val="22"/>
        </w:rPr>
      </w:pPr>
      <w:r w:rsidRPr="00953124">
        <w:rPr>
          <w:rFonts w:ascii="Book Antiqua" w:hAnsi="Book Antiqua" w:cs="Arial"/>
          <w:sz w:val="22"/>
          <w:szCs w:val="22"/>
        </w:rPr>
        <w:t>3.</w:t>
      </w:r>
      <w:r w:rsidRPr="00953124">
        <w:rPr>
          <w:rFonts w:ascii="Book Antiqua" w:hAnsi="Book Antiqua" w:cs="Arial"/>
          <w:sz w:val="22"/>
          <w:szCs w:val="22"/>
        </w:rPr>
        <w:tab/>
        <w:t xml:space="preserve">In an otherwise careful and focused </w:t>
      </w:r>
      <w:r>
        <w:rPr>
          <w:rFonts w:ascii="Book Antiqua" w:hAnsi="Book Antiqua" w:cs="Arial"/>
          <w:sz w:val="22"/>
          <w:szCs w:val="22"/>
        </w:rPr>
        <w:t>d</w:t>
      </w:r>
      <w:r w:rsidRPr="00953124">
        <w:rPr>
          <w:rFonts w:ascii="Book Antiqua" w:hAnsi="Book Antiqua" w:cs="Arial"/>
          <w:sz w:val="22"/>
          <w:szCs w:val="22"/>
        </w:rPr>
        <w:t>ecision, it is nonetheless arguable that the judge made no finding as to what was in the best interests of the children.  It is at least arguable that the judge should have made a specific finding upon this issue before finding that the best interests of the children were outweighed by other more compelling factors.  It is arguable that the judge adopted the</w:t>
      </w:r>
      <w:r>
        <w:rPr>
          <w:rFonts w:ascii="Book Antiqua" w:hAnsi="Book Antiqua" w:cs="Arial"/>
          <w:sz w:val="22"/>
          <w:szCs w:val="22"/>
        </w:rPr>
        <w:t xml:space="preserve"> wrong approach to this issue.</w:t>
      </w:r>
    </w:p>
    <w:p w:rsidR="00953124" w:rsidRPr="008E40EF" w:rsidRDefault="00953124" w:rsidP="00517DF3">
      <w:pPr>
        <w:spacing w:before="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r>
      <w:r w:rsidRPr="00953124">
        <w:rPr>
          <w:rFonts w:ascii="Book Antiqua" w:hAnsi="Book Antiqua" w:cs="Arial"/>
          <w:sz w:val="22"/>
        </w:rPr>
        <w:t>This arguably material error of law having been identified, all the issues raise</w:t>
      </w:r>
      <w:r w:rsidR="003D171B">
        <w:rPr>
          <w:rFonts w:ascii="Book Antiqua" w:hAnsi="Book Antiqua" w:cs="Arial"/>
          <w:sz w:val="22"/>
        </w:rPr>
        <w:t>d in the grounds are arguable.”</w:t>
      </w:r>
    </w:p>
    <w:p w:rsidR="00953124" w:rsidRDefault="00D73834" w:rsidP="00517DF3">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did not lodge a response pursuant to rule 24 of the Tribunal Procedure (Upper Tribunal) Rules 2008.  Directions were issued that there should be an oral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had erred in law such that the decision must be set aside.</w:t>
      </w:r>
    </w:p>
    <w:p w:rsidR="00E57AC1" w:rsidRDefault="00E57AC1" w:rsidP="00D73834">
      <w:pPr>
        <w:spacing w:before="240"/>
        <w:jc w:val="both"/>
        <w:rPr>
          <w:rFonts w:ascii="Book Antiqua" w:hAnsi="Book Antiqua" w:cs="Arial"/>
          <w:b/>
        </w:rPr>
      </w:pPr>
    </w:p>
    <w:p w:rsidR="00D73834" w:rsidRPr="00D73834" w:rsidRDefault="00D73834" w:rsidP="00D73834">
      <w:pPr>
        <w:spacing w:before="240"/>
        <w:jc w:val="both"/>
        <w:rPr>
          <w:rFonts w:ascii="Book Antiqua" w:hAnsi="Book Antiqua" w:cs="Arial"/>
          <w:b/>
        </w:rPr>
      </w:pPr>
      <w:r>
        <w:rPr>
          <w:rFonts w:ascii="Book Antiqua" w:hAnsi="Book Antiqua" w:cs="Arial"/>
          <w:b/>
        </w:rPr>
        <w:lastRenderedPageBreak/>
        <w:t>The Upper Tribunal Hearing</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advised that although there was no rule 24 response, the Respondent’s position was that the decision of the </w:t>
      </w:r>
      <w:proofErr w:type="spellStart"/>
      <w:r>
        <w:rPr>
          <w:rFonts w:ascii="Book Antiqua" w:hAnsi="Book Antiqua" w:cs="Arial"/>
        </w:rPr>
        <w:t>FtT</w:t>
      </w:r>
      <w:proofErr w:type="spellEnd"/>
      <w:r>
        <w:rPr>
          <w:rFonts w:ascii="Book Antiqua" w:hAnsi="Book Antiqua" w:cs="Arial"/>
        </w:rPr>
        <w:t xml:space="preserve"> disclosed no material error of law.</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 xml:space="preserve">Mr Rahman in making oral submissions advised that he had no oral submissions to make in relation to the credibility points in the grounds seeking permission to appeal.  Neither representative was able to provide me with the Grounds of Appeal that had been submitted to the </w:t>
      </w:r>
      <w:proofErr w:type="spellStart"/>
      <w:r>
        <w:rPr>
          <w:rFonts w:ascii="Book Antiqua" w:hAnsi="Book Antiqua" w:cs="Arial"/>
        </w:rPr>
        <w:t>FtT</w:t>
      </w:r>
      <w:proofErr w:type="spellEnd"/>
      <w:r>
        <w:rPr>
          <w:rFonts w:ascii="Book Antiqua" w:hAnsi="Book Antiqua" w:cs="Arial"/>
        </w:rPr>
        <w:t>.</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 xml:space="preserve">Mr Rahman submitted that the judge had erred in law by failing to adequately consider the best interests of the Appellant’s two sons.  There was no finding as to what the best interests of the children would be. </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 xml:space="preserve">Within the Appellant’s bundle before the </w:t>
      </w:r>
      <w:proofErr w:type="spellStart"/>
      <w:r>
        <w:rPr>
          <w:rFonts w:ascii="Book Antiqua" w:hAnsi="Book Antiqua" w:cs="Arial"/>
        </w:rPr>
        <w:t>FtT</w:t>
      </w:r>
      <w:proofErr w:type="spellEnd"/>
      <w:r>
        <w:rPr>
          <w:rFonts w:ascii="Book Antiqua" w:hAnsi="Book Antiqua" w:cs="Arial"/>
        </w:rPr>
        <w:t xml:space="preserve"> was a letter from the </w:t>
      </w:r>
      <w:proofErr w:type="spellStart"/>
      <w:r>
        <w:rPr>
          <w:rFonts w:ascii="Book Antiqua" w:hAnsi="Book Antiqua" w:cs="Arial"/>
        </w:rPr>
        <w:t>pre</w:t>
      </w:r>
      <w:r w:rsidR="007658B9">
        <w:rPr>
          <w:rFonts w:ascii="Book Antiqua" w:hAnsi="Book Antiqua" w:cs="Arial"/>
        </w:rPr>
        <w:t xml:space="preserve"> </w:t>
      </w:r>
      <w:r>
        <w:rPr>
          <w:rFonts w:ascii="Book Antiqua" w:hAnsi="Book Antiqua" w:cs="Arial"/>
        </w:rPr>
        <w:t>school</w:t>
      </w:r>
      <w:proofErr w:type="spellEnd"/>
      <w:r>
        <w:rPr>
          <w:rFonts w:ascii="Book Antiqua" w:hAnsi="Book Antiqua" w:cs="Arial"/>
        </w:rPr>
        <w:t xml:space="preserve"> attended by the eldest son which confirmed he had learning difficulties, but there had been no investigation by the judge of the effect of removal of the child.  The judge noted the letter from Dr Adeoye, a consultant paediatrician, typed on 5</w:t>
      </w:r>
      <w:r w:rsidRPr="00D73834">
        <w:rPr>
          <w:rFonts w:ascii="Book Antiqua" w:hAnsi="Book Antiqua" w:cs="Arial"/>
          <w:vertAlign w:val="superscript"/>
        </w:rPr>
        <w:t>th</w:t>
      </w:r>
      <w:r>
        <w:rPr>
          <w:rFonts w:ascii="Book Antiqua" w:hAnsi="Book Antiqua" w:cs="Arial"/>
        </w:rPr>
        <w:t xml:space="preserve"> February 2018, which indicates significant development</w:t>
      </w:r>
      <w:r w:rsidR="007658B9">
        <w:rPr>
          <w:rFonts w:ascii="Book Antiqua" w:hAnsi="Book Antiqua" w:cs="Arial"/>
        </w:rPr>
        <w:t>al</w:t>
      </w:r>
      <w:r>
        <w:rPr>
          <w:rFonts w:ascii="Book Antiqua" w:hAnsi="Book Antiqua" w:cs="Arial"/>
        </w:rPr>
        <w:t xml:space="preserve"> difficulties,</w:t>
      </w:r>
      <w:r w:rsidR="007658B9">
        <w:rPr>
          <w:rFonts w:ascii="Book Antiqua" w:hAnsi="Book Antiqua" w:cs="Arial"/>
        </w:rPr>
        <w:t xml:space="preserve"> but</w:t>
      </w:r>
      <w:r>
        <w:rPr>
          <w:rFonts w:ascii="Book Antiqua" w:hAnsi="Book Antiqua" w:cs="Arial"/>
        </w:rPr>
        <w:t xml:space="preserve"> does not make any diagnosis.  Mr Rahman submitted that it was an error to assess the best interests of a child, when there was no diagnosis of his condition, and it was the duty of the judge to investigate the best interests of the children even if this was not referred to by the representative at the hearing (although it was not accepted that there had been no such reference by the representative at the hearing before the judge).</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pointed out that the witness statements made by the Appellant and his wife made no reference to the children.  The judge had noted and </w:t>
      </w:r>
      <w:proofErr w:type="gramStart"/>
      <w:r>
        <w:rPr>
          <w:rFonts w:ascii="Book Antiqua" w:hAnsi="Book Antiqua" w:cs="Arial"/>
        </w:rPr>
        <w:t>taken into account</w:t>
      </w:r>
      <w:proofErr w:type="gramEnd"/>
      <w:r>
        <w:rPr>
          <w:rFonts w:ascii="Book Antiqua" w:hAnsi="Book Antiqua" w:cs="Arial"/>
        </w:rPr>
        <w:t xml:space="preserve"> that the children were aged three years and six months respectively at the time of the </w:t>
      </w:r>
      <w:proofErr w:type="spellStart"/>
      <w:r>
        <w:rPr>
          <w:rFonts w:ascii="Book Antiqua" w:hAnsi="Book Antiqua" w:cs="Arial"/>
        </w:rPr>
        <w:t>FtT</w:t>
      </w:r>
      <w:proofErr w:type="spellEnd"/>
      <w:r>
        <w:rPr>
          <w:rFonts w:ascii="Book Antiqua" w:hAnsi="Book Antiqua" w:cs="Arial"/>
        </w:rPr>
        <w:t xml:space="preserve"> hearing.  I was asked to find that the judge had in fact found that the best interests of the children would be to return to Bangladesh with their parents.  Mr </w:t>
      </w:r>
      <w:proofErr w:type="spellStart"/>
      <w:r>
        <w:rPr>
          <w:rFonts w:ascii="Book Antiqua" w:hAnsi="Book Antiqua" w:cs="Arial"/>
        </w:rPr>
        <w:t>Kotas</w:t>
      </w:r>
      <w:proofErr w:type="spellEnd"/>
      <w:r>
        <w:rPr>
          <w:rFonts w:ascii="Book Antiqua" w:hAnsi="Book Antiqua" w:cs="Arial"/>
        </w:rPr>
        <w:t xml:space="preserve"> submitted that even if the best interests of the eldest child would be to remain in the UK, on the facts of this case, it would still be proportionate for the family to return to Bangladesh, and the </w:t>
      </w:r>
      <w:proofErr w:type="spellStart"/>
      <w:r>
        <w:rPr>
          <w:rFonts w:ascii="Book Antiqua" w:hAnsi="Book Antiqua" w:cs="Arial"/>
        </w:rPr>
        <w:t>FtT</w:t>
      </w:r>
      <w:proofErr w:type="spellEnd"/>
      <w:r>
        <w:rPr>
          <w:rFonts w:ascii="Book Antiqua" w:hAnsi="Book Antiqua" w:cs="Arial"/>
        </w:rPr>
        <w:t xml:space="preserve"> decision disclosed no material error of law.</w:t>
      </w:r>
    </w:p>
    <w:p w:rsidR="00D73834" w:rsidRPr="00D73834" w:rsidRDefault="00D73834" w:rsidP="00D73834">
      <w:pPr>
        <w:spacing w:before="240"/>
        <w:jc w:val="both"/>
        <w:rPr>
          <w:rFonts w:ascii="Book Antiqua" w:hAnsi="Book Antiqua" w:cs="Arial"/>
          <w:b/>
        </w:rPr>
      </w:pPr>
      <w:r>
        <w:rPr>
          <w:rFonts w:ascii="Book Antiqua" w:hAnsi="Book Antiqua" w:cs="Arial"/>
          <w:b/>
        </w:rPr>
        <w:t>My Conclusions and Reasons</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I find no material error of law disclosed when considering the credibility findings made by the judge.  In my view the judge did not fail to take into account any material evidence.  At paragraph 21 the judge sets out the contradictory and inconsistent evidence provided by the Appellant and his wife and does not err in law in so doing.  The judge gives adequate reasons for finding that the evidence given in relation to threats made by the wife’s family is inconsistent and incredible and provides adequate reasons for those findings.</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t xml:space="preserve">The claimed error of law in paragraph 22 is not particularised.  No oral submissions were made on this point, and the assertion that there was no assessment of the Appellant’s oral evidence is unsubstantiated.  In this paragraph the judge made findings open to him on the evidence, and provided adequate reasons.  No error of law is disclosed in this paragraph.  </w:t>
      </w:r>
    </w:p>
    <w:p w:rsidR="00D73834" w:rsidRDefault="00D73834" w:rsidP="005E5DFF">
      <w:pPr>
        <w:numPr>
          <w:ilvl w:val="0"/>
          <w:numId w:val="3"/>
        </w:numPr>
        <w:spacing w:before="240"/>
        <w:jc w:val="both"/>
        <w:rPr>
          <w:rFonts w:ascii="Book Antiqua" w:hAnsi="Book Antiqua" w:cs="Arial"/>
        </w:rPr>
      </w:pPr>
      <w:r>
        <w:rPr>
          <w:rFonts w:ascii="Book Antiqua" w:hAnsi="Book Antiqua" w:cs="Arial"/>
        </w:rPr>
        <w:lastRenderedPageBreak/>
        <w:t>The best interests of the children must be a primary consideration, not a paramount consideration as stated by the judge at paragraph 23.  The judge clearly took into account the very young ages of the children.  There is no explicit and specific finding as to the best interests of the children,</w:t>
      </w:r>
      <w:r w:rsidR="002B5271">
        <w:rPr>
          <w:rFonts w:ascii="Book Antiqua" w:hAnsi="Book Antiqua" w:cs="Arial"/>
        </w:rPr>
        <w:t xml:space="preserve"> but</w:t>
      </w:r>
      <w:r>
        <w:rPr>
          <w:rFonts w:ascii="Book Antiqua" w:hAnsi="Book Antiqua" w:cs="Arial"/>
        </w:rPr>
        <w:t xml:space="preserve"> reading the decision as a whole, my view is that the judge found that the best interests of the children would be to remain with their parents, and in view of the young ages of the children, there is no error of law in such a finding.  I find little merit in the submission contained at paragraph 10 of the grounds seeking permission to appeal, </w:t>
      </w:r>
      <w:r w:rsidR="002B5271">
        <w:rPr>
          <w:rFonts w:ascii="Book Antiqua" w:hAnsi="Book Antiqua" w:cs="Arial"/>
        </w:rPr>
        <w:t>which</w:t>
      </w:r>
      <w:r>
        <w:rPr>
          <w:rFonts w:ascii="Book Antiqua" w:hAnsi="Book Antiqua" w:cs="Arial"/>
        </w:rPr>
        <w:t xml:space="preserve"> claims that the judge made no reference to the schooling of the children and their social network.  The children were too young to have a social network, and neither child attended school.  </w:t>
      </w:r>
      <w:r w:rsidR="005749A4">
        <w:rPr>
          <w:rFonts w:ascii="Book Antiqua" w:hAnsi="Book Antiqua" w:cs="Arial"/>
        </w:rPr>
        <w:t xml:space="preserve">The judge specifically referred to the letter from </w:t>
      </w:r>
      <w:r w:rsidR="00996C10">
        <w:rPr>
          <w:rFonts w:ascii="Book Antiqua" w:hAnsi="Book Antiqua" w:cs="Arial"/>
        </w:rPr>
        <w:t xml:space="preserve">[           </w:t>
      </w:r>
      <w:proofErr w:type="gramStart"/>
      <w:r w:rsidR="00996C10">
        <w:rPr>
          <w:rFonts w:ascii="Book Antiqua" w:hAnsi="Book Antiqua" w:cs="Arial"/>
        </w:rPr>
        <w:t xml:space="preserve">  ]</w:t>
      </w:r>
      <w:proofErr w:type="gramEnd"/>
      <w:r w:rsidR="005749A4">
        <w:rPr>
          <w:rFonts w:ascii="Book Antiqua" w:hAnsi="Book Antiqua" w:cs="Arial"/>
        </w:rPr>
        <w:t xml:space="preserve"> </w:t>
      </w:r>
      <w:proofErr w:type="spellStart"/>
      <w:r w:rsidR="005749A4">
        <w:rPr>
          <w:rFonts w:ascii="Book Antiqua" w:hAnsi="Book Antiqua" w:cs="Arial"/>
        </w:rPr>
        <w:t>Pre</w:t>
      </w:r>
      <w:bookmarkStart w:id="0" w:name="_GoBack"/>
      <w:bookmarkEnd w:id="0"/>
      <w:r w:rsidR="002B5271">
        <w:rPr>
          <w:rFonts w:ascii="Book Antiqua" w:hAnsi="Book Antiqua" w:cs="Arial"/>
        </w:rPr>
        <w:t xml:space="preserve"> </w:t>
      </w:r>
      <w:r w:rsidR="005749A4">
        <w:rPr>
          <w:rFonts w:ascii="Book Antiqua" w:hAnsi="Book Antiqua" w:cs="Arial"/>
        </w:rPr>
        <w:t>school</w:t>
      </w:r>
      <w:proofErr w:type="spellEnd"/>
      <w:r w:rsidR="005749A4">
        <w:rPr>
          <w:rFonts w:ascii="Book Antiqua" w:hAnsi="Book Antiqua" w:cs="Arial"/>
        </w:rPr>
        <w:t xml:space="preserve"> dated 31</w:t>
      </w:r>
      <w:r w:rsidR="005749A4" w:rsidRPr="005749A4">
        <w:rPr>
          <w:rFonts w:ascii="Book Antiqua" w:hAnsi="Book Antiqua" w:cs="Arial"/>
          <w:vertAlign w:val="superscript"/>
        </w:rPr>
        <w:t>st</w:t>
      </w:r>
      <w:r w:rsidR="005749A4">
        <w:rPr>
          <w:rFonts w:ascii="Book Antiqua" w:hAnsi="Book Antiqua" w:cs="Arial"/>
        </w:rPr>
        <w:t xml:space="preserve"> January 2018, at paragraph 20.  The judge also considered the medical evidence in relation to the eldest child.  </w:t>
      </w:r>
    </w:p>
    <w:p w:rsidR="005749A4" w:rsidRDefault="005749A4" w:rsidP="005E5DFF">
      <w:pPr>
        <w:numPr>
          <w:ilvl w:val="0"/>
          <w:numId w:val="3"/>
        </w:numPr>
        <w:spacing w:before="240"/>
        <w:jc w:val="both"/>
        <w:rPr>
          <w:rFonts w:ascii="Book Antiqua" w:hAnsi="Book Antiqua" w:cs="Arial"/>
        </w:rPr>
      </w:pPr>
      <w:r>
        <w:rPr>
          <w:rFonts w:ascii="Book Antiqua" w:hAnsi="Book Antiqua" w:cs="Arial"/>
        </w:rPr>
        <w:t>The conclusion of the judge, in my view, was that if the parents returned to Bangladesh, then the best interests of the children would be served by returning to Bangladesh with their parents.  The judge clearly took into account that neither child is British, and neither was old enough to have acquired seven years’ continuous residence in the UK.</w:t>
      </w:r>
    </w:p>
    <w:p w:rsidR="00D73834" w:rsidRDefault="005749A4" w:rsidP="005E5DFF">
      <w:pPr>
        <w:numPr>
          <w:ilvl w:val="0"/>
          <w:numId w:val="3"/>
        </w:numPr>
        <w:spacing w:before="240"/>
        <w:jc w:val="both"/>
        <w:rPr>
          <w:rFonts w:ascii="Book Antiqua" w:hAnsi="Book Antiqua" w:cs="Arial"/>
        </w:rPr>
      </w:pPr>
      <w:r>
        <w:rPr>
          <w:rFonts w:ascii="Book Antiqua" w:hAnsi="Book Antiqua" w:cs="Arial"/>
        </w:rPr>
        <w:t xml:space="preserve">The judge found Bangladesh has a functioning healthcare and education system.  The judge also found at paragraph 23 “that no evidence has been provided </w:t>
      </w:r>
      <w:r w:rsidR="00923B35">
        <w:rPr>
          <w:rFonts w:ascii="Book Antiqua" w:hAnsi="Book Antiqua" w:cs="Arial"/>
        </w:rPr>
        <w:t>that</w:t>
      </w:r>
      <w:r>
        <w:rPr>
          <w:rFonts w:ascii="Book Antiqua" w:hAnsi="Book Antiqua" w:cs="Arial"/>
        </w:rPr>
        <w:t xml:space="preserve"> any particular medical attention required by the eldest son of the Appellant would not be available in Bangladesh”.</w:t>
      </w:r>
    </w:p>
    <w:p w:rsidR="005749A4" w:rsidRDefault="005749A4" w:rsidP="005E5DFF">
      <w:pPr>
        <w:numPr>
          <w:ilvl w:val="0"/>
          <w:numId w:val="3"/>
        </w:numPr>
        <w:spacing w:before="240"/>
        <w:jc w:val="both"/>
        <w:rPr>
          <w:rFonts w:ascii="Book Antiqua" w:hAnsi="Book Antiqua" w:cs="Arial"/>
        </w:rPr>
      </w:pPr>
      <w:r>
        <w:rPr>
          <w:rFonts w:ascii="Book Antiqua" w:hAnsi="Book Antiqua" w:cs="Arial"/>
        </w:rPr>
        <w:t xml:space="preserve">The judge recognised at paragraph 23 that “it is generally in the best interests of children to have stability and continuity in their social situation and education.”  The judge considered the letter from </w:t>
      </w:r>
      <w:r w:rsidR="00375D27">
        <w:rPr>
          <w:rFonts w:ascii="Book Antiqua" w:hAnsi="Book Antiqua" w:cs="Arial"/>
        </w:rPr>
        <w:t xml:space="preserve">Dr </w:t>
      </w:r>
      <w:proofErr w:type="spellStart"/>
      <w:r>
        <w:rPr>
          <w:rFonts w:ascii="Book Antiqua" w:hAnsi="Book Antiqua" w:cs="Arial"/>
        </w:rPr>
        <w:t>Adeoye</w:t>
      </w:r>
      <w:proofErr w:type="spellEnd"/>
      <w:r>
        <w:rPr>
          <w:rFonts w:ascii="Book Antiqua" w:hAnsi="Book Antiqua" w:cs="Arial"/>
        </w:rPr>
        <w:t xml:space="preserve"> which is specifically referred to </w:t>
      </w:r>
      <w:proofErr w:type="spellStart"/>
      <w:r>
        <w:rPr>
          <w:rFonts w:ascii="Book Antiqua" w:hAnsi="Book Antiqua" w:cs="Arial"/>
        </w:rPr>
        <w:t>at</w:t>
      </w:r>
      <w:proofErr w:type="spellEnd"/>
      <w:r>
        <w:rPr>
          <w:rFonts w:ascii="Book Antiqua" w:hAnsi="Book Antiqua" w:cs="Arial"/>
        </w:rPr>
        <w:t xml:space="preserve"> paragraph 20, and at paragraph 23 the judge comments that the eldest son has significant developmental issues, but that a clear diagnosis has not yet been made.  There was no definitive indication of when a diagnosis would be made.  The judge was not asked to adjourn the hearing so that a diagnosis could be made.  The Appellant was legally represented.</w:t>
      </w:r>
    </w:p>
    <w:p w:rsidR="005749A4" w:rsidRDefault="005749A4" w:rsidP="005E5DFF">
      <w:pPr>
        <w:numPr>
          <w:ilvl w:val="0"/>
          <w:numId w:val="3"/>
        </w:numPr>
        <w:spacing w:before="240"/>
        <w:jc w:val="both"/>
        <w:rPr>
          <w:rFonts w:ascii="Book Antiqua" w:hAnsi="Book Antiqua" w:cs="Arial"/>
        </w:rPr>
      </w:pPr>
      <w:r>
        <w:rPr>
          <w:rFonts w:ascii="Book Antiqua" w:hAnsi="Book Antiqua" w:cs="Arial"/>
        </w:rPr>
        <w:t>I therefore conclude that the judge did consider all the evidence that was submitted in relation to the Appellant’s children,</w:t>
      </w:r>
      <w:r w:rsidR="00DC02E0">
        <w:rPr>
          <w:rFonts w:ascii="Book Antiqua" w:hAnsi="Book Antiqua" w:cs="Arial"/>
        </w:rPr>
        <w:t xml:space="preserve"> and</w:t>
      </w:r>
      <w:r>
        <w:rPr>
          <w:rFonts w:ascii="Book Antiqua" w:hAnsi="Book Antiqua" w:cs="Arial"/>
        </w:rPr>
        <w:t xml:space="preserve"> the overall conclusion is that it would be in their best interests to remain with their parents, and if the parents return to Bangladesh so should the children where there is healthcare and education.</w:t>
      </w:r>
    </w:p>
    <w:p w:rsidR="005749A4" w:rsidRDefault="005749A4" w:rsidP="005E5DFF">
      <w:pPr>
        <w:numPr>
          <w:ilvl w:val="0"/>
          <w:numId w:val="3"/>
        </w:numPr>
        <w:spacing w:before="240"/>
        <w:jc w:val="both"/>
        <w:rPr>
          <w:rFonts w:ascii="Book Antiqua" w:hAnsi="Book Antiqua" w:cs="Arial"/>
        </w:rPr>
      </w:pPr>
      <w:r>
        <w:rPr>
          <w:rFonts w:ascii="Book Antiqua" w:hAnsi="Book Antiqua" w:cs="Arial"/>
        </w:rPr>
        <w:t>The judge made no specific reference to paragraph 276ADE in his findings of fact, which are contained at paragraphs 18 – 25, but this is not a material error.  The judge found at paragraph 25 that the Appellant had not “given a truthful and accurate account.”  The judge did not accept the Appellant’s core account, and made a finding that the Appellant could return to Bangladesh with his family, and that he and his family would not face very significant obstacles in reintegrating into life in Bangladesh.  The reference to very significant obstacles and reintegration is clearly a reference to paragraph 276ADE(1)(vi).</w:t>
      </w:r>
    </w:p>
    <w:p w:rsidR="00CC44DA" w:rsidRPr="005749A4" w:rsidRDefault="005749A4" w:rsidP="00CC44DA">
      <w:pPr>
        <w:numPr>
          <w:ilvl w:val="0"/>
          <w:numId w:val="3"/>
        </w:numPr>
        <w:spacing w:before="240"/>
        <w:jc w:val="both"/>
        <w:rPr>
          <w:rFonts w:ascii="Book Antiqua" w:hAnsi="Book Antiqua" w:cs="Arial"/>
        </w:rPr>
      </w:pPr>
      <w:r w:rsidRPr="005749A4">
        <w:rPr>
          <w:rFonts w:ascii="Book Antiqua" w:hAnsi="Book Antiqua" w:cs="Arial"/>
        </w:rPr>
        <w:lastRenderedPageBreak/>
        <w:t xml:space="preserve">My conclusion is that the grounds upon which permission to appeal has been granted, display a disagreement with findings made by the judge, but do not disclose a material error of law.  </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Pr="00F13D39" w:rsidRDefault="005749A4" w:rsidP="00F13D39">
      <w:pPr>
        <w:jc w:val="both"/>
        <w:rPr>
          <w:rFonts w:ascii="Book Antiqua" w:hAnsi="Book Antiqua" w:cs="Arial"/>
        </w:rPr>
      </w:pPr>
      <w:r>
        <w:rPr>
          <w:rFonts w:ascii="Book Antiqua" w:hAnsi="Book Antiqua" w:cs="Arial"/>
        </w:rPr>
        <w:t xml:space="preserve">The decision of the </w:t>
      </w:r>
      <w:proofErr w:type="spellStart"/>
      <w:r>
        <w:rPr>
          <w:rFonts w:ascii="Book Antiqua" w:hAnsi="Book Antiqua" w:cs="Arial"/>
        </w:rPr>
        <w:t>FtT</w:t>
      </w:r>
      <w:proofErr w:type="spellEnd"/>
      <w:r>
        <w:rPr>
          <w:rFonts w:ascii="Book Antiqua" w:hAnsi="Book Antiqua" w:cs="Arial"/>
        </w:rPr>
        <w:t xml:space="preserve"> does not disclose a material error of law.  The decision is not set aside.  The appeal is dismissed.</w:t>
      </w:r>
    </w:p>
    <w:p w:rsidR="00F13D39" w:rsidRPr="00F13D39" w:rsidRDefault="00F13D39" w:rsidP="00F13D39">
      <w:pPr>
        <w:jc w:val="both"/>
        <w:rPr>
          <w:rFonts w:ascii="Book Antiqua" w:hAnsi="Book Antiqua" w:cs="Arial"/>
        </w:rPr>
      </w:pPr>
    </w:p>
    <w:p w:rsidR="00F13D39" w:rsidRPr="00F13D39" w:rsidRDefault="005749A4" w:rsidP="00F13D39">
      <w:pPr>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made no anonymity direction.  There was no application for anonymity made to the Upper Tribunal and I see no need to make an anonymity order.</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5B1025">
        <w:rPr>
          <w:rFonts w:ascii="Book Antiqua" w:hAnsi="Book Antiqua" w:cs="Arial"/>
        </w:rPr>
        <w:tab/>
        <w:t>2</w:t>
      </w:r>
      <w:r w:rsidR="00CB509C">
        <w:rPr>
          <w:rFonts w:ascii="Book Antiqua" w:hAnsi="Book Antiqua" w:cs="Arial"/>
        </w:rPr>
        <w:t>6</w:t>
      </w:r>
      <w:r w:rsidR="005B1025" w:rsidRPr="005B1025">
        <w:rPr>
          <w:rFonts w:ascii="Book Antiqua" w:hAnsi="Book Antiqua" w:cs="Arial"/>
          <w:vertAlign w:val="superscript"/>
        </w:rPr>
        <w:t>th</w:t>
      </w:r>
      <w:r w:rsidR="005B1025">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Deputy Upper Tribunal Judge M A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5B1025" w:rsidRDefault="005B1025" w:rsidP="00F13D39">
      <w:pPr>
        <w:jc w:val="both"/>
        <w:rPr>
          <w:rFonts w:ascii="Book Antiqua" w:hAnsi="Book Antiqua" w:cs="Arial"/>
        </w:rPr>
      </w:pPr>
      <w:r>
        <w:rPr>
          <w:rFonts w:ascii="Book Antiqua" w:hAnsi="Book Antiqua" w:cs="Arial"/>
        </w:rPr>
        <w:t>The appeal is dismissed.  There is no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E3F47">
        <w:rPr>
          <w:rFonts w:ascii="Book Antiqua" w:hAnsi="Book Antiqua" w:cs="Arial"/>
        </w:rPr>
        <w:tab/>
        <w:t>26</w:t>
      </w:r>
      <w:r w:rsidR="005E3F47" w:rsidRPr="005E3F47">
        <w:rPr>
          <w:rFonts w:ascii="Book Antiqua" w:hAnsi="Book Antiqua" w:cs="Arial"/>
          <w:vertAlign w:val="superscript"/>
        </w:rPr>
        <w:t>th</w:t>
      </w:r>
      <w:r w:rsidR="005E3F47">
        <w:rPr>
          <w:rFonts w:ascii="Book Antiqua" w:hAnsi="Book Antiqua" w:cs="Arial"/>
        </w:rPr>
        <w:t xml:space="preserve"> June 2018</w:t>
      </w:r>
    </w:p>
    <w:p w:rsidR="00F13D39" w:rsidRPr="00F5664C" w:rsidRDefault="00F13D39"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p>
    <w:p w:rsidR="00DD3B98"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DD3B98" w:rsidRPr="00DD3B98" w:rsidRDefault="00DD3B98" w:rsidP="00DD3B98">
      <w:pPr>
        <w:rPr>
          <w:rFonts w:ascii="Book Antiqua" w:hAnsi="Book Antiqua" w:cs="Arial"/>
        </w:rPr>
      </w:pPr>
    </w:p>
    <w:p w:rsidR="00DD3B98" w:rsidRPr="00DD3B98" w:rsidRDefault="00DD3B98" w:rsidP="00DD3B98">
      <w:pPr>
        <w:rPr>
          <w:rFonts w:ascii="Book Antiqua" w:hAnsi="Book Antiqua" w:cs="Arial"/>
        </w:rPr>
      </w:pPr>
    </w:p>
    <w:p w:rsidR="00DD3B98" w:rsidRPr="00DD3B98" w:rsidRDefault="00DD3B98" w:rsidP="00DD3B98">
      <w:pPr>
        <w:rPr>
          <w:rFonts w:ascii="Book Antiqua" w:hAnsi="Book Antiqua" w:cs="Arial"/>
        </w:rPr>
      </w:pPr>
    </w:p>
    <w:p w:rsidR="00DD3B98" w:rsidRDefault="00DD3B98" w:rsidP="00DD3B98">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AC545C">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11F" w:rsidRDefault="0025611F">
      <w:r>
        <w:separator/>
      </w:r>
    </w:p>
  </w:endnote>
  <w:endnote w:type="continuationSeparator" w:id="0">
    <w:p w:rsidR="0025611F" w:rsidRDefault="00256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AC545C" w:rsidRDefault="00CF253F" w:rsidP="00593795">
    <w:pPr>
      <w:pStyle w:val="Footer"/>
      <w:jc w:val="center"/>
      <w:rPr>
        <w:rFonts w:ascii="Book Antiqua" w:hAnsi="Book Antiqua" w:cs="Arial"/>
      </w:rPr>
    </w:pPr>
    <w:r w:rsidRPr="00AC545C">
      <w:rPr>
        <w:rStyle w:val="PageNumber"/>
        <w:rFonts w:ascii="Book Antiqua" w:hAnsi="Book Antiqua" w:cs="Arial"/>
      </w:rPr>
      <w:fldChar w:fldCharType="begin"/>
    </w:r>
    <w:r w:rsidRPr="00AC545C">
      <w:rPr>
        <w:rStyle w:val="PageNumber"/>
        <w:rFonts w:ascii="Book Antiqua" w:hAnsi="Book Antiqua" w:cs="Arial"/>
      </w:rPr>
      <w:instrText xml:space="preserve"> PAGE </w:instrText>
    </w:r>
    <w:r w:rsidRPr="00AC545C">
      <w:rPr>
        <w:rStyle w:val="PageNumber"/>
        <w:rFonts w:ascii="Book Antiqua" w:hAnsi="Book Antiqua" w:cs="Arial"/>
      </w:rPr>
      <w:fldChar w:fldCharType="separate"/>
    </w:r>
    <w:r w:rsidR="003D4334">
      <w:rPr>
        <w:rStyle w:val="PageNumber"/>
        <w:rFonts w:ascii="Book Antiqua" w:hAnsi="Book Antiqua" w:cs="Arial"/>
        <w:noProof/>
      </w:rPr>
      <w:t>5</w:t>
    </w:r>
    <w:r w:rsidRPr="00AC545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11F" w:rsidRDefault="0025611F">
      <w:r>
        <w:separator/>
      </w:r>
    </w:p>
  </w:footnote>
  <w:footnote w:type="continuationSeparator" w:id="0">
    <w:p w:rsidR="0025611F" w:rsidRDefault="00256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CC44DA">
      <w:rPr>
        <w:rFonts w:ascii="Book Antiqua" w:hAnsi="Book Antiqua" w:cs="Arial"/>
        <w:sz w:val="16"/>
        <w:szCs w:val="16"/>
      </w:rPr>
      <w:t>PA/00674/2018</w:t>
    </w:r>
  </w:p>
  <w:p w:rsidR="00AC545C" w:rsidRPr="00F5664C" w:rsidRDefault="00AC545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A"/>
    <w:rsid w:val="00000621"/>
    <w:rsid w:val="000036C2"/>
    <w:rsid w:val="00030C00"/>
    <w:rsid w:val="00033D3D"/>
    <w:rsid w:val="000369F5"/>
    <w:rsid w:val="00047F27"/>
    <w:rsid w:val="00071A7E"/>
    <w:rsid w:val="000746C0"/>
    <w:rsid w:val="00074D1D"/>
    <w:rsid w:val="00092580"/>
    <w:rsid w:val="000D01C9"/>
    <w:rsid w:val="000D5D94"/>
    <w:rsid w:val="000E0CD7"/>
    <w:rsid w:val="00114F8B"/>
    <w:rsid w:val="001165A7"/>
    <w:rsid w:val="00151BB7"/>
    <w:rsid w:val="00167D3A"/>
    <w:rsid w:val="00180454"/>
    <w:rsid w:val="001A1E2C"/>
    <w:rsid w:val="001F2716"/>
    <w:rsid w:val="0020133A"/>
    <w:rsid w:val="00207617"/>
    <w:rsid w:val="00244BC9"/>
    <w:rsid w:val="00255071"/>
    <w:rsid w:val="0025611F"/>
    <w:rsid w:val="00283659"/>
    <w:rsid w:val="002B5271"/>
    <w:rsid w:val="002C4E73"/>
    <w:rsid w:val="002D68BF"/>
    <w:rsid w:val="002F728E"/>
    <w:rsid w:val="00336CBF"/>
    <w:rsid w:val="003546C8"/>
    <w:rsid w:val="00375D27"/>
    <w:rsid w:val="003778D9"/>
    <w:rsid w:val="003A7CF2"/>
    <w:rsid w:val="003C49CE"/>
    <w:rsid w:val="003C5CE5"/>
    <w:rsid w:val="003C707C"/>
    <w:rsid w:val="003D171B"/>
    <w:rsid w:val="003D4334"/>
    <w:rsid w:val="003E267B"/>
    <w:rsid w:val="003E7CD1"/>
    <w:rsid w:val="00402B9E"/>
    <w:rsid w:val="00423932"/>
    <w:rsid w:val="004249CB"/>
    <w:rsid w:val="0044127D"/>
    <w:rsid w:val="004448DB"/>
    <w:rsid w:val="00446C9A"/>
    <w:rsid w:val="00465F8E"/>
    <w:rsid w:val="00477193"/>
    <w:rsid w:val="0048722D"/>
    <w:rsid w:val="004A1848"/>
    <w:rsid w:val="00507FEC"/>
    <w:rsid w:val="00510F0E"/>
    <w:rsid w:val="00517DF3"/>
    <w:rsid w:val="005479E1"/>
    <w:rsid w:val="005570FD"/>
    <w:rsid w:val="005575EA"/>
    <w:rsid w:val="005749A4"/>
    <w:rsid w:val="0057790C"/>
    <w:rsid w:val="00593795"/>
    <w:rsid w:val="005A75FF"/>
    <w:rsid w:val="005B1025"/>
    <w:rsid w:val="005B7789"/>
    <w:rsid w:val="005E3F47"/>
    <w:rsid w:val="005E5DFF"/>
    <w:rsid w:val="005F342A"/>
    <w:rsid w:val="005F7DB4"/>
    <w:rsid w:val="0065791C"/>
    <w:rsid w:val="00690B8A"/>
    <w:rsid w:val="006D1DFA"/>
    <w:rsid w:val="006D506B"/>
    <w:rsid w:val="006E3C90"/>
    <w:rsid w:val="00704B61"/>
    <w:rsid w:val="00707DB1"/>
    <w:rsid w:val="007353BB"/>
    <w:rsid w:val="00742A8D"/>
    <w:rsid w:val="00752359"/>
    <w:rsid w:val="007552A9"/>
    <w:rsid w:val="00761858"/>
    <w:rsid w:val="007658B9"/>
    <w:rsid w:val="00767D59"/>
    <w:rsid w:val="00776E97"/>
    <w:rsid w:val="00780FD7"/>
    <w:rsid w:val="00782A16"/>
    <w:rsid w:val="007912AD"/>
    <w:rsid w:val="007A1F28"/>
    <w:rsid w:val="007B0824"/>
    <w:rsid w:val="007B2D55"/>
    <w:rsid w:val="007C0CD9"/>
    <w:rsid w:val="008303B8"/>
    <w:rsid w:val="00833DCE"/>
    <w:rsid w:val="00842418"/>
    <w:rsid w:val="008634DB"/>
    <w:rsid w:val="00871D34"/>
    <w:rsid w:val="00887842"/>
    <w:rsid w:val="008901DD"/>
    <w:rsid w:val="008B270C"/>
    <w:rsid w:val="008C2ED5"/>
    <w:rsid w:val="008C3D3D"/>
    <w:rsid w:val="008D4131"/>
    <w:rsid w:val="008D5128"/>
    <w:rsid w:val="008E40EF"/>
    <w:rsid w:val="008F1932"/>
    <w:rsid w:val="008F294D"/>
    <w:rsid w:val="009107E7"/>
    <w:rsid w:val="00921062"/>
    <w:rsid w:val="00923B35"/>
    <w:rsid w:val="0092618D"/>
    <w:rsid w:val="0093083E"/>
    <w:rsid w:val="00953124"/>
    <w:rsid w:val="00966ECF"/>
    <w:rsid w:val="009727A3"/>
    <w:rsid w:val="00986411"/>
    <w:rsid w:val="00987774"/>
    <w:rsid w:val="00996C10"/>
    <w:rsid w:val="009A11E8"/>
    <w:rsid w:val="009D0C2C"/>
    <w:rsid w:val="009E4E62"/>
    <w:rsid w:val="009F5220"/>
    <w:rsid w:val="009F7C4D"/>
    <w:rsid w:val="00A123EF"/>
    <w:rsid w:val="00A15234"/>
    <w:rsid w:val="00A201AB"/>
    <w:rsid w:val="00A31C8B"/>
    <w:rsid w:val="00A75965"/>
    <w:rsid w:val="00A845DC"/>
    <w:rsid w:val="00A90C98"/>
    <w:rsid w:val="00A97AEE"/>
    <w:rsid w:val="00AC545C"/>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72627"/>
    <w:rsid w:val="00B96FA0"/>
    <w:rsid w:val="00BD4196"/>
    <w:rsid w:val="00BE31CE"/>
    <w:rsid w:val="00BF22CA"/>
    <w:rsid w:val="00C26032"/>
    <w:rsid w:val="00C265B0"/>
    <w:rsid w:val="00C321B5"/>
    <w:rsid w:val="00C345E1"/>
    <w:rsid w:val="00C977BA"/>
    <w:rsid w:val="00CA2483"/>
    <w:rsid w:val="00CB509C"/>
    <w:rsid w:val="00CB6E35"/>
    <w:rsid w:val="00CC44DA"/>
    <w:rsid w:val="00CE1A46"/>
    <w:rsid w:val="00CE26B2"/>
    <w:rsid w:val="00CF253F"/>
    <w:rsid w:val="00CF56B4"/>
    <w:rsid w:val="00D20F09"/>
    <w:rsid w:val="00D22636"/>
    <w:rsid w:val="00D40FD9"/>
    <w:rsid w:val="00D45764"/>
    <w:rsid w:val="00D45A31"/>
    <w:rsid w:val="00D53769"/>
    <w:rsid w:val="00D65912"/>
    <w:rsid w:val="00D73834"/>
    <w:rsid w:val="00D85C13"/>
    <w:rsid w:val="00D91BE3"/>
    <w:rsid w:val="00D94AFC"/>
    <w:rsid w:val="00DB70AE"/>
    <w:rsid w:val="00DB7231"/>
    <w:rsid w:val="00DC02E0"/>
    <w:rsid w:val="00DC1C00"/>
    <w:rsid w:val="00DD3B98"/>
    <w:rsid w:val="00DD5071"/>
    <w:rsid w:val="00DD5C39"/>
    <w:rsid w:val="00DE26AF"/>
    <w:rsid w:val="00DE7DB7"/>
    <w:rsid w:val="00E00A0A"/>
    <w:rsid w:val="00E07F57"/>
    <w:rsid w:val="00E1040E"/>
    <w:rsid w:val="00E50BCE"/>
    <w:rsid w:val="00E57AC1"/>
    <w:rsid w:val="00E61292"/>
    <w:rsid w:val="00E76309"/>
    <w:rsid w:val="00E77C4D"/>
    <w:rsid w:val="00E81D01"/>
    <w:rsid w:val="00EC3DB1"/>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62829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1882</Words>
  <Characters>9275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2018-07-17T11:25:00Z</dcterms:created>
  <dcterms:modified xsi:type="dcterms:W3CDTF">2018-07-17T11:26:00Z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