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264302" w:rsidRDefault="00A52DA3" w:rsidP="00C321B5">
      <w:pPr>
        <w:jc w:val="center"/>
        <w:rPr>
          <w:rFonts w:ascii="Book Antiqua" w:hAnsi="Book Antiqua" w:cs="Arial"/>
          <w:sz w:val="16"/>
          <w:szCs w:val="16"/>
        </w:rPr>
      </w:pPr>
      <w:r w:rsidRPr="00264302">
        <w:rPr>
          <w:rFonts w:ascii="Book Antiqua" w:hAnsi="Book Antiqua"/>
          <w:noProof/>
          <w:sz w:val="16"/>
          <w:szCs w:val="16"/>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264302" w:rsidRDefault="001A1E2C" w:rsidP="00B626FA">
      <w:pPr>
        <w:tabs>
          <w:tab w:val="right" w:pos="9639"/>
        </w:tabs>
        <w:rPr>
          <w:rFonts w:ascii="Book Antiqua" w:hAnsi="Book Antiqua" w:cs="Arial"/>
          <w:b/>
        </w:rPr>
      </w:pPr>
      <w:r w:rsidRPr="00264302">
        <w:rPr>
          <w:rFonts w:ascii="Book Antiqua" w:hAnsi="Book Antiqua" w:cs="Arial"/>
          <w:b/>
        </w:rPr>
        <w:t xml:space="preserve">Upper </w:t>
      </w:r>
      <w:r w:rsidR="000064E8" w:rsidRPr="00264302">
        <w:rPr>
          <w:rFonts w:ascii="Book Antiqua" w:hAnsi="Book Antiqua" w:cs="Arial"/>
          <w:b/>
        </w:rPr>
        <w:t>Tribunal</w:t>
      </w:r>
    </w:p>
    <w:p w:rsidR="007B0824" w:rsidRPr="0002768C" w:rsidRDefault="00C321B5" w:rsidP="00B626FA">
      <w:pPr>
        <w:tabs>
          <w:tab w:val="right" w:pos="9639"/>
        </w:tabs>
        <w:rPr>
          <w:rFonts w:ascii="Book Antiqua" w:hAnsi="Book Antiqua" w:cs="Arial"/>
          <w:b/>
          <w:caps/>
        </w:rPr>
      </w:pPr>
      <w:r w:rsidRPr="00264302">
        <w:rPr>
          <w:rFonts w:ascii="Book Antiqua" w:hAnsi="Book Antiqua" w:cs="Arial"/>
          <w:b/>
        </w:rPr>
        <w:t xml:space="preserve">(Immigration and Asylum </w:t>
      </w:r>
      <w:proofErr w:type="gramStart"/>
      <w:r w:rsidRPr="00264302">
        <w:rPr>
          <w:rFonts w:ascii="Book Antiqua" w:hAnsi="Book Antiqua" w:cs="Arial"/>
          <w:b/>
        </w:rPr>
        <w:t>Chamber)</w:t>
      </w:r>
      <w:r w:rsidR="0002768C">
        <w:rPr>
          <w:rFonts w:ascii="Book Antiqua" w:hAnsi="Book Antiqua" w:cs="Arial"/>
          <w:b/>
        </w:rPr>
        <w:t xml:space="preserve">   </w:t>
      </w:r>
      <w:proofErr w:type="gramEnd"/>
      <w:r w:rsidR="0002768C">
        <w:rPr>
          <w:rFonts w:ascii="Book Antiqua" w:hAnsi="Book Antiqua" w:cs="Arial"/>
          <w:b/>
        </w:rPr>
        <w:t xml:space="preserve">                    </w:t>
      </w:r>
      <w:r w:rsidR="00B3524D" w:rsidRPr="0002768C">
        <w:rPr>
          <w:rFonts w:ascii="Book Antiqua" w:hAnsi="Book Antiqua" w:cs="Arial"/>
          <w:b/>
        </w:rPr>
        <w:t>Appeal Number</w:t>
      </w:r>
      <w:r w:rsidR="00D53769" w:rsidRPr="0002768C">
        <w:rPr>
          <w:rFonts w:ascii="Book Antiqua" w:hAnsi="Book Antiqua" w:cs="Arial"/>
          <w:b/>
        </w:rPr>
        <w:t>:</w:t>
      </w:r>
      <w:r w:rsidR="00B3524D" w:rsidRPr="0002768C">
        <w:rPr>
          <w:rFonts w:ascii="Book Antiqua" w:hAnsi="Book Antiqua" w:cs="Arial"/>
          <w:b/>
        </w:rPr>
        <w:t xml:space="preserve"> </w:t>
      </w:r>
      <w:r w:rsidR="004B23C6" w:rsidRPr="0002768C">
        <w:rPr>
          <w:rFonts w:ascii="Book Antiqua" w:hAnsi="Book Antiqua" w:cs="Arial"/>
          <w:b/>
          <w:caps/>
        </w:rPr>
        <w:t>PA/00675/2017</w:t>
      </w:r>
      <w:r w:rsidR="001775B4" w:rsidRPr="0002768C">
        <w:rPr>
          <w:rFonts w:ascii="Book Antiqua" w:hAnsi="Book Antiqua" w:cs="Arial"/>
          <w:b/>
          <w:caps/>
        </w:rPr>
        <w:t xml:space="preserve">  </w:t>
      </w:r>
    </w:p>
    <w:p w:rsidR="00C345E1" w:rsidRPr="00264302" w:rsidRDefault="00C345E1" w:rsidP="00C345E1">
      <w:pPr>
        <w:jc w:val="center"/>
        <w:rPr>
          <w:rFonts w:ascii="Book Antiqua" w:hAnsi="Book Antiqua" w:cs="Arial"/>
        </w:rPr>
      </w:pPr>
    </w:p>
    <w:p w:rsidR="00C345E1" w:rsidRPr="00264302" w:rsidRDefault="00C345E1" w:rsidP="00C345E1">
      <w:pPr>
        <w:jc w:val="center"/>
        <w:rPr>
          <w:rFonts w:ascii="Book Antiqua" w:hAnsi="Book Antiqua" w:cs="Arial"/>
          <w:b/>
          <w:u w:val="single"/>
        </w:rPr>
      </w:pPr>
      <w:r w:rsidRPr="00264302">
        <w:rPr>
          <w:rFonts w:ascii="Book Antiqua" w:hAnsi="Book Antiqua" w:cs="Arial"/>
          <w:b/>
          <w:u w:val="single"/>
        </w:rPr>
        <w:t>THE IMMIGRATION ACTS</w:t>
      </w:r>
    </w:p>
    <w:p w:rsidR="00C345E1" w:rsidRPr="00264302"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264302" w:rsidTr="00C64810">
        <w:tc>
          <w:tcPr>
            <w:tcW w:w="5211" w:type="dxa"/>
            <w:shd w:val="clear" w:color="auto" w:fill="auto"/>
          </w:tcPr>
          <w:p w:rsidR="00D22636" w:rsidRPr="00264302" w:rsidRDefault="00D22636" w:rsidP="00C540D2">
            <w:pPr>
              <w:jc w:val="both"/>
              <w:rPr>
                <w:rFonts w:ascii="Book Antiqua" w:hAnsi="Book Antiqua" w:cs="Arial"/>
                <w:b/>
              </w:rPr>
            </w:pPr>
            <w:r w:rsidRPr="00264302">
              <w:rPr>
                <w:rFonts w:ascii="Book Antiqua" w:hAnsi="Book Antiqua" w:cs="Arial"/>
                <w:b/>
              </w:rPr>
              <w:t xml:space="preserve">Heard at </w:t>
            </w:r>
            <w:r w:rsidR="00667BBE">
              <w:rPr>
                <w:rFonts w:ascii="Book Antiqua" w:hAnsi="Book Antiqua" w:cs="Arial"/>
                <w:b/>
              </w:rPr>
              <w:t>Bradford</w:t>
            </w:r>
            <w:r w:rsidR="001775B4" w:rsidRPr="00264302">
              <w:rPr>
                <w:rFonts w:ascii="Book Antiqua" w:hAnsi="Book Antiqua" w:cs="Arial"/>
                <w:b/>
              </w:rPr>
              <w:t xml:space="preserve">  </w:t>
            </w:r>
          </w:p>
        </w:tc>
        <w:tc>
          <w:tcPr>
            <w:tcW w:w="4797" w:type="dxa"/>
            <w:gridSpan w:val="2"/>
            <w:shd w:val="clear" w:color="auto" w:fill="auto"/>
          </w:tcPr>
          <w:p w:rsidR="00D22636" w:rsidRPr="00264302" w:rsidRDefault="00C77259" w:rsidP="00C540D2">
            <w:pPr>
              <w:jc w:val="both"/>
              <w:rPr>
                <w:rFonts w:ascii="Book Antiqua" w:hAnsi="Book Antiqua" w:cs="Arial"/>
                <w:b/>
              </w:rPr>
            </w:pPr>
            <w:r w:rsidRPr="00264302">
              <w:rPr>
                <w:rFonts w:ascii="Book Antiqua" w:hAnsi="Book Antiqua" w:cs="Arial"/>
                <w:b/>
              </w:rPr>
              <w:t>Decision &amp; Reasons</w:t>
            </w:r>
            <w:r w:rsidR="00B768CA" w:rsidRPr="00264302">
              <w:rPr>
                <w:rFonts w:ascii="Book Antiqua" w:hAnsi="Book Antiqua" w:cs="Arial"/>
                <w:b/>
              </w:rPr>
              <w:t xml:space="preserve"> Promulgated</w:t>
            </w:r>
            <w:r w:rsidR="008C63D4" w:rsidRPr="00264302">
              <w:rPr>
                <w:rFonts w:ascii="Book Antiqua" w:hAnsi="Book Antiqua" w:cs="Arial"/>
                <w:b/>
              </w:rPr>
              <w:t xml:space="preserve"> </w:t>
            </w:r>
          </w:p>
        </w:tc>
      </w:tr>
      <w:tr w:rsidR="00D22636" w:rsidRPr="00264302" w:rsidTr="00C64810">
        <w:tc>
          <w:tcPr>
            <w:tcW w:w="5211" w:type="dxa"/>
            <w:shd w:val="clear" w:color="auto" w:fill="auto"/>
          </w:tcPr>
          <w:p w:rsidR="00D22636" w:rsidRPr="00264302" w:rsidRDefault="00C64810" w:rsidP="00BB4F81">
            <w:pPr>
              <w:jc w:val="both"/>
              <w:rPr>
                <w:rFonts w:ascii="Book Antiqua" w:hAnsi="Book Antiqua" w:cs="Arial"/>
                <w:b/>
              </w:rPr>
            </w:pPr>
            <w:r w:rsidRPr="00264302">
              <w:rPr>
                <w:rFonts w:ascii="Book Antiqua" w:hAnsi="Book Antiqua" w:cs="Arial"/>
                <w:b/>
              </w:rPr>
              <w:t>On 17</w:t>
            </w:r>
            <w:r w:rsidR="004B23C6" w:rsidRPr="00264302">
              <w:rPr>
                <w:rFonts w:ascii="Book Antiqua" w:hAnsi="Book Antiqua" w:cs="Arial"/>
                <w:b/>
                <w:vertAlign w:val="superscript"/>
              </w:rPr>
              <w:t>th</w:t>
            </w:r>
            <w:r w:rsidR="004B23C6" w:rsidRPr="00264302">
              <w:rPr>
                <w:rFonts w:ascii="Book Antiqua" w:hAnsi="Book Antiqua" w:cs="Arial"/>
                <w:b/>
              </w:rPr>
              <w:t xml:space="preserve"> July</w:t>
            </w:r>
            <w:r w:rsidR="00BB4F81" w:rsidRPr="00264302">
              <w:rPr>
                <w:rFonts w:ascii="Book Antiqua" w:hAnsi="Book Antiqua" w:cs="Arial"/>
                <w:b/>
              </w:rPr>
              <w:t xml:space="preserve"> 2018</w:t>
            </w:r>
            <w:r w:rsidR="001775B4" w:rsidRPr="00264302">
              <w:rPr>
                <w:rFonts w:ascii="Book Antiqua" w:hAnsi="Book Antiqua" w:cs="Arial"/>
                <w:b/>
              </w:rPr>
              <w:t xml:space="preserve"> </w:t>
            </w:r>
          </w:p>
        </w:tc>
        <w:tc>
          <w:tcPr>
            <w:tcW w:w="4797" w:type="dxa"/>
            <w:gridSpan w:val="2"/>
            <w:shd w:val="clear" w:color="auto" w:fill="auto"/>
          </w:tcPr>
          <w:p w:rsidR="00D22636" w:rsidRPr="00264302" w:rsidRDefault="00C64810" w:rsidP="00C540D2">
            <w:pPr>
              <w:jc w:val="both"/>
              <w:rPr>
                <w:rFonts w:ascii="Book Antiqua" w:hAnsi="Book Antiqua" w:cs="Arial"/>
                <w:b/>
              </w:rPr>
            </w:pPr>
            <w:r w:rsidRPr="00264302">
              <w:rPr>
                <w:rFonts w:ascii="Book Antiqua" w:hAnsi="Book Antiqua" w:cs="Arial"/>
                <w:b/>
              </w:rPr>
              <w:t>On 09</w:t>
            </w:r>
            <w:r w:rsidRPr="00264302">
              <w:rPr>
                <w:rFonts w:ascii="Book Antiqua" w:hAnsi="Book Antiqua" w:cs="Arial"/>
                <w:b/>
                <w:vertAlign w:val="superscript"/>
              </w:rPr>
              <w:t>th</w:t>
            </w:r>
            <w:r w:rsidRPr="00264302">
              <w:rPr>
                <w:rFonts w:ascii="Book Antiqua" w:hAnsi="Book Antiqua" w:cs="Arial"/>
                <w:b/>
              </w:rPr>
              <w:t xml:space="preserve"> August 2018 </w:t>
            </w:r>
          </w:p>
        </w:tc>
      </w:tr>
      <w:tr w:rsidR="00D22636" w:rsidRPr="00264302" w:rsidTr="00C64810">
        <w:tc>
          <w:tcPr>
            <w:tcW w:w="6048" w:type="dxa"/>
            <w:gridSpan w:val="2"/>
            <w:shd w:val="clear" w:color="auto" w:fill="auto"/>
          </w:tcPr>
          <w:p w:rsidR="00D22636" w:rsidRPr="00264302" w:rsidRDefault="00D22636" w:rsidP="00C540D2">
            <w:pPr>
              <w:jc w:val="both"/>
              <w:rPr>
                <w:rFonts w:ascii="Book Antiqua" w:hAnsi="Book Antiqua" w:cs="Arial"/>
                <w:b/>
              </w:rPr>
            </w:pPr>
          </w:p>
        </w:tc>
        <w:tc>
          <w:tcPr>
            <w:tcW w:w="3960" w:type="dxa"/>
            <w:shd w:val="clear" w:color="auto" w:fill="auto"/>
          </w:tcPr>
          <w:p w:rsidR="00D22636" w:rsidRPr="00264302" w:rsidRDefault="00D22636" w:rsidP="00C540D2">
            <w:pPr>
              <w:jc w:val="both"/>
              <w:rPr>
                <w:rFonts w:ascii="Book Antiqua" w:hAnsi="Book Antiqua" w:cs="Arial"/>
                <w:b/>
              </w:rPr>
            </w:pPr>
          </w:p>
        </w:tc>
      </w:tr>
    </w:tbl>
    <w:p w:rsidR="00A15234" w:rsidRPr="00264302" w:rsidRDefault="00A15234" w:rsidP="00264302">
      <w:pPr>
        <w:jc w:val="center"/>
        <w:rPr>
          <w:rFonts w:ascii="Book Antiqua" w:hAnsi="Book Antiqua" w:cs="Arial"/>
        </w:rPr>
      </w:pPr>
    </w:p>
    <w:p w:rsidR="00A15234" w:rsidRPr="00264302" w:rsidRDefault="00207617" w:rsidP="00264302">
      <w:pPr>
        <w:jc w:val="center"/>
        <w:rPr>
          <w:rFonts w:ascii="Book Antiqua" w:hAnsi="Book Antiqua" w:cs="Arial"/>
          <w:b/>
        </w:rPr>
      </w:pPr>
      <w:r w:rsidRPr="00264302">
        <w:rPr>
          <w:rFonts w:ascii="Book Antiqua" w:hAnsi="Book Antiqua" w:cs="Arial"/>
          <w:b/>
        </w:rPr>
        <w:t>Befo</w:t>
      </w:r>
      <w:r w:rsidR="00A15234" w:rsidRPr="00264302">
        <w:rPr>
          <w:rFonts w:ascii="Book Antiqua" w:hAnsi="Book Antiqua" w:cs="Arial"/>
          <w:b/>
        </w:rPr>
        <w:t>re</w:t>
      </w:r>
    </w:p>
    <w:p w:rsidR="00A15234" w:rsidRPr="00264302" w:rsidRDefault="00A15234" w:rsidP="00264302">
      <w:pPr>
        <w:jc w:val="center"/>
        <w:rPr>
          <w:rFonts w:ascii="Book Antiqua" w:hAnsi="Book Antiqua" w:cs="Arial"/>
          <w:b/>
        </w:rPr>
      </w:pPr>
    </w:p>
    <w:p w:rsidR="00610D5E" w:rsidRPr="00264302" w:rsidRDefault="00255071" w:rsidP="00264302">
      <w:pPr>
        <w:jc w:val="center"/>
        <w:rPr>
          <w:rFonts w:ascii="Book Antiqua" w:hAnsi="Book Antiqua" w:cs="Arial"/>
          <w:b/>
        </w:rPr>
      </w:pPr>
      <w:r w:rsidRPr="00264302">
        <w:rPr>
          <w:rFonts w:ascii="Book Antiqua" w:hAnsi="Book Antiqua" w:cs="Arial"/>
          <w:b/>
        </w:rPr>
        <w:t xml:space="preserve">UPPER </w:t>
      </w:r>
      <w:r w:rsidR="000064E8" w:rsidRPr="00264302">
        <w:rPr>
          <w:rFonts w:ascii="Book Antiqua" w:hAnsi="Book Antiqua" w:cs="Arial"/>
          <w:b/>
        </w:rPr>
        <w:t>TRIBUNAL</w:t>
      </w:r>
      <w:r w:rsidR="00707DB1" w:rsidRPr="00264302">
        <w:rPr>
          <w:rFonts w:ascii="Book Antiqua" w:hAnsi="Book Antiqua" w:cs="Arial"/>
          <w:b/>
        </w:rPr>
        <w:t xml:space="preserve"> </w:t>
      </w:r>
      <w:r w:rsidR="00E1040E" w:rsidRPr="00264302">
        <w:rPr>
          <w:rFonts w:ascii="Book Antiqua" w:hAnsi="Book Antiqua" w:cs="Arial"/>
          <w:b/>
        </w:rPr>
        <w:t xml:space="preserve">JUDGE </w:t>
      </w:r>
      <w:r w:rsidR="000E4845" w:rsidRPr="00264302">
        <w:rPr>
          <w:rFonts w:ascii="Book Antiqua" w:hAnsi="Book Antiqua" w:cs="Arial"/>
          <w:b/>
        </w:rPr>
        <w:t>REEDS</w:t>
      </w:r>
    </w:p>
    <w:p w:rsidR="00B16F58" w:rsidRPr="00264302" w:rsidRDefault="00B16F58" w:rsidP="00264302">
      <w:pPr>
        <w:jc w:val="center"/>
        <w:rPr>
          <w:rFonts w:ascii="Book Antiqua" w:hAnsi="Book Antiqua" w:cs="Arial"/>
          <w:b/>
        </w:rPr>
      </w:pPr>
    </w:p>
    <w:p w:rsidR="00A845DC" w:rsidRPr="00264302" w:rsidRDefault="00A845DC" w:rsidP="00264302">
      <w:pPr>
        <w:jc w:val="center"/>
        <w:rPr>
          <w:rFonts w:ascii="Book Antiqua" w:hAnsi="Book Antiqua" w:cs="Arial"/>
          <w:b/>
        </w:rPr>
      </w:pPr>
      <w:r w:rsidRPr="00264302">
        <w:rPr>
          <w:rFonts w:ascii="Book Antiqua" w:hAnsi="Book Antiqua" w:cs="Arial"/>
          <w:b/>
        </w:rPr>
        <w:t>Between</w:t>
      </w:r>
    </w:p>
    <w:p w:rsidR="00795C91" w:rsidRPr="00264302" w:rsidRDefault="00795C91" w:rsidP="00264302">
      <w:pPr>
        <w:jc w:val="center"/>
        <w:rPr>
          <w:rFonts w:ascii="Book Antiqua" w:hAnsi="Book Antiqua" w:cs="Arial"/>
          <w:b/>
          <w:caps/>
        </w:rPr>
      </w:pPr>
    </w:p>
    <w:p w:rsidR="004B23C6" w:rsidRPr="00264302" w:rsidRDefault="004B23C6" w:rsidP="00264302">
      <w:pPr>
        <w:jc w:val="center"/>
        <w:rPr>
          <w:rFonts w:ascii="Book Antiqua" w:hAnsi="Book Antiqua" w:cs="Arial"/>
          <w:b/>
          <w:caps/>
        </w:rPr>
      </w:pPr>
      <w:r w:rsidRPr="00264302">
        <w:rPr>
          <w:rFonts w:ascii="Book Antiqua" w:hAnsi="Book Antiqua" w:cs="Arial"/>
          <w:b/>
          <w:caps/>
          <w:noProof/>
        </w:rPr>
        <w:t>THE SECRETARY OF</w:t>
      </w:r>
      <w:r w:rsidR="00954B3F" w:rsidRPr="00264302">
        <w:rPr>
          <w:rFonts w:ascii="Book Antiqua" w:hAnsi="Book Antiqua" w:cs="Arial"/>
          <w:b/>
          <w:caps/>
          <w:noProof/>
        </w:rPr>
        <w:t xml:space="preserve"> STATE FOR THE HOME DEPARTMENT</w:t>
      </w:r>
    </w:p>
    <w:p w:rsidR="00704B61" w:rsidRPr="00264302" w:rsidRDefault="000064E8" w:rsidP="00954B3F">
      <w:pPr>
        <w:ind w:left="1701"/>
        <w:jc w:val="right"/>
        <w:rPr>
          <w:rFonts w:ascii="Book Antiqua" w:hAnsi="Book Antiqua" w:cs="Arial"/>
          <w:b/>
          <w:caps/>
        </w:rPr>
      </w:pPr>
      <w:r w:rsidRPr="00264302">
        <w:rPr>
          <w:rFonts w:ascii="Book Antiqua" w:hAnsi="Book Antiqua" w:cs="Arial"/>
          <w:u w:val="single"/>
        </w:rPr>
        <w:t>Appellant</w:t>
      </w:r>
    </w:p>
    <w:p w:rsidR="00002D6C" w:rsidRDefault="00002D6C" w:rsidP="00704B61">
      <w:pPr>
        <w:jc w:val="center"/>
        <w:rPr>
          <w:rFonts w:ascii="Book Antiqua" w:hAnsi="Book Antiqua" w:cs="Arial"/>
          <w:b/>
        </w:rPr>
      </w:pPr>
    </w:p>
    <w:p w:rsidR="00704B61" w:rsidRPr="00264302" w:rsidRDefault="00AF7C79" w:rsidP="00704B61">
      <w:pPr>
        <w:jc w:val="center"/>
        <w:rPr>
          <w:rFonts w:ascii="Book Antiqua" w:hAnsi="Book Antiqua" w:cs="Arial"/>
          <w:b/>
        </w:rPr>
      </w:pPr>
      <w:r w:rsidRPr="00264302">
        <w:rPr>
          <w:rFonts w:ascii="Book Antiqua" w:hAnsi="Book Antiqua" w:cs="Arial"/>
          <w:b/>
        </w:rPr>
        <w:t>And</w:t>
      </w:r>
    </w:p>
    <w:p w:rsidR="00954B3F" w:rsidRPr="00264302" w:rsidRDefault="00954B3F" w:rsidP="00704B61">
      <w:pPr>
        <w:jc w:val="center"/>
        <w:rPr>
          <w:rFonts w:ascii="Book Antiqua" w:hAnsi="Book Antiqua" w:cs="Arial"/>
          <w:b/>
        </w:rPr>
      </w:pPr>
    </w:p>
    <w:p w:rsidR="004B23C6" w:rsidRPr="00264302" w:rsidRDefault="004B23C6" w:rsidP="00704B61">
      <w:pPr>
        <w:jc w:val="center"/>
        <w:rPr>
          <w:rFonts w:ascii="Book Antiqua" w:hAnsi="Book Antiqua" w:cs="Arial"/>
          <w:b/>
        </w:rPr>
      </w:pPr>
      <w:r w:rsidRPr="00264302">
        <w:rPr>
          <w:rFonts w:ascii="Book Antiqua" w:hAnsi="Book Antiqua" w:cs="Arial"/>
          <w:b/>
        </w:rPr>
        <w:t>MK</w:t>
      </w:r>
    </w:p>
    <w:p w:rsidR="00DD5071" w:rsidRPr="0002768C" w:rsidRDefault="004B23C6" w:rsidP="00704B61">
      <w:pPr>
        <w:jc w:val="center"/>
        <w:rPr>
          <w:rFonts w:ascii="Book Antiqua" w:hAnsi="Book Antiqua" w:cs="Arial"/>
        </w:rPr>
      </w:pPr>
      <w:r w:rsidRPr="0002768C">
        <w:rPr>
          <w:rFonts w:ascii="Book Antiqua" w:hAnsi="Book Antiqua" w:cs="Arial"/>
          <w:caps/>
        </w:rPr>
        <w:t xml:space="preserve">(ANONYMITY DIRECTION </w:t>
      </w:r>
      <w:r w:rsidRPr="0002768C">
        <w:rPr>
          <w:rFonts w:ascii="Book Antiqua" w:hAnsi="Book Antiqua" w:cs="Arial"/>
          <w:caps/>
          <w:noProof/>
        </w:rPr>
        <w:t>MADE)</w:t>
      </w:r>
    </w:p>
    <w:p w:rsidR="00DD5071" w:rsidRPr="00264302" w:rsidRDefault="000064E8" w:rsidP="00DD5071">
      <w:pPr>
        <w:jc w:val="right"/>
        <w:rPr>
          <w:rFonts w:ascii="Book Antiqua" w:hAnsi="Book Antiqua" w:cs="Arial"/>
          <w:u w:val="single"/>
        </w:rPr>
      </w:pPr>
      <w:r w:rsidRPr="00264302">
        <w:rPr>
          <w:rFonts w:ascii="Book Antiqua" w:hAnsi="Book Antiqua" w:cs="Arial"/>
          <w:u w:val="single"/>
        </w:rPr>
        <w:t>Respondent</w:t>
      </w:r>
    </w:p>
    <w:p w:rsidR="00DD5071" w:rsidRPr="00264302" w:rsidRDefault="00DD5071" w:rsidP="00DD5071">
      <w:pPr>
        <w:rPr>
          <w:rFonts w:ascii="Book Antiqua" w:hAnsi="Book Antiqua" w:cs="Arial"/>
          <w:u w:val="single"/>
        </w:rPr>
      </w:pPr>
    </w:p>
    <w:p w:rsidR="00DD5071" w:rsidRDefault="00DE7DB7" w:rsidP="00DD5071">
      <w:pPr>
        <w:rPr>
          <w:rFonts w:ascii="Book Antiqua" w:hAnsi="Book Antiqua" w:cs="Arial"/>
          <w:b/>
        </w:rPr>
      </w:pPr>
      <w:r w:rsidRPr="00264302">
        <w:rPr>
          <w:rFonts w:ascii="Book Antiqua" w:hAnsi="Book Antiqua" w:cs="Arial"/>
          <w:b/>
          <w:u w:val="single"/>
        </w:rPr>
        <w:t>Representation</w:t>
      </w:r>
      <w:r w:rsidRPr="00264302">
        <w:rPr>
          <w:rFonts w:ascii="Book Antiqua" w:hAnsi="Book Antiqua" w:cs="Arial"/>
          <w:b/>
        </w:rPr>
        <w:t>:</w:t>
      </w:r>
    </w:p>
    <w:p w:rsidR="0002768C" w:rsidRPr="00264302" w:rsidRDefault="0002768C" w:rsidP="00DD5071">
      <w:pPr>
        <w:rPr>
          <w:rFonts w:ascii="Book Antiqua" w:hAnsi="Book Antiqua" w:cs="Arial"/>
        </w:rPr>
      </w:pPr>
    </w:p>
    <w:p w:rsidR="00DE7DB7" w:rsidRPr="00264302" w:rsidRDefault="00DE7DB7" w:rsidP="00264302">
      <w:pPr>
        <w:tabs>
          <w:tab w:val="left" w:pos="2552"/>
        </w:tabs>
        <w:rPr>
          <w:rFonts w:ascii="Book Antiqua" w:hAnsi="Book Antiqua" w:cs="Arial"/>
        </w:rPr>
      </w:pPr>
      <w:r w:rsidRPr="00264302">
        <w:rPr>
          <w:rFonts w:ascii="Book Antiqua" w:hAnsi="Book Antiqua" w:cs="Arial"/>
        </w:rPr>
        <w:t xml:space="preserve">For the </w:t>
      </w:r>
      <w:r w:rsidR="000064E8" w:rsidRPr="00264302">
        <w:rPr>
          <w:rFonts w:ascii="Book Antiqua" w:hAnsi="Book Antiqua" w:cs="Arial"/>
        </w:rPr>
        <w:t>Appellant</w:t>
      </w:r>
      <w:r w:rsidRPr="00264302">
        <w:rPr>
          <w:rFonts w:ascii="Book Antiqua" w:hAnsi="Book Antiqua" w:cs="Arial"/>
        </w:rPr>
        <w:t>:</w:t>
      </w:r>
      <w:r w:rsidRPr="00264302">
        <w:rPr>
          <w:rFonts w:ascii="Book Antiqua" w:hAnsi="Book Antiqua" w:cs="Arial"/>
        </w:rPr>
        <w:tab/>
      </w:r>
      <w:r w:rsidR="004B23C6" w:rsidRPr="00264302">
        <w:rPr>
          <w:rFonts w:ascii="Book Antiqua" w:hAnsi="Book Antiqua" w:cs="Arial"/>
        </w:rPr>
        <w:t>Mr Diwyncz</w:t>
      </w:r>
      <w:r w:rsidR="003A77E6" w:rsidRPr="00264302">
        <w:rPr>
          <w:rFonts w:ascii="Book Antiqua" w:hAnsi="Book Antiqua" w:cs="Arial"/>
        </w:rPr>
        <w:t xml:space="preserve"> </w:t>
      </w:r>
      <w:r w:rsidR="004B23C6" w:rsidRPr="00264302">
        <w:rPr>
          <w:rFonts w:ascii="Book Antiqua" w:hAnsi="Book Antiqua" w:cs="Arial"/>
        </w:rPr>
        <w:t xml:space="preserve">Senior Presenting Officer </w:t>
      </w:r>
    </w:p>
    <w:p w:rsidR="00DE7DB7" w:rsidRPr="00264302" w:rsidRDefault="00DE7DB7" w:rsidP="00264302">
      <w:pPr>
        <w:tabs>
          <w:tab w:val="left" w:pos="2552"/>
        </w:tabs>
        <w:rPr>
          <w:rFonts w:ascii="Book Antiqua" w:hAnsi="Book Antiqua" w:cs="Arial"/>
        </w:rPr>
      </w:pPr>
      <w:r w:rsidRPr="00264302">
        <w:rPr>
          <w:rFonts w:ascii="Book Antiqua" w:hAnsi="Book Antiqua" w:cs="Arial"/>
        </w:rPr>
        <w:t xml:space="preserve">For the </w:t>
      </w:r>
      <w:r w:rsidR="000064E8" w:rsidRPr="00264302">
        <w:rPr>
          <w:rFonts w:ascii="Book Antiqua" w:hAnsi="Book Antiqua" w:cs="Arial"/>
        </w:rPr>
        <w:t>Respondent</w:t>
      </w:r>
      <w:r w:rsidRPr="00264302">
        <w:rPr>
          <w:rFonts w:ascii="Book Antiqua" w:hAnsi="Book Antiqua" w:cs="Arial"/>
        </w:rPr>
        <w:t>:</w:t>
      </w:r>
      <w:r w:rsidRPr="00264302">
        <w:rPr>
          <w:rFonts w:ascii="Book Antiqua" w:hAnsi="Book Antiqua" w:cs="Arial"/>
        </w:rPr>
        <w:tab/>
      </w:r>
      <w:r w:rsidR="004B23C6" w:rsidRPr="00264302">
        <w:rPr>
          <w:rFonts w:ascii="Book Antiqua" w:hAnsi="Book Antiqua" w:cs="Arial"/>
        </w:rPr>
        <w:t xml:space="preserve">Mr Karnik, Counsel instructed on behalf of the </w:t>
      </w:r>
      <w:r w:rsidR="000064E8" w:rsidRPr="00264302">
        <w:rPr>
          <w:rFonts w:ascii="Book Antiqua" w:hAnsi="Book Antiqua" w:cs="Arial"/>
        </w:rPr>
        <w:t>Appellant</w:t>
      </w:r>
      <w:r w:rsidR="00F02039" w:rsidRPr="00264302">
        <w:rPr>
          <w:rFonts w:ascii="Book Antiqua" w:hAnsi="Book Antiqua" w:cs="Arial"/>
        </w:rPr>
        <w:t xml:space="preserve"> </w:t>
      </w:r>
    </w:p>
    <w:p w:rsidR="00DE7DB7" w:rsidRPr="00264302" w:rsidRDefault="00DE7DB7" w:rsidP="00402B9E">
      <w:pPr>
        <w:tabs>
          <w:tab w:val="left" w:pos="2520"/>
        </w:tabs>
        <w:jc w:val="center"/>
        <w:rPr>
          <w:rFonts w:ascii="Book Antiqua" w:hAnsi="Book Antiqua" w:cs="Arial"/>
        </w:rPr>
      </w:pPr>
    </w:p>
    <w:p w:rsidR="00DE7DB7" w:rsidRPr="00264302" w:rsidRDefault="00DE7DB7" w:rsidP="00402B9E">
      <w:pPr>
        <w:tabs>
          <w:tab w:val="left" w:pos="2520"/>
        </w:tabs>
        <w:jc w:val="center"/>
        <w:rPr>
          <w:rFonts w:ascii="Book Antiqua" w:hAnsi="Book Antiqua" w:cs="Arial"/>
        </w:rPr>
      </w:pPr>
    </w:p>
    <w:p w:rsidR="00DE7DB7" w:rsidRDefault="00C77259" w:rsidP="00402B9E">
      <w:pPr>
        <w:tabs>
          <w:tab w:val="left" w:pos="2520"/>
        </w:tabs>
        <w:jc w:val="center"/>
        <w:rPr>
          <w:rFonts w:ascii="Book Antiqua" w:hAnsi="Book Antiqua" w:cs="Arial"/>
          <w:b/>
          <w:u w:val="single"/>
        </w:rPr>
      </w:pPr>
      <w:r w:rsidRPr="00264302">
        <w:rPr>
          <w:rFonts w:ascii="Book Antiqua" w:hAnsi="Book Antiqua" w:cs="Arial"/>
          <w:b/>
          <w:u w:val="single"/>
        </w:rPr>
        <w:t xml:space="preserve">DECISION </w:t>
      </w:r>
      <w:r w:rsidR="00402B9E" w:rsidRPr="00264302">
        <w:rPr>
          <w:rFonts w:ascii="Book Antiqua" w:hAnsi="Book Antiqua" w:cs="Arial"/>
          <w:b/>
          <w:u w:val="single"/>
        </w:rPr>
        <w:t xml:space="preserve">AND </w:t>
      </w:r>
      <w:r w:rsidR="00F02039" w:rsidRPr="00264302">
        <w:rPr>
          <w:rFonts w:ascii="Book Antiqua" w:hAnsi="Book Antiqua" w:cs="Arial"/>
          <w:b/>
          <w:u w:val="single"/>
        </w:rPr>
        <w:t xml:space="preserve">REASONS  </w:t>
      </w:r>
    </w:p>
    <w:p w:rsidR="00002D6C" w:rsidRPr="00264302" w:rsidRDefault="00002D6C" w:rsidP="00402B9E">
      <w:pPr>
        <w:tabs>
          <w:tab w:val="left" w:pos="2520"/>
        </w:tabs>
        <w:jc w:val="center"/>
        <w:rPr>
          <w:rFonts w:ascii="Book Antiqua" w:hAnsi="Book Antiqua" w:cs="Arial"/>
        </w:rPr>
      </w:pPr>
      <w:bookmarkStart w:id="0" w:name="_GoBack"/>
      <w:bookmarkEnd w:id="0"/>
    </w:p>
    <w:p w:rsidR="00D16358" w:rsidRPr="00264302" w:rsidRDefault="00795C91"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w:t>
      </w:r>
      <w:r w:rsidR="00B1734A" w:rsidRPr="00264302">
        <w:rPr>
          <w:rFonts w:ascii="Book Antiqua" w:hAnsi="Book Antiqua" w:cs="Arial"/>
        </w:rPr>
        <w:t xml:space="preserve">Secretary </w:t>
      </w:r>
      <w:r w:rsidR="004B23C6" w:rsidRPr="00264302">
        <w:rPr>
          <w:rFonts w:ascii="Book Antiqua" w:hAnsi="Book Antiqua" w:cs="Arial"/>
        </w:rPr>
        <w:t>of State</w:t>
      </w:r>
      <w:r w:rsidR="001A0BB9" w:rsidRPr="00264302">
        <w:rPr>
          <w:rFonts w:ascii="Book Antiqua" w:hAnsi="Book Antiqua" w:cs="Arial"/>
        </w:rPr>
        <w:t xml:space="preserve"> appeals, with permission, against the decision of the </w:t>
      </w:r>
      <w:r w:rsidR="004B23C6" w:rsidRPr="00264302">
        <w:rPr>
          <w:rFonts w:ascii="Book Antiqua" w:hAnsi="Book Antiqua" w:cs="Arial"/>
        </w:rPr>
        <w:t xml:space="preserve">First-tier </w:t>
      </w:r>
      <w:r w:rsidR="000064E8" w:rsidRPr="00264302">
        <w:rPr>
          <w:rFonts w:ascii="Book Antiqua" w:hAnsi="Book Antiqua" w:cs="Arial"/>
        </w:rPr>
        <w:t>Tribunal</w:t>
      </w:r>
      <w:r w:rsidR="004B23C6" w:rsidRPr="00264302">
        <w:rPr>
          <w:rFonts w:ascii="Book Antiqua" w:hAnsi="Book Antiqua" w:cs="Arial"/>
        </w:rPr>
        <w:t xml:space="preserve"> (Judge Robson</w:t>
      </w:r>
      <w:r w:rsidR="005D0EF6" w:rsidRPr="00264302">
        <w:rPr>
          <w:rFonts w:ascii="Book Antiqua" w:hAnsi="Book Antiqua" w:cs="Arial"/>
        </w:rPr>
        <w:t>)</w:t>
      </w:r>
      <w:r w:rsidR="001A0BB9" w:rsidRPr="00264302">
        <w:rPr>
          <w:rFonts w:ascii="Book Antiqua" w:hAnsi="Book Antiqua" w:cs="Arial"/>
        </w:rPr>
        <w:t xml:space="preserve"> promulgated on</w:t>
      </w:r>
      <w:r w:rsidRPr="00264302">
        <w:rPr>
          <w:rFonts w:ascii="Book Antiqua" w:hAnsi="Book Antiqua" w:cs="Arial"/>
        </w:rPr>
        <w:t xml:space="preserve"> the </w:t>
      </w:r>
      <w:r w:rsidR="004B23C6" w:rsidRPr="00264302">
        <w:rPr>
          <w:rFonts w:ascii="Book Antiqua" w:hAnsi="Book Antiqua" w:cs="Arial"/>
        </w:rPr>
        <w:t>3</w:t>
      </w:r>
      <w:r w:rsidR="004B23C6" w:rsidRPr="00264302">
        <w:rPr>
          <w:rFonts w:ascii="Book Antiqua" w:hAnsi="Book Antiqua" w:cs="Arial"/>
          <w:vertAlign w:val="superscript"/>
        </w:rPr>
        <w:t>rd</w:t>
      </w:r>
      <w:r w:rsidR="004B23C6" w:rsidRPr="00264302">
        <w:rPr>
          <w:rFonts w:ascii="Book Antiqua" w:hAnsi="Book Antiqua" w:cs="Arial"/>
        </w:rPr>
        <w:t xml:space="preserve"> October</w:t>
      </w:r>
      <w:r w:rsidRPr="00264302">
        <w:rPr>
          <w:rFonts w:ascii="Book Antiqua" w:hAnsi="Book Antiqua" w:cs="Arial"/>
        </w:rPr>
        <w:t xml:space="preserve"> 2017</w:t>
      </w:r>
      <w:r w:rsidR="004B23C6" w:rsidRPr="00264302">
        <w:rPr>
          <w:rFonts w:ascii="Book Antiqua" w:hAnsi="Book Antiqua" w:cs="Arial"/>
        </w:rPr>
        <w:t xml:space="preserve"> in which the </w:t>
      </w:r>
      <w:r w:rsidR="000064E8" w:rsidRPr="00264302">
        <w:rPr>
          <w:rFonts w:ascii="Book Antiqua" w:hAnsi="Book Antiqua" w:cs="Arial"/>
        </w:rPr>
        <w:t>Tribunal</w:t>
      </w:r>
      <w:r w:rsidR="004B23C6" w:rsidRPr="00264302">
        <w:rPr>
          <w:rFonts w:ascii="Book Antiqua" w:hAnsi="Book Antiqua" w:cs="Arial"/>
        </w:rPr>
        <w:t xml:space="preserve"> allowed</w:t>
      </w:r>
      <w:r w:rsidRPr="00264302">
        <w:rPr>
          <w:rFonts w:ascii="Book Antiqua" w:hAnsi="Book Antiqua" w:cs="Arial"/>
        </w:rPr>
        <w:t xml:space="preserve"> the appeal of </w:t>
      </w:r>
      <w:r w:rsidR="004B23C6" w:rsidRPr="00264302">
        <w:rPr>
          <w:rFonts w:ascii="Book Antiqua" w:hAnsi="Book Antiqua" w:cs="Arial"/>
        </w:rPr>
        <w:t>MK</w:t>
      </w:r>
      <w:r w:rsidR="001A0BB9" w:rsidRPr="00264302">
        <w:rPr>
          <w:rFonts w:ascii="Book Antiqua" w:hAnsi="Book Antiqua" w:cs="Arial"/>
        </w:rPr>
        <w:t xml:space="preserve"> against the decision of the Secreta</w:t>
      </w:r>
      <w:r w:rsidRPr="00264302">
        <w:rPr>
          <w:rFonts w:ascii="Book Antiqua" w:hAnsi="Book Antiqua" w:cs="Arial"/>
        </w:rPr>
        <w:t xml:space="preserve">ry of State to refuse </w:t>
      </w:r>
      <w:r w:rsidR="004B23C6" w:rsidRPr="00264302">
        <w:rPr>
          <w:rFonts w:ascii="Book Antiqua" w:hAnsi="Book Antiqua" w:cs="Arial"/>
        </w:rPr>
        <w:t xml:space="preserve">his protection and human rights claim in the context of the </w:t>
      </w:r>
      <w:r w:rsidR="000064E8" w:rsidRPr="00264302">
        <w:rPr>
          <w:rFonts w:ascii="Book Antiqua" w:hAnsi="Book Antiqua" w:cs="Arial"/>
        </w:rPr>
        <w:t>Respondent</w:t>
      </w:r>
      <w:r w:rsidR="004B23C6" w:rsidRPr="00264302">
        <w:rPr>
          <w:rFonts w:ascii="Book Antiqua" w:hAnsi="Book Antiqua" w:cs="Arial"/>
        </w:rPr>
        <w:t xml:space="preserve"> having made a </w:t>
      </w:r>
      <w:r w:rsidR="001A0BB9" w:rsidRPr="00264302">
        <w:rPr>
          <w:rFonts w:ascii="Book Antiqua" w:hAnsi="Book Antiqua" w:cs="Arial"/>
        </w:rPr>
        <w:t xml:space="preserve">deportation order against him under Section 32(5) (of the UK Borders Act 2007).  </w:t>
      </w:r>
    </w:p>
    <w:p w:rsidR="001C28B1" w:rsidRPr="00264302" w:rsidRDefault="001A0B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 make a direction regarding anonymity under Rule 14 of the </w:t>
      </w:r>
      <w:r w:rsidR="000064E8" w:rsidRPr="00264302">
        <w:rPr>
          <w:rFonts w:ascii="Book Antiqua" w:hAnsi="Book Antiqua" w:cs="Arial"/>
        </w:rPr>
        <w:t>Tribunal</w:t>
      </w:r>
      <w:r w:rsidRPr="00264302">
        <w:rPr>
          <w:rFonts w:ascii="Book Antiqua" w:hAnsi="Book Antiqua" w:cs="Arial"/>
        </w:rPr>
        <w:t xml:space="preserve"> Procedure (Upper </w:t>
      </w:r>
      <w:r w:rsidR="000064E8" w:rsidRPr="00264302">
        <w:rPr>
          <w:rFonts w:ascii="Book Antiqua" w:hAnsi="Book Antiqua" w:cs="Arial"/>
        </w:rPr>
        <w:t>Tribunal</w:t>
      </w:r>
      <w:r w:rsidR="001C28B1" w:rsidRPr="00264302">
        <w:rPr>
          <w:rFonts w:ascii="Book Antiqua" w:hAnsi="Book Antiqua" w:cs="Arial"/>
        </w:rPr>
        <w:t xml:space="preserve"> Rules</w:t>
      </w:r>
      <w:r w:rsidRPr="00264302">
        <w:rPr>
          <w:rFonts w:ascii="Book Antiqua" w:hAnsi="Book Antiqua" w:cs="Arial"/>
        </w:rPr>
        <w:t>) Rules 2008</w:t>
      </w:r>
      <w:r w:rsidR="001C28B1" w:rsidRPr="00264302">
        <w:rPr>
          <w:rFonts w:ascii="Book Antiqua" w:hAnsi="Book Antiqua" w:cs="Arial"/>
        </w:rPr>
        <w:t xml:space="preserve">.  Unless and </w:t>
      </w:r>
      <w:r w:rsidR="001C28B1" w:rsidRPr="00264302">
        <w:rPr>
          <w:rFonts w:ascii="Book Antiqua" w:hAnsi="Book Antiqua"/>
        </w:rPr>
        <w:t xml:space="preserve">until a court directs otherwise the </w:t>
      </w:r>
      <w:r w:rsidR="000064E8" w:rsidRPr="00264302">
        <w:rPr>
          <w:rFonts w:ascii="Book Antiqua" w:hAnsi="Book Antiqua"/>
        </w:rPr>
        <w:t>Appellant</w:t>
      </w:r>
      <w:r w:rsidR="001C28B1" w:rsidRPr="00264302">
        <w:rPr>
          <w:rFonts w:ascii="Book Antiqua" w:hAnsi="Book Antiqua"/>
        </w:rPr>
        <w:t xml:space="preserve"> is granted anonymity.  No report of these proceedings sha</w:t>
      </w:r>
      <w:r w:rsidR="00F421B9" w:rsidRPr="00264302">
        <w:rPr>
          <w:rFonts w:ascii="Book Antiqua" w:hAnsi="Book Antiqua"/>
        </w:rPr>
        <w:t>ll directly or indirectly refer to</w:t>
      </w:r>
      <w:r w:rsidR="001C28B1" w:rsidRPr="00264302">
        <w:rPr>
          <w:rFonts w:ascii="Book Antiqua" w:hAnsi="Book Antiqua"/>
        </w:rPr>
        <w:t xml:space="preserve"> him or members of his family.  This direction applies both to the </w:t>
      </w:r>
      <w:r w:rsidR="000064E8" w:rsidRPr="00264302">
        <w:rPr>
          <w:rFonts w:ascii="Book Antiqua" w:hAnsi="Book Antiqua"/>
        </w:rPr>
        <w:t>Appellant</w:t>
      </w:r>
      <w:r w:rsidR="001C28B1" w:rsidRPr="00264302">
        <w:rPr>
          <w:rFonts w:ascii="Book Antiqua" w:hAnsi="Book Antiqua"/>
        </w:rPr>
        <w:t xml:space="preserve"> and to the </w:t>
      </w:r>
      <w:r w:rsidR="000064E8" w:rsidRPr="00264302">
        <w:rPr>
          <w:rFonts w:ascii="Book Antiqua" w:hAnsi="Book Antiqua"/>
        </w:rPr>
        <w:t>Respondent</w:t>
      </w:r>
      <w:r w:rsidR="001C28B1" w:rsidRPr="00264302">
        <w:rPr>
          <w:rFonts w:ascii="Book Antiqua" w:hAnsi="Book Antiqua"/>
        </w:rPr>
        <w:t xml:space="preserve">.  Failure to comply with this direction could lead to contempt of court proceedings.  </w:t>
      </w:r>
    </w:p>
    <w:p w:rsidR="00B1734A" w:rsidRPr="00264302" w:rsidRDefault="00B1734A" w:rsidP="00C94BD5">
      <w:pPr>
        <w:pStyle w:val="ListParagraph"/>
        <w:numPr>
          <w:ilvl w:val="0"/>
          <w:numId w:val="25"/>
        </w:numPr>
        <w:spacing w:before="160"/>
        <w:jc w:val="both"/>
        <w:rPr>
          <w:rFonts w:ascii="Book Antiqua" w:hAnsi="Book Antiqua" w:cs="Arial"/>
        </w:rPr>
      </w:pPr>
      <w:r w:rsidRPr="00264302">
        <w:rPr>
          <w:rFonts w:ascii="Book Antiqua" w:hAnsi="Book Antiqua" w:cs="Arial"/>
        </w:rPr>
        <w:lastRenderedPageBreak/>
        <w:t xml:space="preserve">Although the Secretary of State is the </w:t>
      </w:r>
      <w:r w:rsidR="000064E8" w:rsidRPr="00264302">
        <w:rPr>
          <w:rFonts w:ascii="Book Antiqua" w:hAnsi="Book Antiqua" w:cs="Arial"/>
        </w:rPr>
        <w:t>Appellant</w:t>
      </w:r>
      <w:r w:rsidRPr="00264302">
        <w:rPr>
          <w:rFonts w:ascii="Book Antiqua" w:hAnsi="Book Antiqua" w:cs="Arial"/>
        </w:rPr>
        <w:t xml:space="preserve"> before the </w:t>
      </w:r>
      <w:r w:rsidR="000064E8" w:rsidRPr="00264302">
        <w:rPr>
          <w:rFonts w:ascii="Book Antiqua" w:hAnsi="Book Antiqua" w:cs="Arial"/>
        </w:rPr>
        <w:t>Tribunal</w:t>
      </w:r>
      <w:r w:rsidRPr="00264302">
        <w:rPr>
          <w:rFonts w:ascii="Book Antiqua" w:hAnsi="Book Antiqua" w:cs="Arial"/>
        </w:rPr>
        <w:t xml:space="preserve">, I will for ease of reference refer to him as the </w:t>
      </w:r>
      <w:r w:rsidR="000064E8" w:rsidRPr="00264302">
        <w:rPr>
          <w:rFonts w:ascii="Book Antiqua" w:hAnsi="Book Antiqua" w:cs="Arial"/>
        </w:rPr>
        <w:t>Respondent</w:t>
      </w:r>
      <w:r w:rsidRPr="00264302">
        <w:rPr>
          <w:rFonts w:ascii="Book Antiqua" w:hAnsi="Book Antiqua" w:cs="Arial"/>
        </w:rPr>
        <w:t xml:space="preserve"> as he was the </w:t>
      </w:r>
      <w:r w:rsidR="000064E8" w:rsidRPr="00264302">
        <w:rPr>
          <w:rFonts w:ascii="Book Antiqua" w:hAnsi="Book Antiqua" w:cs="Arial"/>
        </w:rPr>
        <w:t>Respondent</w:t>
      </w:r>
      <w:r w:rsidRPr="00264302">
        <w:rPr>
          <w:rFonts w:ascii="Book Antiqua" w:hAnsi="Book Antiqua" w:cs="Arial"/>
        </w:rPr>
        <w:t xml:space="preserve"> in the First-tier </w:t>
      </w:r>
      <w:r w:rsidR="000064E8" w:rsidRPr="00264302">
        <w:rPr>
          <w:rFonts w:ascii="Book Antiqua" w:hAnsi="Book Antiqua" w:cs="Arial"/>
        </w:rPr>
        <w:t>Tribunal</w:t>
      </w:r>
      <w:r w:rsidRPr="00264302">
        <w:rPr>
          <w:rFonts w:ascii="Book Antiqua" w:hAnsi="Book Antiqua" w:cs="Arial"/>
        </w:rPr>
        <w:t xml:space="preserve">.  </w:t>
      </w:r>
      <w:proofErr w:type="gramStart"/>
      <w:r w:rsidRPr="00264302">
        <w:rPr>
          <w:rFonts w:ascii="Book Antiqua" w:hAnsi="Book Antiqua" w:cs="Arial"/>
        </w:rPr>
        <w:t>Similarly</w:t>
      </w:r>
      <w:proofErr w:type="gramEnd"/>
      <w:r w:rsidRPr="00264302">
        <w:rPr>
          <w:rFonts w:ascii="Book Antiqua" w:hAnsi="Book Antiqua" w:cs="Arial"/>
        </w:rPr>
        <w:t xml:space="preserve"> I will refer to MK as the </w:t>
      </w:r>
      <w:r w:rsidR="000064E8" w:rsidRPr="00264302">
        <w:rPr>
          <w:rFonts w:ascii="Book Antiqua" w:hAnsi="Book Antiqua" w:cs="Arial"/>
        </w:rPr>
        <w:t>Appellant</w:t>
      </w:r>
      <w:r w:rsidRPr="00264302">
        <w:rPr>
          <w:rFonts w:ascii="Book Antiqua" w:hAnsi="Book Antiqua" w:cs="Arial"/>
        </w:rPr>
        <w:t xml:space="preserve"> as he was the </w:t>
      </w:r>
      <w:r w:rsidR="000064E8" w:rsidRPr="00264302">
        <w:rPr>
          <w:rFonts w:ascii="Book Antiqua" w:hAnsi="Book Antiqua" w:cs="Arial"/>
        </w:rPr>
        <w:t>Appellant</w:t>
      </w:r>
      <w:r w:rsidRPr="00264302">
        <w:rPr>
          <w:rFonts w:ascii="Book Antiqua" w:hAnsi="Book Antiqua" w:cs="Arial"/>
        </w:rPr>
        <w:t xml:space="preserve"> before the First-tier </w:t>
      </w:r>
      <w:r w:rsidR="000064E8" w:rsidRPr="00264302">
        <w:rPr>
          <w:rFonts w:ascii="Book Antiqua" w:hAnsi="Book Antiqua" w:cs="Arial"/>
        </w:rPr>
        <w:t>Tribunal</w:t>
      </w:r>
      <w:r w:rsidRPr="00264302">
        <w:rPr>
          <w:rFonts w:ascii="Book Antiqua" w:hAnsi="Book Antiqua" w:cs="Arial"/>
        </w:rPr>
        <w:t xml:space="preserve">.  </w:t>
      </w:r>
    </w:p>
    <w:p w:rsidR="00A301CD" w:rsidRPr="00264302" w:rsidRDefault="00A301CD" w:rsidP="00C94BD5">
      <w:pPr>
        <w:spacing w:before="160"/>
        <w:jc w:val="both"/>
        <w:rPr>
          <w:rFonts w:ascii="Book Antiqua" w:hAnsi="Book Antiqua" w:cs="Arial"/>
          <w:b/>
          <w:u w:val="single"/>
        </w:rPr>
      </w:pPr>
      <w:r w:rsidRPr="00264302">
        <w:rPr>
          <w:rFonts w:ascii="Book Antiqua" w:hAnsi="Book Antiqua" w:cs="Arial"/>
          <w:b/>
          <w:u w:val="single"/>
        </w:rPr>
        <w:t xml:space="preserve">Background  </w:t>
      </w:r>
    </w:p>
    <w:p w:rsidR="00F061B1" w:rsidRPr="00264302" w:rsidRDefault="00632C2A"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background to the appeal is set out in the </w:t>
      </w:r>
      <w:r w:rsidR="00795C91" w:rsidRPr="00264302">
        <w:rPr>
          <w:rFonts w:ascii="Book Antiqua" w:hAnsi="Book Antiqua" w:cs="Arial"/>
        </w:rPr>
        <w:t xml:space="preserve">papers and the </w:t>
      </w:r>
      <w:r w:rsidRPr="00264302">
        <w:rPr>
          <w:rFonts w:ascii="Book Antiqua" w:hAnsi="Book Antiqua" w:cs="Arial"/>
        </w:rPr>
        <w:t xml:space="preserve">determination of the First-tier </w:t>
      </w:r>
      <w:r w:rsidR="000064E8" w:rsidRPr="00264302">
        <w:rPr>
          <w:rFonts w:ascii="Book Antiqua" w:hAnsi="Book Antiqua" w:cs="Arial"/>
        </w:rPr>
        <w:t>Tribunal</w:t>
      </w:r>
      <w:r w:rsidRPr="00264302">
        <w:rPr>
          <w:rFonts w:ascii="Book Antiqua" w:hAnsi="Book Antiqua" w:cs="Arial"/>
        </w:rPr>
        <w:t xml:space="preserve"> and also in the decision letter of the Secretary of State dated </w:t>
      </w:r>
      <w:r w:rsidR="004B23C6" w:rsidRPr="00264302">
        <w:rPr>
          <w:rFonts w:ascii="Book Antiqua" w:hAnsi="Book Antiqua" w:cs="Arial"/>
        </w:rPr>
        <w:t>10</w:t>
      </w:r>
      <w:r w:rsidR="004B23C6" w:rsidRPr="00264302">
        <w:rPr>
          <w:rFonts w:ascii="Book Antiqua" w:hAnsi="Book Antiqua" w:cs="Arial"/>
          <w:vertAlign w:val="superscript"/>
        </w:rPr>
        <w:t>th</w:t>
      </w:r>
      <w:r w:rsidR="004B23C6" w:rsidRPr="00264302">
        <w:rPr>
          <w:rFonts w:ascii="Book Antiqua" w:hAnsi="Book Antiqua" w:cs="Arial"/>
        </w:rPr>
        <w:t xml:space="preserve"> January 2017.</w:t>
      </w:r>
      <w:r w:rsidRPr="00264302">
        <w:rPr>
          <w:rFonts w:ascii="Book Antiqua" w:hAnsi="Book Antiqua" w:cs="Arial"/>
        </w:rPr>
        <w:t xml:space="preserve">  The </w:t>
      </w:r>
      <w:r w:rsidR="000064E8" w:rsidRPr="00264302">
        <w:rPr>
          <w:rFonts w:ascii="Book Antiqua" w:hAnsi="Book Antiqua" w:cs="Arial"/>
        </w:rPr>
        <w:t>Appellant</w:t>
      </w:r>
      <w:r w:rsidR="004B23C6" w:rsidRPr="00264302">
        <w:rPr>
          <w:rFonts w:ascii="Book Antiqua" w:hAnsi="Book Antiqua" w:cs="Arial"/>
        </w:rPr>
        <w:t xml:space="preserve"> is a national of Iraq</w:t>
      </w:r>
      <w:r w:rsidR="00F061B1" w:rsidRPr="00264302">
        <w:rPr>
          <w:rFonts w:ascii="Book Antiqua" w:hAnsi="Book Antiqua" w:cs="Arial"/>
        </w:rPr>
        <w:t xml:space="preserve">. He entered the United Kingdom </w:t>
      </w:r>
      <w:r w:rsidR="000001AD" w:rsidRPr="00264302">
        <w:rPr>
          <w:rFonts w:ascii="Book Antiqua" w:hAnsi="Book Antiqua" w:cs="Arial"/>
        </w:rPr>
        <w:t>in 2004 and made a claim for asylum. The basis of his claim to asylum was that he had had a problem with his father because he had wanted him to marry his cousin but had refused and therefore he was at risk from his father. He could not return to his home town of Erbil because his father would find him and kill him</w:t>
      </w:r>
      <w:r w:rsidR="00A64638" w:rsidRPr="00264302">
        <w:rPr>
          <w:rFonts w:ascii="Book Antiqua" w:hAnsi="Book Antiqua" w:cs="Arial"/>
        </w:rPr>
        <w:t xml:space="preserve"> and could not move</w:t>
      </w:r>
      <w:r w:rsidR="000001AD" w:rsidRPr="00264302">
        <w:rPr>
          <w:rFonts w:ascii="Book Antiqua" w:hAnsi="Book Antiqua" w:cs="Arial"/>
        </w:rPr>
        <w:t xml:space="preserve"> anywhere else in Kurdistan (see paragraph 27 of decision of Judge Andrews). The </w:t>
      </w:r>
      <w:r w:rsidR="000064E8" w:rsidRPr="00264302">
        <w:rPr>
          <w:rFonts w:ascii="Book Antiqua" w:hAnsi="Book Antiqua" w:cs="Arial"/>
        </w:rPr>
        <w:t>Appellant</w:t>
      </w:r>
      <w:r w:rsidR="000001AD" w:rsidRPr="00264302">
        <w:rPr>
          <w:rFonts w:ascii="Book Antiqua" w:hAnsi="Book Antiqua" w:cs="Arial"/>
        </w:rPr>
        <w:t xml:space="preserve"> therefore left Iraq. His claim for asylum was refused and came before the </w:t>
      </w:r>
      <w:r w:rsidR="000064E8" w:rsidRPr="00264302">
        <w:rPr>
          <w:rFonts w:ascii="Book Antiqua" w:hAnsi="Book Antiqua" w:cs="Arial"/>
        </w:rPr>
        <w:t>Tribunal</w:t>
      </w:r>
      <w:r w:rsidR="000001AD" w:rsidRPr="00264302">
        <w:rPr>
          <w:rFonts w:ascii="Book Antiqua" w:hAnsi="Book Antiqua" w:cs="Arial"/>
        </w:rPr>
        <w:t xml:space="preserve"> on 20 September 2004. In a decision set out in the </w:t>
      </w:r>
      <w:r w:rsidR="000064E8" w:rsidRPr="00264302">
        <w:rPr>
          <w:rFonts w:ascii="Book Antiqua" w:hAnsi="Book Antiqua" w:cs="Arial"/>
        </w:rPr>
        <w:t>Respondent</w:t>
      </w:r>
      <w:r w:rsidR="000001AD" w:rsidRPr="00264302">
        <w:rPr>
          <w:rFonts w:ascii="Book Antiqua" w:hAnsi="Book Antiqua" w:cs="Arial"/>
        </w:rPr>
        <w:t xml:space="preserve">’s bundle, the judge accepted the account given as set out above and </w:t>
      </w:r>
      <w:r w:rsidR="00A64638" w:rsidRPr="00264302">
        <w:rPr>
          <w:rFonts w:ascii="Book Antiqua" w:hAnsi="Book Antiqua" w:cs="Arial"/>
        </w:rPr>
        <w:t xml:space="preserve">this </w:t>
      </w:r>
      <w:r w:rsidR="000001AD" w:rsidRPr="00264302">
        <w:rPr>
          <w:rFonts w:ascii="Book Antiqua" w:hAnsi="Book Antiqua" w:cs="Arial"/>
        </w:rPr>
        <w:t>form</w:t>
      </w:r>
      <w:r w:rsidR="00A64638" w:rsidRPr="00264302">
        <w:rPr>
          <w:rFonts w:ascii="Book Antiqua" w:hAnsi="Book Antiqua" w:cs="Arial"/>
        </w:rPr>
        <w:t>ed</w:t>
      </w:r>
      <w:r w:rsidR="000001AD" w:rsidRPr="00264302">
        <w:rPr>
          <w:rFonts w:ascii="Book Antiqua" w:hAnsi="Book Antiqua" w:cs="Arial"/>
        </w:rPr>
        <w:t xml:space="preserve"> the factual basis for the determination. The judge found that the claim did not engage one</w:t>
      </w:r>
      <w:r w:rsidR="00A35DC0" w:rsidRPr="00264302">
        <w:rPr>
          <w:rFonts w:ascii="Book Antiqua" w:hAnsi="Book Antiqua" w:cs="Arial"/>
        </w:rPr>
        <w:t xml:space="preserve"> of the five reasons under the R</w:t>
      </w:r>
      <w:r w:rsidR="000001AD" w:rsidRPr="00264302">
        <w:rPr>
          <w:rFonts w:ascii="Book Antiqua" w:hAnsi="Book Antiqua" w:cs="Arial"/>
        </w:rPr>
        <w:t xml:space="preserve">efugee Convention nor did it cross the threshold to be a breach of </w:t>
      </w:r>
      <w:r w:rsidR="000064E8" w:rsidRPr="00264302">
        <w:rPr>
          <w:rFonts w:ascii="Book Antiqua" w:hAnsi="Book Antiqua" w:cs="Arial"/>
        </w:rPr>
        <w:t>Article</w:t>
      </w:r>
      <w:r w:rsidR="000001AD" w:rsidRPr="00264302">
        <w:rPr>
          <w:rFonts w:ascii="Book Antiqua" w:hAnsi="Book Antiqua" w:cs="Arial"/>
        </w:rPr>
        <w:t xml:space="preserve"> 2 or </w:t>
      </w:r>
      <w:r w:rsidR="000064E8" w:rsidRPr="00264302">
        <w:rPr>
          <w:rFonts w:ascii="Book Antiqua" w:hAnsi="Book Antiqua" w:cs="Arial"/>
        </w:rPr>
        <w:t>Article</w:t>
      </w:r>
      <w:r w:rsidR="000001AD" w:rsidRPr="00264302">
        <w:rPr>
          <w:rFonts w:ascii="Book Antiqua" w:hAnsi="Book Antiqua" w:cs="Arial"/>
        </w:rPr>
        <w:t xml:space="preserve"> 3 on the basis that there was sufficiency of protection in Kurdistan or in the alternative it would not be unreasonable or unduly harsh to expect the </w:t>
      </w:r>
      <w:r w:rsidR="000064E8" w:rsidRPr="00264302">
        <w:rPr>
          <w:rFonts w:ascii="Book Antiqua" w:hAnsi="Book Antiqua" w:cs="Arial"/>
        </w:rPr>
        <w:t>Appellant</w:t>
      </w:r>
      <w:r w:rsidR="00A64638" w:rsidRPr="00264302">
        <w:rPr>
          <w:rFonts w:ascii="Book Antiqua" w:hAnsi="Book Antiqua" w:cs="Arial"/>
        </w:rPr>
        <w:t xml:space="preserve"> to locate to a different</w:t>
      </w:r>
      <w:r w:rsidR="000001AD" w:rsidRPr="00264302">
        <w:rPr>
          <w:rFonts w:ascii="Book Antiqua" w:hAnsi="Book Antiqua" w:cs="Arial"/>
        </w:rPr>
        <w:t xml:space="preserve"> part of Iraq. </w:t>
      </w:r>
      <w:proofErr w:type="gramStart"/>
      <w:r w:rsidR="000001AD" w:rsidRPr="00264302">
        <w:rPr>
          <w:rFonts w:ascii="Book Antiqua" w:hAnsi="Book Antiqua" w:cs="Arial"/>
        </w:rPr>
        <w:t>Thus</w:t>
      </w:r>
      <w:proofErr w:type="gramEnd"/>
      <w:r w:rsidR="000001AD" w:rsidRPr="00264302">
        <w:rPr>
          <w:rFonts w:ascii="Book Antiqua" w:hAnsi="Book Antiqua" w:cs="Arial"/>
        </w:rPr>
        <w:t xml:space="preserve"> the appeal was dismissed. Permission to appeal was refused and he became appeal rights exhausted in January 2005.</w:t>
      </w:r>
    </w:p>
    <w:p w:rsidR="004B23C6" w:rsidRPr="00264302" w:rsidRDefault="00A64638" w:rsidP="00C94BD5">
      <w:pPr>
        <w:pStyle w:val="ListParagraph"/>
        <w:numPr>
          <w:ilvl w:val="0"/>
          <w:numId w:val="25"/>
        </w:numPr>
        <w:spacing w:before="160"/>
        <w:jc w:val="both"/>
        <w:rPr>
          <w:rFonts w:ascii="Book Antiqua" w:hAnsi="Book Antiqua" w:cs="Arial"/>
        </w:rPr>
      </w:pPr>
      <w:r w:rsidRPr="00264302">
        <w:rPr>
          <w:rFonts w:ascii="Book Antiqua" w:hAnsi="Book Antiqua" w:cs="Arial"/>
        </w:rPr>
        <w:t>On the 20 February</w:t>
      </w:r>
      <w:r w:rsidR="000001AD" w:rsidRPr="00264302">
        <w:rPr>
          <w:rFonts w:ascii="Book Antiqua" w:hAnsi="Book Antiqua" w:cs="Arial"/>
        </w:rPr>
        <w:t xml:space="preserve"> 2008 and 8 March 2010 further submissions were made on the basis of </w:t>
      </w:r>
      <w:r w:rsidR="000064E8" w:rsidRPr="00264302">
        <w:rPr>
          <w:rFonts w:ascii="Book Antiqua" w:hAnsi="Book Antiqua" w:cs="Arial"/>
        </w:rPr>
        <w:t>Article</w:t>
      </w:r>
      <w:r w:rsidR="000001AD" w:rsidRPr="00264302">
        <w:rPr>
          <w:rFonts w:ascii="Book Antiqua" w:hAnsi="Book Antiqua" w:cs="Arial"/>
        </w:rPr>
        <w:t xml:space="preserve"> 8. In 2009 he was married to Y in an Islamic ceremony</w:t>
      </w:r>
      <w:r w:rsidRPr="00264302">
        <w:rPr>
          <w:rFonts w:ascii="Book Antiqua" w:hAnsi="Book Antiqua" w:cs="Arial"/>
        </w:rPr>
        <w:t xml:space="preserve"> the parties having known</w:t>
      </w:r>
      <w:r w:rsidR="000001AD" w:rsidRPr="00264302">
        <w:rPr>
          <w:rFonts w:ascii="Book Antiqua" w:hAnsi="Book Antiqua" w:cs="Arial"/>
        </w:rPr>
        <w:t xml:space="preserve"> each other since 2006. She had previously been married and had a number of children from that earlier relationship. On 25 August 2010 he was granted discretionary leave on the basis of his Islamic marriage to a British citizen and birth of a child until August 2013</w:t>
      </w:r>
      <w:r w:rsidRPr="00264302">
        <w:rPr>
          <w:rFonts w:ascii="Book Antiqua" w:hAnsi="Book Antiqua" w:cs="Arial"/>
        </w:rPr>
        <w:t>. B</w:t>
      </w:r>
      <w:r w:rsidR="000001AD" w:rsidRPr="00264302">
        <w:rPr>
          <w:rFonts w:ascii="Book Antiqua" w:hAnsi="Book Antiqua" w:cs="Arial"/>
        </w:rPr>
        <w:t xml:space="preserve">etween 2010 and August 2013 the </w:t>
      </w:r>
      <w:r w:rsidR="000064E8" w:rsidRPr="00264302">
        <w:rPr>
          <w:rFonts w:ascii="Book Antiqua" w:hAnsi="Book Antiqua" w:cs="Arial"/>
        </w:rPr>
        <w:t>Appellant</w:t>
      </w:r>
      <w:r w:rsidR="000001AD" w:rsidRPr="00264302">
        <w:rPr>
          <w:rFonts w:ascii="Book Antiqua" w:hAnsi="Book Antiqua" w:cs="Arial"/>
        </w:rPr>
        <w:t xml:space="preserve"> travelled to Iraq for periods of time.</w:t>
      </w:r>
    </w:p>
    <w:p w:rsidR="000001AD" w:rsidRPr="00264302" w:rsidRDefault="000001AD" w:rsidP="00C94BD5">
      <w:pPr>
        <w:pStyle w:val="ListParagraph"/>
        <w:numPr>
          <w:ilvl w:val="0"/>
          <w:numId w:val="25"/>
        </w:numPr>
        <w:spacing w:before="160"/>
        <w:jc w:val="both"/>
        <w:rPr>
          <w:rFonts w:ascii="Book Antiqua" w:hAnsi="Book Antiqua" w:cs="Arial"/>
        </w:rPr>
      </w:pPr>
      <w:r w:rsidRPr="00264302">
        <w:rPr>
          <w:rFonts w:ascii="Book Antiqua" w:hAnsi="Book Antiqua" w:cs="Arial"/>
        </w:rPr>
        <w:t>On 23 August 2013 made an application for extension o</w:t>
      </w:r>
      <w:r w:rsidR="00A35DC0" w:rsidRPr="00264302">
        <w:rPr>
          <w:rFonts w:ascii="Book Antiqua" w:hAnsi="Book Antiqua" w:cs="Arial"/>
        </w:rPr>
        <w:t>f discretionary leave and this wa</w:t>
      </w:r>
      <w:r w:rsidRPr="00264302">
        <w:rPr>
          <w:rFonts w:ascii="Book Antiqua" w:hAnsi="Book Antiqua" w:cs="Arial"/>
        </w:rPr>
        <w:t>s granted, valid until the 18</w:t>
      </w:r>
      <w:r w:rsidRPr="00264302">
        <w:rPr>
          <w:rFonts w:ascii="Book Antiqua" w:hAnsi="Book Antiqua" w:cs="Arial"/>
          <w:vertAlign w:val="superscript"/>
        </w:rPr>
        <w:t>th</w:t>
      </w:r>
      <w:r w:rsidR="00A64638" w:rsidRPr="00264302">
        <w:rPr>
          <w:rFonts w:ascii="Book Antiqua" w:hAnsi="Book Antiqua" w:cs="Arial"/>
        </w:rPr>
        <w:t xml:space="preserve"> of February</w:t>
      </w:r>
      <w:r w:rsidRPr="00264302">
        <w:rPr>
          <w:rFonts w:ascii="Book Antiqua" w:hAnsi="Book Antiqua" w:cs="Arial"/>
        </w:rPr>
        <w:t xml:space="preserve"> 2017.</w:t>
      </w:r>
    </w:p>
    <w:p w:rsidR="000001AD" w:rsidRPr="00264302" w:rsidRDefault="00A64638"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He has committed criminal offences whilst in the United Kingdom. </w:t>
      </w:r>
      <w:r w:rsidR="000001AD" w:rsidRPr="00264302">
        <w:rPr>
          <w:rFonts w:ascii="Book Antiqua" w:hAnsi="Book Antiqua" w:cs="Arial"/>
        </w:rPr>
        <w:t xml:space="preserve">In 2016 </w:t>
      </w:r>
      <w:r w:rsidRPr="00264302">
        <w:rPr>
          <w:rFonts w:ascii="Book Antiqua" w:hAnsi="Book Antiqua" w:cs="Arial"/>
        </w:rPr>
        <w:t xml:space="preserve">at </w:t>
      </w:r>
      <w:r w:rsidR="000001AD" w:rsidRPr="00264302">
        <w:rPr>
          <w:rFonts w:ascii="Book Antiqua" w:hAnsi="Book Antiqua" w:cs="Arial"/>
        </w:rPr>
        <w:t xml:space="preserve">the </w:t>
      </w:r>
      <w:proofErr w:type="gramStart"/>
      <w:r w:rsidR="000001AD" w:rsidRPr="00264302">
        <w:rPr>
          <w:rFonts w:ascii="Book Antiqua" w:hAnsi="Book Antiqua" w:cs="Arial"/>
        </w:rPr>
        <w:t>magistrates</w:t>
      </w:r>
      <w:proofErr w:type="gramEnd"/>
      <w:r w:rsidR="000001AD" w:rsidRPr="00264302">
        <w:rPr>
          <w:rFonts w:ascii="Book Antiqua" w:hAnsi="Book Antiqua" w:cs="Arial"/>
        </w:rPr>
        <w:t xml:space="preserve"> court he was convicted of failing to provide a specimen for analysis (driving or attempting to drive) which he received a community order and later in 2016 at the same magistrates court was convicted of further driving offences (driving without d</w:t>
      </w:r>
      <w:r w:rsidR="00A35DC0" w:rsidRPr="00264302">
        <w:rPr>
          <w:rFonts w:ascii="Book Antiqua" w:hAnsi="Book Antiqua" w:cs="Arial"/>
        </w:rPr>
        <w:t>ue care and attention) for which he</w:t>
      </w:r>
      <w:r w:rsidR="000001AD" w:rsidRPr="00264302">
        <w:rPr>
          <w:rFonts w:ascii="Book Antiqua" w:hAnsi="Book Antiqua" w:cs="Arial"/>
        </w:rPr>
        <w:t xml:space="preserve"> receive</w:t>
      </w:r>
      <w:r w:rsidR="00A35DC0" w:rsidRPr="00264302">
        <w:rPr>
          <w:rFonts w:ascii="Book Antiqua" w:hAnsi="Book Antiqua" w:cs="Arial"/>
        </w:rPr>
        <w:t>d</w:t>
      </w:r>
      <w:r w:rsidR="000001AD" w:rsidRPr="00264302">
        <w:rPr>
          <w:rFonts w:ascii="Book Antiqua" w:hAnsi="Book Antiqua" w:cs="Arial"/>
        </w:rPr>
        <w:t xml:space="preserve"> no separate penalty and his driving licence was endorsed.</w:t>
      </w:r>
    </w:p>
    <w:p w:rsidR="000001AD" w:rsidRPr="00264302" w:rsidRDefault="000001AD" w:rsidP="00C94BD5">
      <w:pPr>
        <w:pStyle w:val="ListParagraph"/>
        <w:numPr>
          <w:ilvl w:val="0"/>
          <w:numId w:val="25"/>
        </w:numPr>
        <w:spacing w:before="160"/>
        <w:jc w:val="both"/>
        <w:rPr>
          <w:rFonts w:ascii="Book Antiqua" w:hAnsi="Book Antiqua" w:cs="Arial"/>
        </w:rPr>
      </w:pPr>
      <w:r w:rsidRPr="00264302">
        <w:rPr>
          <w:rFonts w:ascii="Book Antiqua" w:hAnsi="Book Antiqua" w:cs="Arial"/>
        </w:rPr>
        <w:t>On 29 July 2016 at the Crown Court he was convicted of dangerous driving to which he was sentenced to 14 months imprisonment, driving while disqualified from which he was sentenced to 3 months imprisonment to be served consecutively</w:t>
      </w:r>
      <w:r w:rsidR="00A64638" w:rsidRPr="00264302">
        <w:rPr>
          <w:rFonts w:ascii="Book Antiqua" w:hAnsi="Book Antiqua" w:cs="Arial"/>
        </w:rPr>
        <w:t>, and</w:t>
      </w:r>
      <w:r w:rsidRPr="00264302">
        <w:rPr>
          <w:rFonts w:ascii="Book Antiqua" w:hAnsi="Book Antiqua" w:cs="Arial"/>
        </w:rPr>
        <w:t xml:space="preserve"> of using a vehicle withou</w:t>
      </w:r>
      <w:r w:rsidR="00A64638" w:rsidRPr="00264302">
        <w:rPr>
          <w:rFonts w:ascii="Book Antiqua" w:hAnsi="Book Antiqua" w:cs="Arial"/>
        </w:rPr>
        <w:t>t insurance for which he</w:t>
      </w:r>
      <w:r w:rsidRPr="00264302">
        <w:rPr>
          <w:rFonts w:ascii="Book Antiqua" w:hAnsi="Book Antiqua" w:cs="Arial"/>
        </w:rPr>
        <w:t xml:space="preserve"> receive</w:t>
      </w:r>
      <w:r w:rsidR="00A64638" w:rsidRPr="00264302">
        <w:rPr>
          <w:rFonts w:ascii="Book Antiqua" w:hAnsi="Book Antiqua" w:cs="Arial"/>
        </w:rPr>
        <w:t>d</w:t>
      </w:r>
      <w:r w:rsidRPr="00264302">
        <w:rPr>
          <w:rFonts w:ascii="Book Antiqua" w:hAnsi="Book Antiqua" w:cs="Arial"/>
        </w:rPr>
        <w:t xml:space="preserve"> no separate penalty. In </w:t>
      </w:r>
      <w:proofErr w:type="gramStart"/>
      <w:r w:rsidRPr="00264302">
        <w:rPr>
          <w:rFonts w:ascii="Book Antiqua" w:hAnsi="Book Antiqua" w:cs="Arial"/>
        </w:rPr>
        <w:t>addition</w:t>
      </w:r>
      <w:proofErr w:type="gramEnd"/>
      <w:r w:rsidRPr="00264302">
        <w:rPr>
          <w:rFonts w:ascii="Book Antiqua" w:hAnsi="Book Antiqua" w:cs="Arial"/>
        </w:rPr>
        <w:t xml:space="preserve"> he was disqualified from driving for three years. His total sentence was one of 17 month</w:t>
      </w:r>
      <w:r w:rsidR="00A64638" w:rsidRPr="00264302">
        <w:rPr>
          <w:rFonts w:ascii="Book Antiqua" w:hAnsi="Book Antiqua" w:cs="Arial"/>
        </w:rPr>
        <w:t>s</w:t>
      </w:r>
      <w:r w:rsidRPr="00264302">
        <w:rPr>
          <w:rFonts w:ascii="Book Antiqua" w:hAnsi="Book Antiqua" w:cs="Arial"/>
        </w:rPr>
        <w:t xml:space="preserve"> imprisonment.</w:t>
      </w:r>
    </w:p>
    <w:p w:rsidR="000001AD" w:rsidRPr="00264302" w:rsidRDefault="000001AD" w:rsidP="00C94BD5">
      <w:pPr>
        <w:pStyle w:val="ListParagraph"/>
        <w:numPr>
          <w:ilvl w:val="0"/>
          <w:numId w:val="25"/>
        </w:numPr>
        <w:spacing w:before="160"/>
        <w:jc w:val="both"/>
        <w:rPr>
          <w:rFonts w:ascii="Book Antiqua" w:hAnsi="Book Antiqua" w:cs="Arial"/>
        </w:rPr>
      </w:pPr>
      <w:r w:rsidRPr="00264302">
        <w:rPr>
          <w:rFonts w:ascii="Book Antiqua" w:hAnsi="Book Antiqua" w:cs="Arial"/>
        </w:rPr>
        <w:lastRenderedPageBreak/>
        <w:t xml:space="preserve">On 22 August 2016 he was served with a stage I decision to deport notice and following this in September 2016 his legal representatives made submissions on his behalf raising </w:t>
      </w:r>
      <w:r w:rsidR="000064E8" w:rsidRPr="00264302">
        <w:rPr>
          <w:rFonts w:ascii="Book Antiqua" w:hAnsi="Book Antiqua" w:cs="Arial"/>
        </w:rPr>
        <w:t>Article</w:t>
      </w:r>
      <w:r w:rsidRPr="00264302">
        <w:rPr>
          <w:rFonts w:ascii="Book Antiqua" w:hAnsi="Book Antiqua" w:cs="Arial"/>
        </w:rPr>
        <w:t>s</w:t>
      </w:r>
      <w:r w:rsidR="00A64638" w:rsidRPr="00264302">
        <w:rPr>
          <w:rFonts w:ascii="Book Antiqua" w:hAnsi="Book Antiqua" w:cs="Arial"/>
        </w:rPr>
        <w:t xml:space="preserve"> 3 and 8</w:t>
      </w:r>
      <w:r w:rsidRPr="00264302">
        <w:rPr>
          <w:rFonts w:ascii="Book Antiqua" w:hAnsi="Book Antiqua" w:cs="Arial"/>
        </w:rPr>
        <w:t xml:space="preserve"> of the ECHR. In a decision letter of </w:t>
      </w:r>
      <w:proofErr w:type="gramStart"/>
      <w:r w:rsidRPr="00264302">
        <w:rPr>
          <w:rFonts w:ascii="Book Antiqua" w:hAnsi="Book Antiqua" w:cs="Arial"/>
        </w:rPr>
        <w:t>10 January 2017</w:t>
      </w:r>
      <w:proofErr w:type="gramEnd"/>
      <w:r w:rsidRPr="00264302">
        <w:rPr>
          <w:rFonts w:ascii="Book Antiqua" w:hAnsi="Book Antiqua" w:cs="Arial"/>
        </w:rPr>
        <w:t xml:space="preserve"> the </w:t>
      </w:r>
      <w:r w:rsidR="000064E8" w:rsidRPr="00264302">
        <w:rPr>
          <w:rFonts w:ascii="Book Antiqua" w:hAnsi="Book Antiqua" w:cs="Arial"/>
        </w:rPr>
        <w:t>Respondent</w:t>
      </w:r>
      <w:r w:rsidRPr="00264302">
        <w:rPr>
          <w:rFonts w:ascii="Book Antiqua" w:hAnsi="Book Antiqua" w:cs="Arial"/>
        </w:rPr>
        <w:t xml:space="preserve"> made a decision to refuse a protection and human rights claim.</w:t>
      </w:r>
    </w:p>
    <w:p w:rsidR="00D15C6F" w:rsidRPr="00264302" w:rsidRDefault="00F061B1" w:rsidP="00C94BD5">
      <w:pPr>
        <w:pStyle w:val="ListParagraph"/>
        <w:numPr>
          <w:ilvl w:val="0"/>
          <w:numId w:val="25"/>
        </w:numPr>
        <w:spacing w:before="160"/>
        <w:jc w:val="both"/>
        <w:rPr>
          <w:rFonts w:ascii="Book Antiqua" w:hAnsi="Book Antiqua" w:cs="Arial"/>
        </w:rPr>
      </w:pPr>
      <w:proofErr w:type="gramStart"/>
      <w:r w:rsidRPr="00264302">
        <w:rPr>
          <w:rFonts w:ascii="Book Antiqua" w:hAnsi="Book Antiqua" w:cs="Arial"/>
        </w:rPr>
        <w:t>Thus</w:t>
      </w:r>
      <w:proofErr w:type="gramEnd"/>
      <w:r w:rsidRPr="00264302">
        <w:rPr>
          <w:rFonts w:ascii="Book Antiqua" w:hAnsi="Book Antiqua" w:cs="Arial"/>
        </w:rPr>
        <w:t xml:space="preserve"> the appeal came before</w:t>
      </w:r>
      <w:r w:rsidR="006C629F" w:rsidRPr="00264302">
        <w:rPr>
          <w:rFonts w:ascii="Book Antiqua" w:hAnsi="Book Antiqua" w:cs="Arial"/>
        </w:rPr>
        <w:t xml:space="preserve"> the F</w:t>
      </w:r>
      <w:r w:rsidR="004B23C6" w:rsidRPr="00264302">
        <w:rPr>
          <w:rFonts w:ascii="Book Antiqua" w:hAnsi="Book Antiqua" w:cs="Arial"/>
        </w:rPr>
        <w:t xml:space="preserve">irst-tier </w:t>
      </w:r>
      <w:r w:rsidR="000064E8" w:rsidRPr="00264302">
        <w:rPr>
          <w:rFonts w:ascii="Book Antiqua" w:hAnsi="Book Antiqua" w:cs="Arial"/>
        </w:rPr>
        <w:t>Tribunal</w:t>
      </w:r>
      <w:r w:rsidR="004B23C6" w:rsidRPr="00264302">
        <w:rPr>
          <w:rFonts w:ascii="Book Antiqua" w:hAnsi="Book Antiqua" w:cs="Arial"/>
        </w:rPr>
        <w:t xml:space="preserve"> on the 11</w:t>
      </w:r>
      <w:r w:rsidR="004B23C6" w:rsidRPr="00264302">
        <w:rPr>
          <w:rFonts w:ascii="Book Antiqua" w:hAnsi="Book Antiqua" w:cs="Arial"/>
          <w:vertAlign w:val="superscript"/>
        </w:rPr>
        <w:t>th</w:t>
      </w:r>
      <w:r w:rsidR="004B23C6" w:rsidRPr="00264302">
        <w:rPr>
          <w:rFonts w:ascii="Book Antiqua" w:hAnsi="Book Antiqua" w:cs="Arial"/>
        </w:rPr>
        <w:t xml:space="preserve"> September</w:t>
      </w:r>
      <w:r w:rsidRPr="00264302">
        <w:rPr>
          <w:rFonts w:ascii="Book Antiqua" w:hAnsi="Book Antiqua" w:cs="Arial"/>
        </w:rPr>
        <w:t xml:space="preserve"> 2017. In a determin</w:t>
      </w:r>
      <w:r w:rsidR="004B23C6" w:rsidRPr="00264302">
        <w:rPr>
          <w:rFonts w:ascii="Book Antiqua" w:hAnsi="Book Antiqua" w:cs="Arial"/>
        </w:rPr>
        <w:t>ation promulgated on 3</w:t>
      </w:r>
      <w:r w:rsidR="004B23C6" w:rsidRPr="00264302">
        <w:rPr>
          <w:rFonts w:ascii="Book Antiqua" w:hAnsi="Book Antiqua" w:cs="Arial"/>
          <w:vertAlign w:val="superscript"/>
        </w:rPr>
        <w:t>rd</w:t>
      </w:r>
      <w:r w:rsidR="004B23C6" w:rsidRPr="00264302">
        <w:rPr>
          <w:rFonts w:ascii="Book Antiqua" w:hAnsi="Book Antiqua" w:cs="Arial"/>
        </w:rPr>
        <w:t xml:space="preserve"> October 2017</w:t>
      </w:r>
      <w:r w:rsidRPr="00264302">
        <w:rPr>
          <w:rFonts w:ascii="Book Antiqua" w:hAnsi="Book Antiqua" w:cs="Arial"/>
        </w:rPr>
        <w:t xml:space="preserve">, </w:t>
      </w:r>
      <w:r w:rsidR="006C629F" w:rsidRPr="00264302">
        <w:rPr>
          <w:rFonts w:ascii="Book Antiqua" w:hAnsi="Book Antiqua" w:cs="Arial"/>
        </w:rPr>
        <w:t>the F</w:t>
      </w:r>
      <w:r w:rsidR="004B23C6" w:rsidRPr="00264302">
        <w:rPr>
          <w:rFonts w:ascii="Book Antiqua" w:hAnsi="Book Antiqua" w:cs="Arial"/>
        </w:rPr>
        <w:t xml:space="preserve">irst-tier </w:t>
      </w:r>
      <w:r w:rsidR="000064E8" w:rsidRPr="00264302">
        <w:rPr>
          <w:rFonts w:ascii="Book Antiqua" w:hAnsi="Book Antiqua" w:cs="Arial"/>
        </w:rPr>
        <w:t>Tribunal</w:t>
      </w:r>
      <w:r w:rsidR="004B23C6" w:rsidRPr="00264302">
        <w:rPr>
          <w:rFonts w:ascii="Book Antiqua" w:hAnsi="Book Antiqua" w:cs="Arial"/>
        </w:rPr>
        <w:t xml:space="preserve"> allowed</w:t>
      </w:r>
      <w:r w:rsidR="000001AD" w:rsidRPr="00264302">
        <w:rPr>
          <w:rFonts w:ascii="Book Antiqua" w:hAnsi="Book Antiqua" w:cs="Arial"/>
        </w:rPr>
        <w:t xml:space="preserve"> his appeal on all grounds </w:t>
      </w:r>
      <w:r w:rsidR="00A35DC0" w:rsidRPr="00264302">
        <w:rPr>
          <w:rFonts w:ascii="Book Antiqua" w:hAnsi="Book Antiqua" w:cs="Arial"/>
        </w:rPr>
        <w:t>(Article</w:t>
      </w:r>
      <w:r w:rsidR="000001AD" w:rsidRPr="00264302">
        <w:rPr>
          <w:rFonts w:ascii="Book Antiqua" w:hAnsi="Book Antiqua" w:cs="Arial"/>
        </w:rPr>
        <w:t xml:space="preserve"> 15 (c) and </w:t>
      </w:r>
      <w:r w:rsidR="000064E8" w:rsidRPr="00264302">
        <w:rPr>
          <w:rFonts w:ascii="Book Antiqua" w:hAnsi="Book Antiqua" w:cs="Arial"/>
        </w:rPr>
        <w:t>Article</w:t>
      </w:r>
      <w:r w:rsidR="000001AD" w:rsidRPr="00264302">
        <w:rPr>
          <w:rFonts w:ascii="Book Antiqua" w:hAnsi="Book Antiqua" w:cs="Arial"/>
        </w:rPr>
        <w:t xml:space="preserve"> 8).</w:t>
      </w:r>
      <w:r w:rsidRPr="00264302">
        <w:rPr>
          <w:rFonts w:ascii="Book Antiqua" w:hAnsi="Book Antiqua" w:cs="Arial"/>
        </w:rPr>
        <w:t xml:space="preserve"> </w:t>
      </w:r>
    </w:p>
    <w:p w:rsidR="009A76E2" w:rsidRPr="00264302" w:rsidRDefault="00D15C6F" w:rsidP="00C94BD5">
      <w:pPr>
        <w:spacing w:before="160"/>
        <w:jc w:val="both"/>
        <w:rPr>
          <w:rFonts w:ascii="Book Antiqua" w:hAnsi="Book Antiqua" w:cs="Arial"/>
          <w:b/>
          <w:u w:val="single"/>
        </w:rPr>
      </w:pPr>
      <w:r w:rsidRPr="00264302">
        <w:rPr>
          <w:rFonts w:ascii="Book Antiqua" w:hAnsi="Book Antiqua" w:cs="Arial"/>
          <w:b/>
          <w:u w:val="single"/>
        </w:rPr>
        <w:t>The A</w:t>
      </w:r>
      <w:r w:rsidR="006E0C1E" w:rsidRPr="00264302">
        <w:rPr>
          <w:rFonts w:ascii="Book Antiqua" w:hAnsi="Book Antiqua" w:cs="Arial"/>
          <w:b/>
          <w:u w:val="single"/>
        </w:rPr>
        <w:t>ppeal b</w:t>
      </w:r>
      <w:r w:rsidR="006C629F" w:rsidRPr="00264302">
        <w:rPr>
          <w:rFonts w:ascii="Book Antiqua" w:hAnsi="Book Antiqua" w:cs="Arial"/>
          <w:b/>
          <w:u w:val="single"/>
        </w:rPr>
        <w:t xml:space="preserve">efore the Upper </w:t>
      </w:r>
      <w:r w:rsidR="000064E8" w:rsidRPr="00264302">
        <w:rPr>
          <w:rFonts w:ascii="Book Antiqua" w:hAnsi="Book Antiqua" w:cs="Arial"/>
          <w:b/>
          <w:u w:val="single"/>
        </w:rPr>
        <w:t>Tribunal</w:t>
      </w:r>
      <w:r w:rsidR="006C629F" w:rsidRPr="00264302">
        <w:rPr>
          <w:rFonts w:ascii="Book Antiqua" w:hAnsi="Book Antiqua" w:cs="Arial"/>
          <w:b/>
          <w:u w:val="single"/>
        </w:rPr>
        <w:t>:</w:t>
      </w:r>
      <w:r w:rsidR="009A76E2" w:rsidRPr="00264302">
        <w:rPr>
          <w:rFonts w:ascii="Book Antiqua" w:hAnsi="Book Antiqua" w:cs="Arial"/>
          <w:b/>
          <w:u w:val="single"/>
        </w:rPr>
        <w:t xml:space="preserve"> </w:t>
      </w:r>
      <w:r w:rsidR="004960CA" w:rsidRPr="00264302">
        <w:rPr>
          <w:rFonts w:ascii="Book Antiqua" w:hAnsi="Book Antiqua" w:cs="Arial"/>
          <w:b/>
          <w:u w:val="single"/>
        </w:rPr>
        <w:t xml:space="preserve">  </w:t>
      </w:r>
    </w:p>
    <w:p w:rsidR="00D15C6F" w:rsidRPr="00264302" w:rsidRDefault="00D15C6F"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w:t>
      </w:r>
      <w:r w:rsidR="004B23C6" w:rsidRPr="00264302">
        <w:rPr>
          <w:rFonts w:ascii="Book Antiqua" w:hAnsi="Book Antiqua" w:cs="Arial"/>
        </w:rPr>
        <w:t xml:space="preserve">Secretary of State </w:t>
      </w:r>
      <w:r w:rsidR="00432278" w:rsidRPr="00264302">
        <w:rPr>
          <w:rFonts w:ascii="Book Antiqua" w:hAnsi="Book Antiqua" w:cs="Arial"/>
        </w:rPr>
        <w:t xml:space="preserve">sought to appeal that decision and </w:t>
      </w:r>
      <w:r w:rsidR="004B23C6" w:rsidRPr="00264302">
        <w:rPr>
          <w:rFonts w:ascii="Book Antiqua" w:hAnsi="Book Antiqua" w:cs="Arial"/>
        </w:rPr>
        <w:t>permission was granted by FtT Judge Martins</w:t>
      </w:r>
      <w:r w:rsidRPr="00264302">
        <w:rPr>
          <w:rFonts w:ascii="Book Antiqua" w:hAnsi="Book Antiqua" w:cs="Arial"/>
        </w:rPr>
        <w:t xml:space="preserve"> </w:t>
      </w:r>
      <w:r w:rsidR="00432278" w:rsidRPr="00264302">
        <w:rPr>
          <w:rFonts w:ascii="Book Antiqua" w:hAnsi="Book Antiqua" w:cs="Arial"/>
        </w:rPr>
        <w:t xml:space="preserve">on </w:t>
      </w:r>
      <w:r w:rsidRPr="00264302">
        <w:rPr>
          <w:rFonts w:ascii="Book Antiqua" w:hAnsi="Book Antiqua" w:cs="Arial"/>
        </w:rPr>
        <w:t xml:space="preserve">the </w:t>
      </w:r>
      <w:r w:rsidR="004B23C6" w:rsidRPr="00264302">
        <w:rPr>
          <w:rFonts w:ascii="Book Antiqua" w:hAnsi="Book Antiqua" w:cs="Arial"/>
        </w:rPr>
        <w:t>25</w:t>
      </w:r>
      <w:r w:rsidR="004B23C6" w:rsidRPr="00264302">
        <w:rPr>
          <w:rFonts w:ascii="Book Antiqua" w:hAnsi="Book Antiqua" w:cs="Arial"/>
          <w:vertAlign w:val="superscript"/>
        </w:rPr>
        <w:t>th</w:t>
      </w:r>
      <w:r w:rsidR="004B23C6" w:rsidRPr="00264302">
        <w:rPr>
          <w:rFonts w:ascii="Book Antiqua" w:hAnsi="Book Antiqua" w:cs="Arial"/>
        </w:rPr>
        <w:t xml:space="preserve"> October</w:t>
      </w:r>
      <w:r w:rsidRPr="00264302">
        <w:rPr>
          <w:rFonts w:ascii="Book Antiqua" w:hAnsi="Book Antiqua" w:cs="Arial"/>
        </w:rPr>
        <w:t xml:space="preserve"> 2017 for the following reasons: </w:t>
      </w:r>
      <w:r w:rsidR="006C629F" w:rsidRPr="00264302">
        <w:rPr>
          <w:rFonts w:ascii="Book Antiqua" w:hAnsi="Book Antiqua" w:cs="Arial"/>
        </w:rPr>
        <w:t>-</w:t>
      </w:r>
    </w:p>
    <w:p w:rsidR="004B23C6" w:rsidRPr="00264302" w:rsidRDefault="000001AD" w:rsidP="00264302">
      <w:pPr>
        <w:spacing w:before="120"/>
        <w:ind w:left="1134" w:right="567"/>
        <w:jc w:val="both"/>
        <w:rPr>
          <w:rFonts w:ascii="Book Antiqua" w:hAnsi="Book Antiqua" w:cs="Arial"/>
          <w:sz w:val="22"/>
        </w:rPr>
      </w:pPr>
      <w:r w:rsidRPr="00264302">
        <w:rPr>
          <w:rFonts w:ascii="Book Antiqua" w:hAnsi="Book Antiqua" w:cs="Arial"/>
          <w:sz w:val="22"/>
        </w:rPr>
        <w:t xml:space="preserve">“The grounds assert that the judge failed to take into account the decision in </w:t>
      </w:r>
      <w:r w:rsidR="00A35DC0" w:rsidRPr="00264302">
        <w:rPr>
          <w:rFonts w:ascii="Book Antiqua" w:hAnsi="Book Antiqua" w:cs="Arial"/>
          <w:sz w:val="22"/>
        </w:rPr>
        <w:t>AA (</w:t>
      </w:r>
      <w:r w:rsidRPr="00264302">
        <w:rPr>
          <w:rFonts w:ascii="Book Antiqua" w:hAnsi="Book Antiqua" w:cs="Arial"/>
          <w:sz w:val="22"/>
        </w:rPr>
        <w:t xml:space="preserve">Iraq) v </w:t>
      </w:r>
      <w:r w:rsidRPr="00264302">
        <w:rPr>
          <w:rFonts w:ascii="Book Antiqua" w:hAnsi="Book Antiqua" w:cs="Arial"/>
          <w:sz w:val="22"/>
          <w:u w:val="single"/>
        </w:rPr>
        <w:t>SSHD</w:t>
      </w:r>
      <w:r w:rsidRPr="00264302">
        <w:rPr>
          <w:rFonts w:ascii="Book Antiqua" w:hAnsi="Book Antiqua" w:cs="Arial"/>
          <w:sz w:val="22"/>
        </w:rPr>
        <w:t xml:space="preserve"> [2017] EWCA</w:t>
      </w:r>
      <w:r w:rsidR="00A35DC0" w:rsidRPr="00264302">
        <w:rPr>
          <w:rFonts w:ascii="Book Antiqua" w:hAnsi="Book Antiqua" w:cs="Arial"/>
          <w:sz w:val="22"/>
        </w:rPr>
        <w:t xml:space="preserve"> </w:t>
      </w:r>
      <w:r w:rsidRPr="00264302">
        <w:rPr>
          <w:rFonts w:ascii="Book Antiqua" w:hAnsi="Book Antiqua" w:cs="Arial"/>
          <w:sz w:val="22"/>
        </w:rPr>
        <w:t>Civ 994, in which amended country guidance</w:t>
      </w:r>
      <w:r w:rsidR="00C842C7" w:rsidRPr="00264302">
        <w:rPr>
          <w:rFonts w:ascii="Book Antiqua" w:hAnsi="Book Antiqua" w:cs="Arial"/>
          <w:sz w:val="22"/>
        </w:rPr>
        <w:t xml:space="preserve"> is provided, showing that the </w:t>
      </w:r>
      <w:r w:rsidR="000064E8" w:rsidRPr="00264302">
        <w:rPr>
          <w:rFonts w:ascii="Book Antiqua" w:hAnsi="Book Antiqua" w:cs="Arial"/>
          <w:sz w:val="22"/>
        </w:rPr>
        <w:t>Tribunal</w:t>
      </w:r>
      <w:r w:rsidRPr="00264302">
        <w:rPr>
          <w:rFonts w:ascii="Book Antiqua" w:hAnsi="Book Antiqua" w:cs="Arial"/>
          <w:sz w:val="22"/>
        </w:rPr>
        <w:t xml:space="preserve"> is incorrect when concluding that the inability to currently remove the </w:t>
      </w:r>
      <w:r w:rsidR="000064E8" w:rsidRPr="00264302">
        <w:rPr>
          <w:rFonts w:ascii="Book Antiqua" w:hAnsi="Book Antiqua" w:cs="Arial"/>
          <w:sz w:val="22"/>
        </w:rPr>
        <w:t>Appellant</w:t>
      </w:r>
      <w:r w:rsidRPr="00264302">
        <w:rPr>
          <w:rFonts w:ascii="Book Antiqua" w:hAnsi="Book Antiqua" w:cs="Arial"/>
          <w:sz w:val="22"/>
        </w:rPr>
        <w:t xml:space="preserve">, creates a risk to the </w:t>
      </w:r>
      <w:r w:rsidR="000064E8" w:rsidRPr="00264302">
        <w:rPr>
          <w:rFonts w:ascii="Book Antiqua" w:hAnsi="Book Antiqua" w:cs="Arial"/>
          <w:sz w:val="22"/>
        </w:rPr>
        <w:t>Appellant</w:t>
      </w:r>
      <w:r w:rsidRPr="00264302">
        <w:rPr>
          <w:rFonts w:ascii="Book Antiqua" w:hAnsi="Book Antiqua" w:cs="Arial"/>
          <w:sz w:val="22"/>
        </w:rPr>
        <w:t xml:space="preserve"> under </w:t>
      </w:r>
      <w:r w:rsidR="000064E8" w:rsidRPr="00264302">
        <w:rPr>
          <w:rFonts w:ascii="Book Antiqua" w:hAnsi="Book Antiqua" w:cs="Arial"/>
          <w:sz w:val="22"/>
        </w:rPr>
        <w:t>Article</w:t>
      </w:r>
      <w:r w:rsidRPr="00264302">
        <w:rPr>
          <w:rFonts w:ascii="Book Antiqua" w:hAnsi="Book Antiqua" w:cs="Arial"/>
          <w:sz w:val="22"/>
        </w:rPr>
        <w:t xml:space="preserve"> 15 C on return to his home area Erbil. As there are findings that the </w:t>
      </w:r>
      <w:r w:rsidR="000064E8" w:rsidRPr="00264302">
        <w:rPr>
          <w:rFonts w:ascii="Book Antiqua" w:hAnsi="Book Antiqua" w:cs="Arial"/>
          <w:sz w:val="22"/>
        </w:rPr>
        <w:t>Appellant</w:t>
      </w:r>
      <w:r w:rsidRPr="00264302">
        <w:rPr>
          <w:rFonts w:ascii="Book Antiqua" w:hAnsi="Book Antiqua" w:cs="Arial"/>
          <w:sz w:val="22"/>
        </w:rPr>
        <w:t xml:space="preserve"> is not at risk in his home area, there is no requirement to him to relocate elsewhere in Iraq. Further it is noted that the amended guidance of the Court of Appeal is to the effect that lack of documentation, cannot create any risk to the </w:t>
      </w:r>
      <w:r w:rsidR="000064E8" w:rsidRPr="00264302">
        <w:rPr>
          <w:rFonts w:ascii="Book Antiqua" w:hAnsi="Book Antiqua" w:cs="Arial"/>
          <w:sz w:val="22"/>
        </w:rPr>
        <w:t>Appellant</w:t>
      </w:r>
      <w:r w:rsidRPr="00264302">
        <w:rPr>
          <w:rFonts w:ascii="Book Antiqua" w:hAnsi="Book Antiqua" w:cs="Arial"/>
          <w:sz w:val="22"/>
        </w:rPr>
        <w:t xml:space="preserve"> on the basis of </w:t>
      </w:r>
      <w:r w:rsidR="000064E8" w:rsidRPr="00264302">
        <w:rPr>
          <w:rFonts w:ascii="Book Antiqua" w:hAnsi="Book Antiqua" w:cs="Arial"/>
          <w:sz w:val="22"/>
        </w:rPr>
        <w:t>Article</w:t>
      </w:r>
      <w:r w:rsidRPr="00264302">
        <w:rPr>
          <w:rFonts w:ascii="Book Antiqua" w:hAnsi="Book Antiqua" w:cs="Arial"/>
          <w:sz w:val="22"/>
        </w:rPr>
        <w:t xml:space="preserve"> 15 C, unless there is a risk to the </w:t>
      </w:r>
      <w:r w:rsidR="000064E8" w:rsidRPr="00264302">
        <w:rPr>
          <w:rFonts w:ascii="Book Antiqua" w:hAnsi="Book Antiqua" w:cs="Arial"/>
          <w:sz w:val="22"/>
        </w:rPr>
        <w:t>Appellant</w:t>
      </w:r>
      <w:r w:rsidRPr="00264302">
        <w:rPr>
          <w:rFonts w:ascii="Book Antiqua" w:hAnsi="Book Antiqua" w:cs="Arial"/>
          <w:sz w:val="22"/>
        </w:rPr>
        <w:t xml:space="preserve"> on return to Iraq.</w:t>
      </w:r>
    </w:p>
    <w:p w:rsidR="000001AD" w:rsidRPr="00264302" w:rsidRDefault="000001AD" w:rsidP="00264302">
      <w:pPr>
        <w:spacing w:before="120"/>
        <w:ind w:left="1134" w:right="567"/>
        <w:jc w:val="both"/>
        <w:rPr>
          <w:rFonts w:ascii="Book Antiqua" w:hAnsi="Book Antiqua" w:cs="Arial"/>
          <w:sz w:val="22"/>
        </w:rPr>
      </w:pPr>
      <w:r w:rsidRPr="00264302">
        <w:rPr>
          <w:rFonts w:ascii="Book Antiqua" w:hAnsi="Book Antiqua" w:cs="Arial"/>
          <w:sz w:val="22"/>
        </w:rPr>
        <w:t xml:space="preserve">It is further submitted that the judge failed to make any findings, in respect of the </w:t>
      </w:r>
      <w:r w:rsidR="000064E8" w:rsidRPr="00264302">
        <w:rPr>
          <w:rFonts w:ascii="Book Antiqua" w:hAnsi="Book Antiqua" w:cs="Arial"/>
          <w:sz w:val="22"/>
        </w:rPr>
        <w:t>Appellant’s</w:t>
      </w:r>
      <w:r w:rsidRPr="00264302">
        <w:rPr>
          <w:rFonts w:ascii="Book Antiqua" w:hAnsi="Book Antiqua" w:cs="Arial"/>
          <w:sz w:val="22"/>
        </w:rPr>
        <w:t xml:space="preserve"> abili</w:t>
      </w:r>
      <w:r w:rsidR="00C842C7" w:rsidRPr="00264302">
        <w:rPr>
          <w:rFonts w:ascii="Book Antiqua" w:hAnsi="Book Antiqua" w:cs="Arial"/>
          <w:sz w:val="22"/>
        </w:rPr>
        <w:t>ty to obtain a new passport. It is</w:t>
      </w:r>
      <w:r w:rsidRPr="00264302">
        <w:rPr>
          <w:rFonts w:ascii="Book Antiqua" w:hAnsi="Book Antiqua" w:cs="Arial"/>
          <w:sz w:val="22"/>
        </w:rPr>
        <w:t xml:space="preserve"> submitted that the judge failed to consider the </w:t>
      </w:r>
      <w:r w:rsidR="000064E8" w:rsidRPr="00264302">
        <w:rPr>
          <w:rFonts w:ascii="Book Antiqua" w:hAnsi="Book Antiqua" w:cs="Arial"/>
          <w:sz w:val="22"/>
        </w:rPr>
        <w:t>Appellant’s</w:t>
      </w:r>
      <w:r w:rsidRPr="00264302">
        <w:rPr>
          <w:rFonts w:ascii="Book Antiqua" w:hAnsi="Book Antiqua" w:cs="Arial"/>
          <w:sz w:val="22"/>
        </w:rPr>
        <w:t xml:space="preserve"> </w:t>
      </w:r>
      <w:r w:rsidR="000064E8" w:rsidRPr="00264302">
        <w:rPr>
          <w:rFonts w:ascii="Book Antiqua" w:hAnsi="Book Antiqua" w:cs="Arial"/>
          <w:sz w:val="22"/>
        </w:rPr>
        <w:t>Article</w:t>
      </w:r>
      <w:r w:rsidRPr="00264302">
        <w:rPr>
          <w:rFonts w:ascii="Book Antiqua" w:hAnsi="Book Antiqua" w:cs="Arial"/>
          <w:sz w:val="22"/>
        </w:rPr>
        <w:t xml:space="preserve"> 8 claim, with reference to the requir</w:t>
      </w:r>
      <w:r w:rsidR="00A35DC0" w:rsidRPr="00264302">
        <w:rPr>
          <w:rFonts w:ascii="Book Antiqua" w:hAnsi="Book Antiqua" w:cs="Arial"/>
          <w:sz w:val="22"/>
        </w:rPr>
        <w:t>ements of paragraph 399 of the Immigration R</w:t>
      </w:r>
      <w:r w:rsidRPr="00264302">
        <w:rPr>
          <w:rFonts w:ascii="Book Antiqua" w:hAnsi="Book Antiqua" w:cs="Arial"/>
          <w:sz w:val="22"/>
        </w:rPr>
        <w:t>ul</w:t>
      </w:r>
      <w:r w:rsidR="00A35DC0" w:rsidRPr="00264302">
        <w:rPr>
          <w:rFonts w:ascii="Book Antiqua" w:hAnsi="Book Antiqua" w:cs="Arial"/>
          <w:sz w:val="22"/>
        </w:rPr>
        <w:t>es and section 117C of the NIA Act</w:t>
      </w:r>
      <w:r w:rsidRPr="00264302">
        <w:rPr>
          <w:rFonts w:ascii="Book Antiqua" w:hAnsi="Book Antiqua" w:cs="Arial"/>
          <w:sz w:val="22"/>
        </w:rPr>
        <w:t xml:space="preserve"> 2002. There is also no finding reasoning that the </w:t>
      </w:r>
      <w:r w:rsidR="000064E8" w:rsidRPr="00264302">
        <w:rPr>
          <w:rFonts w:ascii="Book Antiqua" w:hAnsi="Book Antiqua" w:cs="Arial"/>
          <w:sz w:val="22"/>
        </w:rPr>
        <w:t>Appellant’s</w:t>
      </w:r>
      <w:r w:rsidRPr="00264302">
        <w:rPr>
          <w:rFonts w:ascii="Book Antiqua" w:hAnsi="Book Antiqua" w:cs="Arial"/>
          <w:sz w:val="22"/>
        </w:rPr>
        <w:t xml:space="preserve"> deportation would be unduly harsh. The assertion the grounds are evident in the face of the decision. They disclose an arguable error of law. A</w:t>
      </w:r>
      <w:r w:rsidR="00C842C7" w:rsidRPr="00264302">
        <w:rPr>
          <w:rFonts w:ascii="Book Antiqua" w:hAnsi="Book Antiqua" w:cs="Arial"/>
          <w:sz w:val="22"/>
        </w:rPr>
        <w:t>n a</w:t>
      </w:r>
      <w:r w:rsidRPr="00264302">
        <w:rPr>
          <w:rFonts w:ascii="Book Antiqua" w:hAnsi="Book Antiqua" w:cs="Arial"/>
          <w:sz w:val="22"/>
        </w:rPr>
        <w:t>rguable error of law is shown.”</w:t>
      </w:r>
    </w:p>
    <w:p w:rsidR="00C842C7" w:rsidRPr="00264302" w:rsidRDefault="00C53BD8" w:rsidP="00C94BD5">
      <w:pPr>
        <w:pStyle w:val="ListParagraph"/>
        <w:numPr>
          <w:ilvl w:val="0"/>
          <w:numId w:val="25"/>
        </w:numPr>
        <w:spacing w:before="160"/>
        <w:jc w:val="both"/>
        <w:rPr>
          <w:rFonts w:ascii="Book Antiqua" w:hAnsi="Book Antiqua" w:cs="Arial"/>
        </w:rPr>
      </w:pPr>
      <w:r w:rsidRPr="00264302">
        <w:rPr>
          <w:rFonts w:ascii="Book Antiqua" w:hAnsi="Book Antiqua" w:cs="Arial"/>
        </w:rPr>
        <w:t>At</w:t>
      </w:r>
      <w:r w:rsidR="000001AD" w:rsidRPr="00264302">
        <w:rPr>
          <w:rFonts w:ascii="Book Antiqua" w:hAnsi="Book Antiqua" w:cs="Arial"/>
        </w:rPr>
        <w:t xml:space="preserve"> </w:t>
      </w:r>
      <w:r w:rsidRPr="00264302">
        <w:rPr>
          <w:rFonts w:ascii="Book Antiqua" w:hAnsi="Book Antiqua" w:cs="Arial"/>
        </w:rPr>
        <w:t>the hearing before the</w:t>
      </w:r>
      <w:r w:rsidR="00A575F9" w:rsidRPr="00264302">
        <w:rPr>
          <w:rFonts w:ascii="Book Antiqua" w:hAnsi="Book Antiqua" w:cs="Arial"/>
        </w:rPr>
        <w:t xml:space="preserve"> Upper </w:t>
      </w:r>
      <w:r w:rsidR="000064E8" w:rsidRPr="00264302">
        <w:rPr>
          <w:rFonts w:ascii="Book Antiqua" w:hAnsi="Book Antiqua" w:cs="Arial"/>
        </w:rPr>
        <w:t>Tribunal</w:t>
      </w:r>
      <w:r w:rsidRPr="00264302">
        <w:rPr>
          <w:rFonts w:ascii="Book Antiqua" w:hAnsi="Book Antiqua" w:cs="Arial"/>
        </w:rPr>
        <w:t xml:space="preserve"> I </w:t>
      </w:r>
      <w:r w:rsidR="009A76E2" w:rsidRPr="00264302">
        <w:rPr>
          <w:rFonts w:ascii="Book Antiqua" w:hAnsi="Book Antiqua" w:cs="Arial"/>
        </w:rPr>
        <w:t>heard subm</w:t>
      </w:r>
      <w:r w:rsidRPr="00264302">
        <w:rPr>
          <w:rFonts w:ascii="Book Antiqua" w:hAnsi="Book Antiqua" w:cs="Arial"/>
        </w:rPr>
        <w:t>issions from each of the advocates</w:t>
      </w:r>
      <w:r w:rsidR="000001AD" w:rsidRPr="00264302">
        <w:rPr>
          <w:rFonts w:ascii="Book Antiqua" w:hAnsi="Book Antiqua" w:cs="Arial"/>
        </w:rPr>
        <w:t xml:space="preserve">, Mr Diwncyz on behalf of the </w:t>
      </w:r>
      <w:r w:rsidR="000064E8" w:rsidRPr="00264302">
        <w:rPr>
          <w:rFonts w:ascii="Book Antiqua" w:hAnsi="Book Antiqua" w:cs="Arial"/>
        </w:rPr>
        <w:t>Respondent</w:t>
      </w:r>
      <w:r w:rsidR="000001AD" w:rsidRPr="00264302">
        <w:rPr>
          <w:rFonts w:ascii="Book Antiqua" w:hAnsi="Book Antiqua" w:cs="Arial"/>
        </w:rPr>
        <w:t xml:space="preserve"> and Mr Karnik on behalf of the </w:t>
      </w:r>
      <w:r w:rsidR="000064E8" w:rsidRPr="00264302">
        <w:rPr>
          <w:rFonts w:ascii="Book Antiqua" w:hAnsi="Book Antiqua" w:cs="Arial"/>
        </w:rPr>
        <w:t>Appellant</w:t>
      </w:r>
      <w:r w:rsidR="000001AD" w:rsidRPr="00264302">
        <w:rPr>
          <w:rFonts w:ascii="Book Antiqua" w:hAnsi="Book Antiqua" w:cs="Arial"/>
        </w:rPr>
        <w:t xml:space="preserve"> who also had provided a Rule 24 response.</w:t>
      </w:r>
      <w:r w:rsidR="00D15C6F" w:rsidRPr="00264302">
        <w:rPr>
          <w:rFonts w:ascii="Book Antiqua" w:hAnsi="Book Antiqua" w:cs="Arial"/>
        </w:rPr>
        <w:t xml:space="preserve"> </w:t>
      </w:r>
      <w:r w:rsidR="00430A83" w:rsidRPr="00264302">
        <w:rPr>
          <w:rFonts w:ascii="Book Antiqua" w:hAnsi="Book Antiqua" w:cs="Arial"/>
        </w:rPr>
        <w:t>It is not necessary to set out the submissions of each of the parties</w:t>
      </w:r>
      <w:r w:rsidR="009652C4" w:rsidRPr="00264302">
        <w:rPr>
          <w:rFonts w:ascii="Book Antiqua" w:hAnsi="Book Antiqua" w:cs="Arial"/>
        </w:rPr>
        <w:t xml:space="preserve"> as </w:t>
      </w:r>
      <w:r w:rsidR="00A575F9" w:rsidRPr="00264302">
        <w:rPr>
          <w:rFonts w:ascii="Book Antiqua" w:hAnsi="Book Antiqua" w:cs="Arial"/>
        </w:rPr>
        <w:t>they are set out in the record of proceedings and I</w:t>
      </w:r>
      <w:r w:rsidR="009652C4" w:rsidRPr="00264302">
        <w:rPr>
          <w:rFonts w:ascii="Book Antiqua" w:hAnsi="Book Antiqua" w:cs="Arial"/>
        </w:rPr>
        <w:t xml:space="preserve"> will set out the relevant aspects of those submissions when dealing with the grounds advanced on </w:t>
      </w:r>
      <w:r w:rsidR="000001AD" w:rsidRPr="00264302">
        <w:rPr>
          <w:rFonts w:ascii="Book Antiqua" w:hAnsi="Book Antiqua" w:cs="Arial"/>
        </w:rPr>
        <w:t>behalf of the parties</w:t>
      </w:r>
      <w:r w:rsidR="009652C4" w:rsidRPr="00264302">
        <w:rPr>
          <w:rFonts w:ascii="Book Antiqua" w:hAnsi="Book Antiqua" w:cs="Arial"/>
        </w:rPr>
        <w:t xml:space="preserve"> and my </w:t>
      </w:r>
      <w:r w:rsidR="00FC5548" w:rsidRPr="00264302">
        <w:rPr>
          <w:rFonts w:ascii="Book Antiqua" w:hAnsi="Book Antiqua" w:cs="Arial"/>
        </w:rPr>
        <w:t>consideration of those issues.</w:t>
      </w:r>
    </w:p>
    <w:p w:rsidR="00432278" w:rsidRPr="00264302" w:rsidRDefault="000064E8" w:rsidP="00C94BD5">
      <w:pPr>
        <w:spacing w:before="160"/>
        <w:jc w:val="both"/>
        <w:rPr>
          <w:rFonts w:ascii="Book Antiqua" w:hAnsi="Book Antiqua" w:cs="Arial"/>
          <w:u w:val="single"/>
        </w:rPr>
      </w:pPr>
      <w:r w:rsidRPr="00264302">
        <w:rPr>
          <w:rFonts w:ascii="Book Antiqua" w:hAnsi="Book Antiqua" w:cs="Arial"/>
          <w:u w:val="single"/>
        </w:rPr>
        <w:t>Article</w:t>
      </w:r>
      <w:r w:rsidR="00C842C7" w:rsidRPr="00264302">
        <w:rPr>
          <w:rFonts w:ascii="Book Antiqua" w:hAnsi="Book Antiqua" w:cs="Arial"/>
          <w:u w:val="single"/>
        </w:rPr>
        <w:t xml:space="preserve"> 8:</w:t>
      </w:r>
      <w:r w:rsidR="00FC5548" w:rsidRPr="00264302">
        <w:rPr>
          <w:rFonts w:ascii="Book Antiqua" w:hAnsi="Book Antiqua" w:cs="Arial"/>
          <w:u w:val="single"/>
        </w:rPr>
        <w:t xml:space="preserve">  </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 shall begin with the grounds advanced on behalf of the </w:t>
      </w:r>
      <w:r w:rsidR="000064E8" w:rsidRPr="00264302">
        <w:rPr>
          <w:rFonts w:ascii="Book Antiqua" w:hAnsi="Book Antiqua" w:cs="Arial"/>
        </w:rPr>
        <w:t>Respondent</w:t>
      </w:r>
      <w:r w:rsidRPr="00264302">
        <w:rPr>
          <w:rFonts w:ascii="Book Antiqua" w:hAnsi="Book Antiqua" w:cs="Arial"/>
        </w:rPr>
        <w:t xml:space="preserve"> that concerns the judge’s assessment of the </w:t>
      </w:r>
      <w:r w:rsidR="000064E8" w:rsidRPr="00264302">
        <w:rPr>
          <w:rFonts w:ascii="Book Antiqua" w:hAnsi="Book Antiqua" w:cs="Arial"/>
        </w:rPr>
        <w:t>Article</w:t>
      </w:r>
      <w:r w:rsidRPr="00264302">
        <w:rPr>
          <w:rFonts w:ascii="Book Antiqua" w:hAnsi="Book Antiqua" w:cs="Arial"/>
        </w:rPr>
        <w:t xml:space="preserve"> 8 claim.</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It is submitted on behalf of the </w:t>
      </w:r>
      <w:r w:rsidR="000064E8" w:rsidRPr="00264302">
        <w:rPr>
          <w:rFonts w:ascii="Book Antiqua" w:hAnsi="Book Antiqua" w:cs="Arial"/>
        </w:rPr>
        <w:t>Respondent</w:t>
      </w:r>
      <w:r w:rsidRPr="00264302">
        <w:rPr>
          <w:rFonts w:ascii="Book Antiqua" w:hAnsi="Book Antiqua" w:cs="Arial"/>
        </w:rPr>
        <w:t xml:space="preserve"> that the judge failed to consider the </w:t>
      </w:r>
      <w:r w:rsidR="000064E8" w:rsidRPr="00264302">
        <w:rPr>
          <w:rFonts w:ascii="Book Antiqua" w:hAnsi="Book Antiqua" w:cs="Arial"/>
        </w:rPr>
        <w:t>Appellant’s</w:t>
      </w:r>
      <w:r w:rsidRPr="00264302">
        <w:rPr>
          <w:rFonts w:ascii="Book Antiqua" w:hAnsi="Book Antiqua" w:cs="Arial"/>
        </w:rPr>
        <w:t xml:space="preserve"> </w:t>
      </w:r>
      <w:r w:rsidR="000064E8" w:rsidRPr="00264302">
        <w:rPr>
          <w:rFonts w:ascii="Book Antiqua" w:hAnsi="Book Antiqua" w:cs="Arial"/>
        </w:rPr>
        <w:t>Article</w:t>
      </w:r>
      <w:r w:rsidRPr="00264302">
        <w:rPr>
          <w:rFonts w:ascii="Book Antiqua" w:hAnsi="Book Antiqua" w:cs="Arial"/>
        </w:rPr>
        <w:t xml:space="preserve"> 8 claim with reference to the requir</w:t>
      </w:r>
      <w:r w:rsidR="00A35DC0" w:rsidRPr="00264302">
        <w:rPr>
          <w:rFonts w:ascii="Book Antiqua" w:hAnsi="Book Antiqua" w:cs="Arial"/>
        </w:rPr>
        <w:t>ements of paragraph 399 of the Immigration Rules section 117C of the Nationality, Immigration and Asylum A</w:t>
      </w:r>
      <w:r w:rsidRPr="00264302">
        <w:rPr>
          <w:rFonts w:ascii="Book Antiqua" w:hAnsi="Book Antiqua" w:cs="Arial"/>
        </w:rPr>
        <w:t xml:space="preserve">ct 2002. In particular, as the </w:t>
      </w:r>
      <w:r w:rsidR="000064E8" w:rsidRPr="00264302">
        <w:rPr>
          <w:rFonts w:ascii="Book Antiqua" w:hAnsi="Book Antiqua" w:cs="Arial"/>
        </w:rPr>
        <w:t>Appellant</w:t>
      </w:r>
      <w:r w:rsidRPr="00264302">
        <w:rPr>
          <w:rFonts w:ascii="Book Antiqua" w:hAnsi="Book Antiqua" w:cs="Arial"/>
        </w:rPr>
        <w:t xml:space="preserve"> was a foreign criminal who had been sentenced to a period of imprisonment of 17 months, he was required to demonstrate that his deportation would result in “unduly harsh” outcomes for his partner and children.</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When applied to the determination, the judge failed to provide any findings or reasoning to reach a decision that the </w:t>
      </w:r>
      <w:r w:rsidR="000064E8" w:rsidRPr="00264302">
        <w:rPr>
          <w:rFonts w:ascii="Book Antiqua" w:hAnsi="Book Antiqua" w:cs="Arial"/>
        </w:rPr>
        <w:t>Appellant</w:t>
      </w:r>
      <w:r w:rsidRPr="00264302">
        <w:rPr>
          <w:rFonts w:ascii="Book Antiqua" w:hAnsi="Book Antiqua" w:cs="Arial"/>
        </w:rPr>
        <w:t xml:space="preserve">s deportation would be unduly harsh. </w:t>
      </w:r>
      <w:proofErr w:type="gramStart"/>
      <w:r w:rsidRPr="00264302">
        <w:rPr>
          <w:rFonts w:ascii="Book Antiqua" w:hAnsi="Book Antiqua" w:cs="Arial"/>
        </w:rPr>
        <w:t>Indeed</w:t>
      </w:r>
      <w:proofErr w:type="gramEnd"/>
      <w:r w:rsidRPr="00264302">
        <w:rPr>
          <w:rFonts w:ascii="Book Antiqua" w:hAnsi="Book Antiqua" w:cs="Arial"/>
        </w:rPr>
        <w:t xml:space="preserve"> in the oral submissions made it was submitted that there had been no proper </w:t>
      </w:r>
      <w:r w:rsidRPr="00264302">
        <w:rPr>
          <w:rFonts w:ascii="Book Antiqua" w:hAnsi="Book Antiqua" w:cs="Arial"/>
        </w:rPr>
        <w:lastRenderedPageBreak/>
        <w:t xml:space="preserve">consideration of the public interest when reaching the decision that there was a disproportionate interference with the </w:t>
      </w:r>
      <w:r w:rsidR="000064E8" w:rsidRPr="00264302">
        <w:rPr>
          <w:rFonts w:ascii="Book Antiqua" w:hAnsi="Book Antiqua" w:cs="Arial"/>
        </w:rPr>
        <w:t>Appellant’s</w:t>
      </w:r>
      <w:r w:rsidRPr="00264302">
        <w:rPr>
          <w:rFonts w:ascii="Book Antiqua" w:hAnsi="Book Antiqua" w:cs="Arial"/>
        </w:rPr>
        <w:t xml:space="preserve"> wife’s and child human rights (see paragraph 76 of the determination</w:t>
      </w:r>
      <w:r w:rsidR="00A35DC0" w:rsidRPr="00264302">
        <w:rPr>
          <w:rFonts w:ascii="Book Antiqua" w:hAnsi="Book Antiqua" w:cs="Arial"/>
        </w:rPr>
        <w:t>)</w:t>
      </w:r>
      <w:r w:rsidRPr="00264302">
        <w:rPr>
          <w:rFonts w:ascii="Book Antiqua" w:hAnsi="Book Antiqua" w:cs="Arial"/>
        </w:rPr>
        <w:t>.</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Mr Karnik in his skeleton argument and his oral submissions argued that contrary to the grounds of appeal, the judge did </w:t>
      </w:r>
      <w:proofErr w:type="gramStart"/>
      <w:r w:rsidRPr="00264302">
        <w:rPr>
          <w:rFonts w:ascii="Book Antiqua" w:hAnsi="Book Antiqua" w:cs="Arial"/>
        </w:rPr>
        <w:t>make reference</w:t>
      </w:r>
      <w:proofErr w:type="gramEnd"/>
      <w:r w:rsidRPr="00264302">
        <w:rPr>
          <w:rFonts w:ascii="Book Antiqua" w:hAnsi="Book Antiqua" w:cs="Arial"/>
        </w:rPr>
        <w:t xml:space="preserve"> to the correct legal framework having referred to it at [67] and that he ha</w:t>
      </w:r>
      <w:r w:rsidR="00A35DC0" w:rsidRPr="00264302">
        <w:rPr>
          <w:rFonts w:ascii="Book Antiqua" w:hAnsi="Book Antiqua" w:cs="Arial"/>
        </w:rPr>
        <w:t>d also considered the factors at [</w:t>
      </w:r>
      <w:r w:rsidRPr="00264302">
        <w:rPr>
          <w:rFonts w:ascii="Book Antiqua" w:hAnsi="Book Antiqua" w:cs="Arial"/>
        </w:rPr>
        <w:t>74</w:t>
      </w:r>
      <w:r w:rsidR="00A35DC0" w:rsidRPr="00264302">
        <w:rPr>
          <w:rFonts w:ascii="Book Antiqua" w:hAnsi="Book Antiqua" w:cs="Arial"/>
        </w:rPr>
        <w:t>] and ha</w:t>
      </w:r>
      <w:r w:rsidR="00BB32F2">
        <w:rPr>
          <w:rFonts w:ascii="Book Antiqua" w:hAnsi="Book Antiqua" w:cs="Arial"/>
        </w:rPr>
        <w:t>d</w:t>
      </w:r>
      <w:r w:rsidRPr="00264302">
        <w:rPr>
          <w:rFonts w:ascii="Book Antiqua" w:hAnsi="Book Antiqua" w:cs="Arial"/>
        </w:rPr>
        <w:t xml:space="preserve"> applied the test at [76] as to whether the decision was disproportionate</w:t>
      </w:r>
      <w:r w:rsidR="00C842C7" w:rsidRPr="00264302">
        <w:rPr>
          <w:rFonts w:ascii="Book Antiqua" w:hAnsi="Book Antiqua" w:cs="Arial"/>
        </w:rPr>
        <w:t xml:space="preserve"> </w:t>
      </w:r>
      <w:r w:rsidRPr="00264302">
        <w:rPr>
          <w:rFonts w:ascii="Book Antiqua" w:hAnsi="Book Antiqua" w:cs="Arial"/>
        </w:rPr>
        <w:t xml:space="preserve">(applying the decision in </w:t>
      </w:r>
      <w:r w:rsidRPr="00264302">
        <w:rPr>
          <w:rFonts w:ascii="Book Antiqua" w:hAnsi="Book Antiqua" w:cs="Arial"/>
          <w:u w:val="single"/>
        </w:rPr>
        <w:t>Hesham Ali</w:t>
      </w:r>
      <w:r w:rsidRPr="00264302">
        <w:rPr>
          <w:rFonts w:ascii="Book Antiqua" w:hAnsi="Book Antiqua" w:cs="Arial"/>
        </w:rPr>
        <w:t xml:space="preserve"> [2016] 1 WLR 4799). </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He submitted that the judge had found he had no ties to Iraq and that his wife’s ties were in the UK and that they had a British child. Where it was accepted that return was not feasible and that his sentence of 17 months imprisonment fell to the “lower end of </w:t>
      </w:r>
      <w:r w:rsidR="00A35DC0" w:rsidRPr="00264302">
        <w:rPr>
          <w:rFonts w:ascii="Book Antiqua" w:hAnsi="Book Antiqua" w:cs="Arial"/>
        </w:rPr>
        <w:t>the bracket covered by the Immigration R</w:t>
      </w:r>
      <w:r w:rsidRPr="00264302">
        <w:rPr>
          <w:rFonts w:ascii="Book Antiqua" w:hAnsi="Book Antiqua" w:cs="Arial"/>
        </w:rPr>
        <w:t>ules” the decision could not be called perverse. In his oral submissions he made reference to the evidence given by the probation officer as to his positive behaviour in prison and that when putting the proportionality balance, those factors demonstrated that the decision could not properly be said to a perverse conclusion on the evidence that was before the judge.</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I have carefully considered the competing submissions made by the advocates and have done so in the light of the evidence before the FtTJ and the determination.</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There can be no dispute as to the applicable legal framework that the judge was required to apply. For the avoidance of </w:t>
      </w:r>
      <w:proofErr w:type="gramStart"/>
      <w:r w:rsidRPr="00264302">
        <w:rPr>
          <w:rFonts w:ascii="Book Antiqua" w:hAnsi="Book Antiqua" w:cs="Arial"/>
        </w:rPr>
        <w:t>doubt</w:t>
      </w:r>
      <w:proofErr w:type="gramEnd"/>
      <w:r w:rsidRPr="00264302">
        <w:rPr>
          <w:rFonts w:ascii="Book Antiqua" w:hAnsi="Book Antiqua" w:cs="Arial"/>
        </w:rPr>
        <w:t xml:space="preserve"> I set it out below.</w:t>
      </w:r>
    </w:p>
    <w:p w:rsidR="00FC5548" w:rsidRPr="00264302" w:rsidRDefault="006E0C1E" w:rsidP="00C94BD5">
      <w:pPr>
        <w:spacing w:before="160"/>
        <w:jc w:val="both"/>
        <w:rPr>
          <w:rFonts w:ascii="Book Antiqua" w:hAnsi="Book Antiqua" w:cs="Arial"/>
          <w:b/>
          <w:u w:val="single"/>
        </w:rPr>
      </w:pPr>
      <w:r w:rsidRPr="00264302">
        <w:rPr>
          <w:rFonts w:ascii="Book Antiqua" w:hAnsi="Book Antiqua" w:cs="Arial"/>
          <w:b/>
          <w:u w:val="single"/>
        </w:rPr>
        <w:t>The legal framework</w:t>
      </w:r>
    </w:p>
    <w:p w:rsidR="00666CC2" w:rsidRPr="00264302" w:rsidRDefault="00134AE6" w:rsidP="00C94BD5">
      <w:pPr>
        <w:pStyle w:val="ListParagraph"/>
        <w:numPr>
          <w:ilvl w:val="0"/>
          <w:numId w:val="25"/>
        </w:numPr>
        <w:spacing w:before="160"/>
        <w:jc w:val="both"/>
        <w:rPr>
          <w:rFonts w:ascii="Book Antiqua" w:hAnsi="Book Antiqua"/>
          <w:b/>
          <w:bCs/>
        </w:rPr>
      </w:pPr>
      <w:r w:rsidRPr="00264302">
        <w:rPr>
          <w:rFonts w:ascii="Book Antiqua" w:hAnsi="Book Antiqua" w:cs="Arial"/>
        </w:rPr>
        <w:t>The relevant statutory background is set out</w:t>
      </w:r>
      <w:r w:rsidR="00666CC2" w:rsidRPr="00264302">
        <w:rPr>
          <w:rFonts w:ascii="Book Antiqua" w:hAnsi="Book Antiqua" w:cs="Arial"/>
        </w:rPr>
        <w:t xml:space="preserve"> as follows:</w:t>
      </w:r>
    </w:p>
    <w:p w:rsidR="00666CC2" w:rsidRPr="00264302" w:rsidRDefault="007343E9" w:rsidP="00264302">
      <w:pPr>
        <w:tabs>
          <w:tab w:val="left" w:pos="1843"/>
        </w:tabs>
        <w:spacing w:before="120"/>
        <w:ind w:left="1134"/>
        <w:rPr>
          <w:rFonts w:ascii="Book Antiqua" w:hAnsi="Book Antiqua"/>
        </w:rPr>
      </w:pPr>
      <w:r w:rsidRPr="00264302">
        <w:rPr>
          <w:rFonts w:ascii="Book Antiqua" w:hAnsi="Book Antiqua"/>
        </w:rPr>
        <w:t>A362.</w:t>
      </w:r>
      <w:r w:rsidR="00264302">
        <w:rPr>
          <w:rFonts w:ascii="Book Antiqua" w:hAnsi="Book Antiqua"/>
        </w:rPr>
        <w:tab/>
      </w:r>
      <w:r w:rsidRPr="00264302">
        <w:rPr>
          <w:rFonts w:ascii="Book Antiqua" w:hAnsi="Book Antiqua"/>
        </w:rPr>
        <w:t xml:space="preserve">Where </w:t>
      </w:r>
      <w:r w:rsidR="000064E8" w:rsidRPr="00264302">
        <w:rPr>
          <w:rFonts w:ascii="Book Antiqua" w:hAnsi="Book Antiqua"/>
        </w:rPr>
        <w:t>Article</w:t>
      </w:r>
      <w:r w:rsidR="00666CC2" w:rsidRPr="00264302">
        <w:rPr>
          <w:rFonts w:ascii="Book Antiqua" w:hAnsi="Book Antiqua"/>
        </w:rPr>
        <w:t xml:space="preserve"> 8 is raised the context of deportation under Part 13 of these Rules, the claim under </w:t>
      </w:r>
      <w:r w:rsidR="000064E8" w:rsidRPr="00264302">
        <w:rPr>
          <w:rFonts w:ascii="Book Antiqua" w:hAnsi="Book Antiqua"/>
        </w:rPr>
        <w:t>Article</w:t>
      </w:r>
      <w:r w:rsidR="00666CC2" w:rsidRPr="00264302">
        <w:rPr>
          <w:rFonts w:ascii="Book Antiqua" w:hAnsi="Book Antiqua"/>
        </w:rPr>
        <w:t xml:space="preserve"> 8 will only succeed where the requirements of these rules as at 28 July 2014 are met</w:t>
      </w:r>
      <w:r w:rsidR="00264302">
        <w:rPr>
          <w:rFonts w:ascii="Book Antiqua" w:hAnsi="Book Antiqua"/>
        </w:rPr>
        <w:t xml:space="preserve"> </w:t>
      </w:r>
      <w:r w:rsidR="00666CC2" w:rsidRPr="00264302">
        <w:rPr>
          <w:rFonts w:ascii="Book Antiqua" w:hAnsi="Book Antiqua"/>
        </w:rPr>
        <w:t>…</w:t>
      </w:r>
    </w:p>
    <w:p w:rsidR="00666CC2" w:rsidRPr="00264302" w:rsidRDefault="00666CC2" w:rsidP="00264302">
      <w:pPr>
        <w:spacing w:before="120"/>
        <w:ind w:left="1134"/>
        <w:rPr>
          <w:rFonts w:ascii="Book Antiqua" w:hAnsi="Book Antiqua"/>
        </w:rPr>
      </w:pPr>
      <w:r w:rsidRPr="00264302">
        <w:rPr>
          <w:rFonts w:ascii="Book Antiqua" w:hAnsi="Book Antiqua"/>
        </w:rPr>
        <w:t>…</w:t>
      </w:r>
    </w:p>
    <w:p w:rsidR="00666CC2" w:rsidRPr="00264302" w:rsidRDefault="00666CC2" w:rsidP="00264302">
      <w:pPr>
        <w:spacing w:before="120"/>
        <w:ind w:left="1134"/>
        <w:rPr>
          <w:rFonts w:ascii="Book Antiqua" w:hAnsi="Book Antiqua"/>
        </w:rPr>
      </w:pPr>
      <w:r w:rsidRPr="00264302">
        <w:rPr>
          <w:rFonts w:ascii="Book Antiqua" w:hAnsi="Book Antiqua"/>
          <w:b/>
          <w:bCs/>
        </w:rPr>
        <w:t xml:space="preserve">Deportation and </w:t>
      </w:r>
      <w:r w:rsidR="000064E8" w:rsidRPr="00264302">
        <w:rPr>
          <w:rFonts w:ascii="Book Antiqua" w:hAnsi="Book Antiqua"/>
          <w:b/>
          <w:bCs/>
        </w:rPr>
        <w:t>Article</w:t>
      </w:r>
      <w:r w:rsidRPr="00264302">
        <w:rPr>
          <w:rFonts w:ascii="Book Antiqua" w:hAnsi="Book Antiqua"/>
          <w:b/>
          <w:bCs/>
        </w:rPr>
        <w:t xml:space="preserve"> 8 </w:t>
      </w:r>
    </w:p>
    <w:p w:rsidR="00666CC2" w:rsidRPr="00264302" w:rsidRDefault="00666CC2" w:rsidP="00264302">
      <w:pPr>
        <w:tabs>
          <w:tab w:val="left" w:pos="1843"/>
        </w:tabs>
        <w:spacing w:before="120"/>
        <w:ind w:left="1134"/>
        <w:rPr>
          <w:rFonts w:ascii="Book Antiqua" w:hAnsi="Book Antiqua"/>
        </w:rPr>
      </w:pPr>
      <w:r w:rsidRPr="00264302">
        <w:rPr>
          <w:rFonts w:ascii="Book Antiqua" w:hAnsi="Book Antiqua"/>
        </w:rPr>
        <w:t>A398.</w:t>
      </w:r>
      <w:r w:rsidR="00264302">
        <w:rPr>
          <w:rFonts w:ascii="Book Antiqua" w:hAnsi="Book Antiqua"/>
        </w:rPr>
        <w:tab/>
      </w:r>
      <w:r w:rsidRPr="00264302">
        <w:rPr>
          <w:rFonts w:ascii="Book Antiqua" w:hAnsi="Book Antiqua"/>
        </w:rPr>
        <w:t xml:space="preserve">These rules apply where: </w:t>
      </w:r>
    </w:p>
    <w:p w:rsidR="00666CC2" w:rsidRPr="00264302" w:rsidRDefault="00666CC2" w:rsidP="00264302">
      <w:pPr>
        <w:spacing w:before="120"/>
        <w:ind w:left="1134"/>
        <w:rPr>
          <w:rFonts w:ascii="Book Antiqua" w:hAnsi="Book Antiqua"/>
        </w:rPr>
      </w:pPr>
      <w:r w:rsidRPr="00264302">
        <w:rPr>
          <w:rFonts w:ascii="Book Antiqua" w:hAnsi="Book Antiqua"/>
        </w:rPr>
        <w:t>…</w:t>
      </w:r>
    </w:p>
    <w:p w:rsidR="00666CC2" w:rsidRPr="00264302" w:rsidRDefault="00666CC2" w:rsidP="00264302">
      <w:pPr>
        <w:tabs>
          <w:tab w:val="left" w:pos="1843"/>
        </w:tabs>
        <w:spacing w:before="120"/>
        <w:ind w:left="1134"/>
        <w:rPr>
          <w:rFonts w:ascii="Book Antiqua" w:hAnsi="Book Antiqua"/>
        </w:rPr>
      </w:pPr>
      <w:r w:rsidRPr="00264302">
        <w:rPr>
          <w:rFonts w:ascii="Book Antiqua" w:hAnsi="Book Antiqua"/>
        </w:rPr>
        <w:t>398.</w:t>
      </w:r>
      <w:r w:rsidR="00264302">
        <w:rPr>
          <w:rFonts w:ascii="Book Antiqua" w:hAnsi="Book Antiqua"/>
        </w:rPr>
        <w:tab/>
      </w:r>
      <w:r w:rsidRPr="00264302">
        <w:rPr>
          <w:rFonts w:ascii="Book Antiqua" w:hAnsi="Book Antiqua"/>
        </w:rPr>
        <w:t xml:space="preserve">Where a person claims that their deportation would be contrary to the UK's obligations under </w:t>
      </w:r>
      <w:r w:rsidR="000064E8" w:rsidRPr="00264302">
        <w:rPr>
          <w:rFonts w:ascii="Book Antiqua" w:hAnsi="Book Antiqua"/>
        </w:rPr>
        <w:t>Article</w:t>
      </w:r>
      <w:r w:rsidRPr="00264302">
        <w:rPr>
          <w:rFonts w:ascii="Book Antiqua" w:hAnsi="Book Antiqua"/>
        </w:rPr>
        <w:t xml:space="preserve"> 8 of the Human Rights Convention, and </w:t>
      </w:r>
    </w:p>
    <w:p w:rsidR="00666CC2" w:rsidRPr="00264302" w:rsidRDefault="00666CC2" w:rsidP="00264302">
      <w:pPr>
        <w:spacing w:before="120"/>
        <w:ind w:left="1134"/>
        <w:rPr>
          <w:rFonts w:ascii="Book Antiqua" w:hAnsi="Book Antiqua"/>
        </w:rPr>
      </w:pPr>
      <w:r w:rsidRPr="00264302">
        <w:rPr>
          <w:rFonts w:ascii="Book Antiqua" w:hAnsi="Book Antiqua"/>
        </w:rPr>
        <w:t>…</w:t>
      </w:r>
    </w:p>
    <w:p w:rsidR="00666CC2" w:rsidRPr="00264302" w:rsidRDefault="00666CC2" w:rsidP="00264302">
      <w:pPr>
        <w:tabs>
          <w:tab w:val="left" w:pos="2410"/>
        </w:tabs>
        <w:spacing w:before="120"/>
        <w:ind w:left="1843"/>
        <w:rPr>
          <w:rFonts w:ascii="Book Antiqua" w:hAnsi="Book Antiqua"/>
        </w:rPr>
      </w:pPr>
      <w:r w:rsidRPr="00264302">
        <w:rPr>
          <w:rFonts w:ascii="Book Antiqua" w:hAnsi="Book Antiqua"/>
        </w:rPr>
        <w:t>(b)</w:t>
      </w:r>
      <w:r w:rsidR="00264302">
        <w:rPr>
          <w:rFonts w:ascii="Book Antiqua" w:hAnsi="Book Antiqua"/>
        </w:rPr>
        <w:tab/>
      </w:r>
      <w:r w:rsidRPr="00264302">
        <w:rPr>
          <w:rFonts w:ascii="Book Antiqua" w:hAnsi="Book Antiqua"/>
        </w:rPr>
        <w:t>the deportation of the person from the UK is conducive to the public good and in the public interest because they have been convicted of an offence for which they have been sentenced to a period of imprisonment of less than 4 years but at least 12 months…</w:t>
      </w:r>
    </w:p>
    <w:p w:rsidR="00666CC2" w:rsidRPr="00264302" w:rsidRDefault="00666CC2" w:rsidP="00264302">
      <w:pPr>
        <w:spacing w:before="120"/>
        <w:ind w:left="1134"/>
        <w:rPr>
          <w:rFonts w:ascii="Book Antiqua" w:hAnsi="Book Antiqua"/>
        </w:rPr>
      </w:pPr>
      <w:r w:rsidRPr="00264302">
        <w:rPr>
          <w:rFonts w:ascii="Book Antiqua" w:hAnsi="Book Antiqua"/>
        </w:rPr>
        <w:t xml:space="preserve">the Secretary of State in assessing that claim will consider whether paragraph 399 or 399A applies and, if it does not, the public interest in deportation will only be outweighed by other factors where there are very compelling circumstances over and above those described in paragraphs 399 and 399A. </w:t>
      </w:r>
    </w:p>
    <w:p w:rsidR="00666CC2" w:rsidRPr="00264302" w:rsidRDefault="00666CC2" w:rsidP="00264302">
      <w:pPr>
        <w:tabs>
          <w:tab w:val="left" w:pos="1843"/>
        </w:tabs>
        <w:spacing w:before="120"/>
        <w:ind w:left="1134"/>
        <w:rPr>
          <w:rFonts w:ascii="Book Antiqua" w:hAnsi="Book Antiqua"/>
        </w:rPr>
      </w:pPr>
      <w:r w:rsidRPr="00264302">
        <w:rPr>
          <w:rFonts w:ascii="Book Antiqua" w:hAnsi="Book Antiqua"/>
        </w:rPr>
        <w:lastRenderedPageBreak/>
        <w:t>399.</w:t>
      </w:r>
      <w:r w:rsidR="00264302">
        <w:rPr>
          <w:rFonts w:ascii="Book Antiqua" w:hAnsi="Book Antiqua"/>
        </w:rPr>
        <w:tab/>
      </w:r>
      <w:r w:rsidRPr="00264302">
        <w:rPr>
          <w:rFonts w:ascii="Book Antiqua" w:hAnsi="Book Antiqua"/>
        </w:rPr>
        <w:t xml:space="preserve">This paragraph applies where paragraph 398 (b) or (c) applies if – </w:t>
      </w:r>
    </w:p>
    <w:p w:rsidR="00666CC2" w:rsidRPr="00264302" w:rsidRDefault="00264302" w:rsidP="00264302">
      <w:pPr>
        <w:tabs>
          <w:tab w:val="left" w:pos="2410"/>
        </w:tabs>
        <w:spacing w:before="120"/>
        <w:ind w:left="1843"/>
        <w:rPr>
          <w:rFonts w:ascii="Book Antiqua" w:hAnsi="Book Antiqua"/>
        </w:rPr>
      </w:pPr>
      <w:r>
        <w:rPr>
          <w:rFonts w:ascii="Book Antiqua" w:hAnsi="Book Antiqua"/>
        </w:rPr>
        <w:t>(a)</w:t>
      </w:r>
      <w:r>
        <w:rPr>
          <w:rFonts w:ascii="Book Antiqua" w:hAnsi="Book Antiqua"/>
        </w:rPr>
        <w:tab/>
      </w:r>
      <w:r w:rsidR="00666CC2" w:rsidRPr="00264302">
        <w:rPr>
          <w:rFonts w:ascii="Book Antiqua" w:hAnsi="Book Antiqua"/>
        </w:rPr>
        <w:t xml:space="preserve">the person has a genuine and subsisting parental relationship with a child under the age of 18 years who is in the UK, and </w:t>
      </w:r>
    </w:p>
    <w:p w:rsidR="00666CC2" w:rsidRPr="00264302" w:rsidRDefault="00666CC2" w:rsidP="00264302">
      <w:pPr>
        <w:tabs>
          <w:tab w:val="left" w:pos="2977"/>
        </w:tabs>
        <w:spacing w:before="120"/>
        <w:ind w:left="2410"/>
        <w:rPr>
          <w:rFonts w:ascii="Book Antiqua" w:hAnsi="Book Antiqua"/>
        </w:rPr>
      </w:pPr>
      <w:r w:rsidRPr="00264302">
        <w:rPr>
          <w:rFonts w:ascii="Book Antiqua" w:hAnsi="Book Antiqua"/>
        </w:rPr>
        <w:t>(</w:t>
      </w:r>
      <w:proofErr w:type="spellStart"/>
      <w:r w:rsidRPr="00264302">
        <w:rPr>
          <w:rFonts w:ascii="Book Antiqua" w:hAnsi="Book Antiqua"/>
        </w:rPr>
        <w:t>i</w:t>
      </w:r>
      <w:proofErr w:type="spellEnd"/>
      <w:r w:rsidRPr="00264302">
        <w:rPr>
          <w:rFonts w:ascii="Book Antiqua" w:hAnsi="Book Antiqua"/>
        </w:rPr>
        <w:t>)</w:t>
      </w:r>
      <w:r w:rsidR="00264302">
        <w:rPr>
          <w:rFonts w:ascii="Book Antiqua" w:hAnsi="Book Antiqua"/>
        </w:rPr>
        <w:tab/>
      </w:r>
      <w:r w:rsidRPr="00264302">
        <w:rPr>
          <w:rFonts w:ascii="Book Antiqua" w:hAnsi="Book Antiqua"/>
        </w:rPr>
        <w:t xml:space="preserve">the child is a British Citizen; or </w:t>
      </w:r>
    </w:p>
    <w:p w:rsidR="00666CC2" w:rsidRPr="00264302" w:rsidRDefault="00666CC2" w:rsidP="00264302">
      <w:pPr>
        <w:tabs>
          <w:tab w:val="left" w:pos="2977"/>
        </w:tabs>
        <w:spacing w:before="120"/>
        <w:ind w:left="2410"/>
        <w:rPr>
          <w:rFonts w:ascii="Book Antiqua" w:hAnsi="Book Antiqua"/>
        </w:rPr>
      </w:pPr>
      <w:r w:rsidRPr="00264302">
        <w:rPr>
          <w:rFonts w:ascii="Book Antiqua" w:hAnsi="Book Antiqua"/>
        </w:rPr>
        <w:t>(ii)</w:t>
      </w:r>
      <w:r w:rsidR="00264302">
        <w:rPr>
          <w:rFonts w:ascii="Book Antiqua" w:hAnsi="Book Antiqua"/>
        </w:rPr>
        <w:tab/>
      </w:r>
      <w:r w:rsidRPr="00264302">
        <w:rPr>
          <w:rFonts w:ascii="Book Antiqua" w:hAnsi="Book Antiqua"/>
        </w:rPr>
        <w:t xml:space="preserve">the child has lived in the UK continuously for at least the 7 years immediately preceding the date of the immigration decision; and in either case </w:t>
      </w:r>
    </w:p>
    <w:p w:rsidR="00666CC2" w:rsidRPr="00264302" w:rsidRDefault="00666CC2" w:rsidP="00264302">
      <w:pPr>
        <w:tabs>
          <w:tab w:val="left" w:pos="3544"/>
        </w:tabs>
        <w:spacing w:before="120"/>
        <w:ind w:left="2977"/>
        <w:rPr>
          <w:rFonts w:ascii="Book Antiqua" w:hAnsi="Book Antiqua"/>
        </w:rPr>
      </w:pPr>
      <w:r w:rsidRPr="00264302">
        <w:rPr>
          <w:rFonts w:ascii="Book Antiqua" w:hAnsi="Book Antiqua"/>
        </w:rPr>
        <w:t>(a)</w:t>
      </w:r>
      <w:r w:rsidR="00264302">
        <w:rPr>
          <w:rFonts w:ascii="Book Antiqua" w:hAnsi="Book Antiqua"/>
        </w:rPr>
        <w:tab/>
      </w:r>
      <w:r w:rsidRPr="00264302">
        <w:rPr>
          <w:rFonts w:ascii="Book Antiqua" w:hAnsi="Book Antiqua"/>
        </w:rPr>
        <w:t xml:space="preserve">it would be unduly harsh for the child to live in the country to which the person is to be deported; and </w:t>
      </w:r>
    </w:p>
    <w:p w:rsidR="00666CC2" w:rsidRPr="00264302" w:rsidRDefault="00666CC2" w:rsidP="00264302">
      <w:pPr>
        <w:tabs>
          <w:tab w:val="left" w:pos="3544"/>
        </w:tabs>
        <w:spacing w:before="120"/>
        <w:ind w:left="2977"/>
        <w:rPr>
          <w:rFonts w:ascii="Book Antiqua" w:hAnsi="Book Antiqua"/>
        </w:rPr>
      </w:pPr>
      <w:r w:rsidRPr="00264302">
        <w:rPr>
          <w:rFonts w:ascii="Book Antiqua" w:hAnsi="Book Antiqua"/>
        </w:rPr>
        <w:t>(b)</w:t>
      </w:r>
      <w:r w:rsidR="00264302">
        <w:rPr>
          <w:rFonts w:ascii="Book Antiqua" w:hAnsi="Book Antiqua"/>
        </w:rPr>
        <w:tab/>
      </w:r>
      <w:r w:rsidRPr="00264302">
        <w:rPr>
          <w:rFonts w:ascii="Book Antiqua" w:hAnsi="Book Antiqua"/>
        </w:rPr>
        <w:t xml:space="preserve">it would be unduly harsh for the child to remain in the UK without the person who is to be deported; or </w:t>
      </w:r>
    </w:p>
    <w:p w:rsidR="00666CC2" w:rsidRPr="00264302" w:rsidRDefault="00264302" w:rsidP="00264302">
      <w:pPr>
        <w:tabs>
          <w:tab w:val="left" w:pos="2410"/>
        </w:tabs>
        <w:spacing w:before="120"/>
        <w:ind w:left="1843"/>
        <w:rPr>
          <w:rFonts w:ascii="Book Antiqua" w:hAnsi="Book Antiqua"/>
        </w:rPr>
      </w:pPr>
      <w:r>
        <w:rPr>
          <w:rFonts w:ascii="Book Antiqua" w:hAnsi="Book Antiqua"/>
        </w:rPr>
        <w:t>(b)</w:t>
      </w:r>
      <w:r>
        <w:rPr>
          <w:rFonts w:ascii="Book Antiqua" w:hAnsi="Book Antiqua"/>
        </w:rPr>
        <w:tab/>
      </w:r>
      <w:r w:rsidR="00666CC2" w:rsidRPr="00264302">
        <w:rPr>
          <w:rFonts w:ascii="Book Antiqua" w:hAnsi="Book Antiqua"/>
        </w:rPr>
        <w:t xml:space="preserve">the person has a genuine and subsisting relationship with a partner who is in the UK and is a British Citizen or settled in the UK, and </w:t>
      </w:r>
    </w:p>
    <w:p w:rsidR="00666CC2" w:rsidRPr="00264302" w:rsidRDefault="00666CC2" w:rsidP="00264302">
      <w:pPr>
        <w:tabs>
          <w:tab w:val="left" w:pos="2977"/>
        </w:tabs>
        <w:spacing w:before="120"/>
        <w:ind w:left="2410"/>
        <w:rPr>
          <w:rFonts w:ascii="Book Antiqua" w:hAnsi="Book Antiqua"/>
        </w:rPr>
      </w:pPr>
      <w:r w:rsidRPr="00264302">
        <w:rPr>
          <w:rFonts w:ascii="Book Antiqua" w:hAnsi="Book Antiqua"/>
        </w:rPr>
        <w:t>(i)</w:t>
      </w:r>
      <w:r w:rsidR="00264302">
        <w:rPr>
          <w:rFonts w:ascii="Book Antiqua" w:hAnsi="Book Antiqua"/>
        </w:rPr>
        <w:tab/>
      </w:r>
      <w:r w:rsidRPr="00264302">
        <w:rPr>
          <w:rFonts w:ascii="Book Antiqua" w:hAnsi="Book Antiqua"/>
        </w:rPr>
        <w:t xml:space="preserve">the relationship was formed at a time when the person (deportee) was in the UK lawfully and their immigration status was not precarious; and </w:t>
      </w:r>
    </w:p>
    <w:p w:rsidR="00666CC2" w:rsidRPr="00264302" w:rsidRDefault="00666CC2" w:rsidP="00264302">
      <w:pPr>
        <w:tabs>
          <w:tab w:val="left" w:pos="2977"/>
        </w:tabs>
        <w:spacing w:before="120"/>
        <w:ind w:left="2410"/>
        <w:rPr>
          <w:rFonts w:ascii="Book Antiqua" w:hAnsi="Book Antiqua"/>
        </w:rPr>
      </w:pPr>
      <w:r w:rsidRPr="00264302">
        <w:rPr>
          <w:rFonts w:ascii="Book Antiqua" w:hAnsi="Book Antiqua"/>
        </w:rPr>
        <w:t>(ii)</w:t>
      </w:r>
      <w:r w:rsidR="00264302">
        <w:rPr>
          <w:rFonts w:ascii="Book Antiqua" w:hAnsi="Book Antiqua"/>
        </w:rPr>
        <w:tab/>
      </w:r>
      <w:r w:rsidRPr="00264302">
        <w:rPr>
          <w:rFonts w:ascii="Book Antiqua" w:hAnsi="Book Antiqua"/>
        </w:rPr>
        <w:t xml:space="preserve">it would be unduly harsh for that partner to live in the country to which the person is to be deported, because of compelling circumstances over and above those described in paragraph EX.2. of Appendix FM; and </w:t>
      </w:r>
    </w:p>
    <w:p w:rsidR="00666CC2" w:rsidRPr="00264302" w:rsidRDefault="00666CC2" w:rsidP="00264302">
      <w:pPr>
        <w:tabs>
          <w:tab w:val="left" w:pos="2977"/>
        </w:tabs>
        <w:spacing w:before="120"/>
        <w:ind w:left="2410"/>
        <w:rPr>
          <w:rFonts w:ascii="Book Antiqua" w:hAnsi="Book Antiqua"/>
        </w:rPr>
      </w:pPr>
      <w:r w:rsidRPr="00264302">
        <w:rPr>
          <w:rFonts w:ascii="Book Antiqua" w:hAnsi="Book Antiqua"/>
        </w:rPr>
        <w:t>(iii)</w:t>
      </w:r>
      <w:r w:rsidR="00264302">
        <w:rPr>
          <w:rFonts w:ascii="Book Antiqua" w:hAnsi="Book Antiqua"/>
        </w:rPr>
        <w:tab/>
      </w:r>
      <w:r w:rsidRPr="00264302">
        <w:rPr>
          <w:rFonts w:ascii="Book Antiqua" w:hAnsi="Book Antiqua"/>
        </w:rPr>
        <w:t xml:space="preserve">it would be unduly harsh for that partner to remain in the UK without the person who is to be deported." </w:t>
      </w:r>
    </w:p>
    <w:p w:rsidR="008566EB" w:rsidRPr="00264302" w:rsidRDefault="001A3FD2" w:rsidP="00C94BD5">
      <w:pPr>
        <w:pStyle w:val="ListParagraph"/>
        <w:numPr>
          <w:ilvl w:val="0"/>
          <w:numId w:val="25"/>
        </w:numPr>
        <w:spacing w:before="160"/>
        <w:jc w:val="both"/>
        <w:rPr>
          <w:rFonts w:ascii="Book Antiqua" w:hAnsi="Book Antiqua" w:cs="Arial"/>
        </w:rPr>
      </w:pPr>
      <w:r w:rsidRPr="00264302">
        <w:rPr>
          <w:rFonts w:ascii="Book Antiqua" w:hAnsi="Book Antiqua" w:cs="Arial"/>
        </w:rPr>
        <w:t>On 28</w:t>
      </w:r>
      <w:r w:rsidRPr="00264302">
        <w:rPr>
          <w:rFonts w:ascii="Book Antiqua" w:hAnsi="Book Antiqua" w:cs="Arial"/>
          <w:vertAlign w:val="superscript"/>
        </w:rPr>
        <w:t>th</w:t>
      </w:r>
      <w:r w:rsidRPr="00264302">
        <w:rPr>
          <w:rFonts w:ascii="Book Antiqua" w:hAnsi="Book Antiqua" w:cs="Arial"/>
        </w:rPr>
        <w:t xml:space="preserve"> July 2014 the Immigration Act 2014 (</w:t>
      </w:r>
      <w:r w:rsidR="008F2F18" w:rsidRPr="00264302">
        <w:rPr>
          <w:rFonts w:ascii="Book Antiqua" w:hAnsi="Book Antiqua" w:cs="Arial"/>
        </w:rPr>
        <w:t>“</w:t>
      </w:r>
      <w:r w:rsidRPr="00264302">
        <w:rPr>
          <w:rFonts w:ascii="Book Antiqua" w:hAnsi="Book Antiqua" w:cs="Arial"/>
        </w:rPr>
        <w:t>the 2014 Act</w:t>
      </w:r>
      <w:r w:rsidR="008F2F18" w:rsidRPr="00264302">
        <w:rPr>
          <w:rFonts w:ascii="Book Antiqua" w:hAnsi="Book Antiqua" w:cs="Arial"/>
        </w:rPr>
        <w:t>”</w:t>
      </w:r>
      <w:r w:rsidRPr="00264302">
        <w:rPr>
          <w:rFonts w:ascii="Book Antiqua" w:hAnsi="Book Antiqua" w:cs="Arial"/>
        </w:rPr>
        <w:t>)</w:t>
      </w:r>
      <w:r w:rsidR="00AB6327" w:rsidRPr="00264302">
        <w:rPr>
          <w:rFonts w:ascii="Book Antiqua" w:hAnsi="Book Antiqua" w:cs="Arial"/>
        </w:rPr>
        <w:t xml:space="preserve"> came into force.  I</w:t>
      </w:r>
      <w:r w:rsidR="00B67D13" w:rsidRPr="00264302">
        <w:rPr>
          <w:rFonts w:ascii="Book Antiqua" w:hAnsi="Book Antiqua" w:cs="Arial"/>
        </w:rPr>
        <w:t>t</w:t>
      </w:r>
      <w:r w:rsidR="00AB6327" w:rsidRPr="00264302">
        <w:rPr>
          <w:rFonts w:ascii="Book Antiqua" w:hAnsi="Book Antiqua" w:cs="Arial"/>
        </w:rPr>
        <w:t xml:space="preserve"> inserted a new part 5A into the</w:t>
      </w:r>
      <w:r w:rsidR="00A85819" w:rsidRPr="00264302">
        <w:rPr>
          <w:rFonts w:ascii="Book Antiqua" w:hAnsi="Book Antiqua" w:cs="Arial"/>
        </w:rPr>
        <w:t xml:space="preserve"> </w:t>
      </w:r>
      <w:r w:rsidR="00AB6327" w:rsidRPr="00264302">
        <w:rPr>
          <w:rFonts w:ascii="Book Antiqua" w:hAnsi="Book Antiqua" w:cs="Arial"/>
        </w:rPr>
        <w:t xml:space="preserve">Nationality, Immigration and Asylum Act 2002 </w:t>
      </w:r>
      <w:r w:rsidR="00B67D13" w:rsidRPr="00264302">
        <w:rPr>
          <w:rFonts w:ascii="Book Antiqua" w:hAnsi="Book Antiqua" w:cs="Arial"/>
        </w:rPr>
        <w:t>(</w:t>
      </w:r>
      <w:r w:rsidR="008F2F18" w:rsidRPr="00264302">
        <w:rPr>
          <w:rFonts w:ascii="Book Antiqua" w:hAnsi="Book Antiqua" w:cs="Arial"/>
        </w:rPr>
        <w:t>“</w:t>
      </w:r>
      <w:r w:rsidR="00B67D13" w:rsidRPr="00264302">
        <w:rPr>
          <w:rFonts w:ascii="Book Antiqua" w:hAnsi="Book Antiqua" w:cs="Arial"/>
        </w:rPr>
        <w:t>the 2002 Act</w:t>
      </w:r>
      <w:r w:rsidR="008F2F18" w:rsidRPr="00264302">
        <w:rPr>
          <w:rFonts w:ascii="Book Antiqua" w:hAnsi="Book Antiqua" w:cs="Arial"/>
        </w:rPr>
        <w:t>”</w:t>
      </w:r>
      <w:r w:rsidR="00B67D13" w:rsidRPr="00264302">
        <w:rPr>
          <w:rFonts w:ascii="Book Antiqua" w:hAnsi="Book Antiqua" w:cs="Arial"/>
        </w:rPr>
        <w:t>)</w:t>
      </w:r>
      <w:r w:rsidR="00F24B3F" w:rsidRPr="00264302">
        <w:rPr>
          <w:rFonts w:ascii="Book Antiqua" w:hAnsi="Book Antiqua" w:cs="Arial"/>
        </w:rPr>
        <w:t xml:space="preserve">. </w:t>
      </w:r>
      <w:r w:rsidR="008566EB" w:rsidRPr="00264302">
        <w:rPr>
          <w:rFonts w:ascii="Book Antiqua" w:hAnsi="Book Antiqua" w:cs="Arial"/>
        </w:rPr>
        <w:t xml:space="preserve"> Sections 117A</w:t>
      </w:r>
      <w:r w:rsidR="00B67D13" w:rsidRPr="00264302">
        <w:rPr>
          <w:rFonts w:ascii="Book Antiqua" w:hAnsi="Book Antiqua" w:cs="Arial"/>
        </w:rPr>
        <w:t xml:space="preserve"> and 11</w:t>
      </w:r>
      <w:r w:rsidR="00A85819" w:rsidRPr="00264302">
        <w:rPr>
          <w:rFonts w:ascii="Book Antiqua" w:hAnsi="Book Antiqua" w:cs="Arial"/>
        </w:rPr>
        <w:t>7</w:t>
      </w:r>
      <w:r w:rsidR="00B67D13" w:rsidRPr="00264302">
        <w:rPr>
          <w:rFonts w:ascii="Book Antiqua" w:hAnsi="Book Antiqua" w:cs="Arial"/>
        </w:rPr>
        <w:t>D of the 20</w:t>
      </w:r>
      <w:r w:rsidR="00F24B3F" w:rsidRPr="00264302">
        <w:rPr>
          <w:rFonts w:ascii="Book Antiqua" w:hAnsi="Book Antiqua" w:cs="Arial"/>
        </w:rPr>
        <w:t>02</w:t>
      </w:r>
      <w:r w:rsidR="00C148AA" w:rsidRPr="00264302">
        <w:rPr>
          <w:rFonts w:ascii="Book Antiqua" w:hAnsi="Book Antiqua" w:cs="Arial"/>
        </w:rPr>
        <w:t xml:space="preserve"> Act provide in relevant part:  </w:t>
      </w:r>
    </w:p>
    <w:p w:rsidR="008566EB" w:rsidRPr="00264302" w:rsidRDefault="008566EB" w:rsidP="00C94BD5">
      <w:pPr>
        <w:pStyle w:val="ListParagraph"/>
        <w:numPr>
          <w:ilvl w:val="0"/>
          <w:numId w:val="25"/>
        </w:numPr>
        <w:spacing w:before="160"/>
        <w:jc w:val="both"/>
        <w:rPr>
          <w:rFonts w:ascii="Book Antiqua" w:hAnsi="Book Antiqua"/>
        </w:rPr>
      </w:pPr>
      <w:bookmarkStart w:id="1" w:name="para4"/>
      <w:r w:rsidRPr="00264302">
        <w:rPr>
          <w:rFonts w:ascii="Book Antiqua" w:hAnsi="Book Antiqua"/>
        </w:rPr>
        <w:t xml:space="preserve">Part 5A provides in relevant part as follows: </w:t>
      </w:r>
      <w:bookmarkEnd w:id="1"/>
    </w:p>
    <w:p w:rsidR="008566EB" w:rsidRPr="00264302" w:rsidRDefault="008566EB" w:rsidP="00D34F7F">
      <w:pPr>
        <w:spacing w:before="120"/>
        <w:ind w:left="1134"/>
        <w:rPr>
          <w:rFonts w:ascii="Book Antiqua" w:hAnsi="Book Antiqua"/>
        </w:rPr>
      </w:pPr>
      <w:r w:rsidRPr="00264302">
        <w:rPr>
          <w:rFonts w:ascii="Book Antiqua" w:hAnsi="Book Antiqua"/>
          <w:b/>
          <w:bCs/>
        </w:rPr>
        <w:t>"PART 5A</w:t>
      </w:r>
    </w:p>
    <w:p w:rsidR="008566EB" w:rsidRPr="00264302" w:rsidRDefault="000064E8" w:rsidP="00D34F7F">
      <w:pPr>
        <w:spacing w:before="120"/>
        <w:ind w:left="1134"/>
        <w:rPr>
          <w:rFonts w:ascii="Book Antiqua" w:hAnsi="Book Antiqua"/>
        </w:rPr>
      </w:pPr>
      <w:r w:rsidRPr="00264302">
        <w:rPr>
          <w:rFonts w:ascii="Book Antiqua" w:hAnsi="Book Antiqua"/>
        </w:rPr>
        <w:t>ARTICLE</w:t>
      </w:r>
      <w:r w:rsidR="008566EB" w:rsidRPr="00264302">
        <w:rPr>
          <w:rFonts w:ascii="Book Antiqua" w:hAnsi="Book Antiqua"/>
        </w:rPr>
        <w:t xml:space="preserve"> 8 OF THE ECHR: PUBLIC INTEREST CONSIDERATIONS</w:t>
      </w:r>
    </w:p>
    <w:p w:rsidR="008566EB" w:rsidRPr="00264302" w:rsidRDefault="008566EB" w:rsidP="00D34F7F">
      <w:pPr>
        <w:spacing w:before="120"/>
        <w:ind w:left="1134"/>
        <w:rPr>
          <w:rFonts w:ascii="Book Antiqua" w:hAnsi="Book Antiqua"/>
        </w:rPr>
      </w:pPr>
      <w:r w:rsidRPr="00264302">
        <w:rPr>
          <w:rFonts w:ascii="Book Antiqua" w:hAnsi="Book Antiqua"/>
          <w:b/>
          <w:bCs/>
        </w:rPr>
        <w:t>117A Application of this Part</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(1)</w:t>
      </w:r>
      <w:r w:rsidR="00264302">
        <w:rPr>
          <w:rFonts w:ascii="Book Antiqua" w:hAnsi="Book Antiqua"/>
        </w:rPr>
        <w:tab/>
      </w:r>
      <w:r w:rsidRPr="00264302">
        <w:rPr>
          <w:rFonts w:ascii="Book Antiqua" w:hAnsi="Book Antiqua"/>
        </w:rPr>
        <w:t xml:space="preserve">This Part applies where a court or </w:t>
      </w:r>
      <w:r w:rsidR="000064E8" w:rsidRPr="00264302">
        <w:rPr>
          <w:rFonts w:ascii="Book Antiqua" w:hAnsi="Book Antiqua"/>
        </w:rPr>
        <w:t>Tribunal</w:t>
      </w:r>
      <w:r w:rsidRPr="00264302">
        <w:rPr>
          <w:rFonts w:ascii="Book Antiqua" w:hAnsi="Book Antiqua"/>
        </w:rPr>
        <w:t xml:space="preserve"> is required to determine whether a decision made under the Immigration Acts—</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(a)</w:t>
      </w:r>
      <w:r w:rsidR="00264302">
        <w:rPr>
          <w:rFonts w:ascii="Book Antiqua" w:hAnsi="Book Antiqua"/>
        </w:rPr>
        <w:tab/>
      </w:r>
      <w:r w:rsidRPr="00264302">
        <w:rPr>
          <w:rFonts w:ascii="Book Antiqua" w:hAnsi="Book Antiqua"/>
        </w:rPr>
        <w:t xml:space="preserve">breaches a person's right to respect for private and family life under </w:t>
      </w:r>
      <w:r w:rsidR="000064E8" w:rsidRPr="00264302">
        <w:rPr>
          <w:rFonts w:ascii="Book Antiqua" w:hAnsi="Book Antiqua"/>
        </w:rPr>
        <w:t>Article</w:t>
      </w:r>
      <w:r w:rsidRPr="00264302">
        <w:rPr>
          <w:rFonts w:ascii="Book Antiqua" w:hAnsi="Book Antiqua"/>
        </w:rPr>
        <w:t xml:space="preserve"> 8, and</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(b)</w:t>
      </w:r>
      <w:r w:rsidR="00264302">
        <w:rPr>
          <w:rFonts w:ascii="Book Antiqua" w:hAnsi="Book Antiqua"/>
        </w:rPr>
        <w:tab/>
      </w:r>
      <w:r w:rsidRPr="00264302">
        <w:rPr>
          <w:rFonts w:ascii="Book Antiqua" w:hAnsi="Book Antiqua"/>
        </w:rPr>
        <w:t xml:space="preserve">as a </w:t>
      </w:r>
      <w:proofErr w:type="gramStart"/>
      <w:r w:rsidRPr="00264302">
        <w:rPr>
          <w:rFonts w:ascii="Book Antiqua" w:hAnsi="Book Antiqua"/>
        </w:rPr>
        <w:t>result</w:t>
      </w:r>
      <w:proofErr w:type="gramEnd"/>
      <w:r w:rsidRPr="00264302">
        <w:rPr>
          <w:rFonts w:ascii="Book Antiqua" w:hAnsi="Book Antiqua"/>
        </w:rPr>
        <w:t xml:space="preserve"> would be unlawful under section 6 of the Human Rights Act 1998.</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(2)</w:t>
      </w:r>
      <w:r w:rsidR="00264302">
        <w:rPr>
          <w:rFonts w:ascii="Book Antiqua" w:hAnsi="Book Antiqua"/>
        </w:rPr>
        <w:tab/>
      </w:r>
      <w:r w:rsidRPr="00264302">
        <w:rPr>
          <w:rFonts w:ascii="Book Antiqua" w:hAnsi="Book Antiqua"/>
        </w:rPr>
        <w:t xml:space="preserve">In considering the public interest question, the court or </w:t>
      </w:r>
      <w:r w:rsidR="000064E8" w:rsidRPr="00264302">
        <w:rPr>
          <w:rFonts w:ascii="Book Antiqua" w:hAnsi="Book Antiqua"/>
        </w:rPr>
        <w:t>Tribunal</w:t>
      </w:r>
      <w:r w:rsidRPr="00264302">
        <w:rPr>
          <w:rFonts w:ascii="Book Antiqua" w:hAnsi="Book Antiqua"/>
        </w:rPr>
        <w:t xml:space="preserve"> must (in particular) have regard—</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(a)</w:t>
      </w:r>
      <w:r w:rsidR="00264302">
        <w:rPr>
          <w:rFonts w:ascii="Book Antiqua" w:hAnsi="Book Antiqua"/>
        </w:rPr>
        <w:tab/>
      </w:r>
      <w:r w:rsidRPr="00264302">
        <w:rPr>
          <w:rFonts w:ascii="Book Antiqua" w:hAnsi="Book Antiqua"/>
        </w:rPr>
        <w:t>in all cases, to the considerations listed in section 117B, and</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lastRenderedPageBreak/>
        <w:t>(b)</w:t>
      </w:r>
      <w:r w:rsidR="00264302">
        <w:rPr>
          <w:rFonts w:ascii="Book Antiqua" w:hAnsi="Book Antiqua"/>
        </w:rPr>
        <w:tab/>
      </w:r>
      <w:r w:rsidRPr="00264302">
        <w:rPr>
          <w:rFonts w:ascii="Book Antiqua" w:hAnsi="Book Antiqua"/>
        </w:rPr>
        <w:t>in cases concerning the deportation of foreign criminals, to the considerations listed in section 117C.</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(3)</w:t>
      </w:r>
      <w:r w:rsidR="00264302">
        <w:rPr>
          <w:rFonts w:ascii="Book Antiqua" w:hAnsi="Book Antiqua"/>
        </w:rPr>
        <w:tab/>
      </w:r>
      <w:r w:rsidRPr="00264302">
        <w:rPr>
          <w:rFonts w:ascii="Book Antiqua" w:hAnsi="Book Antiqua"/>
        </w:rPr>
        <w:t xml:space="preserve">In subsection (2), "the public interest question" means the question of whether an interference with a person's right to respect for private and family life is justified under </w:t>
      </w:r>
      <w:r w:rsidR="000064E8" w:rsidRPr="00264302">
        <w:rPr>
          <w:rFonts w:ascii="Book Antiqua" w:hAnsi="Book Antiqua"/>
        </w:rPr>
        <w:t>Article</w:t>
      </w:r>
      <w:r w:rsidRPr="00264302">
        <w:rPr>
          <w:rFonts w:ascii="Book Antiqua" w:hAnsi="Book Antiqua"/>
        </w:rPr>
        <w:t xml:space="preserve"> 8(2).</w:t>
      </w:r>
    </w:p>
    <w:p w:rsidR="008566EB" w:rsidRPr="00264302" w:rsidRDefault="008566EB" w:rsidP="00D34F7F">
      <w:pPr>
        <w:spacing w:before="120"/>
        <w:ind w:left="1134"/>
        <w:rPr>
          <w:rFonts w:ascii="Book Antiqua" w:hAnsi="Book Antiqua"/>
        </w:rPr>
      </w:pPr>
      <w:r w:rsidRPr="00264302">
        <w:rPr>
          <w:rFonts w:ascii="Book Antiqua" w:hAnsi="Book Antiqua"/>
          <w:b/>
          <w:bCs/>
        </w:rPr>
        <w:t xml:space="preserve">117B </w:t>
      </w:r>
      <w:r w:rsidR="000064E8" w:rsidRPr="00264302">
        <w:rPr>
          <w:rFonts w:ascii="Book Antiqua" w:hAnsi="Book Antiqua"/>
          <w:b/>
          <w:bCs/>
        </w:rPr>
        <w:t>Article</w:t>
      </w:r>
      <w:r w:rsidRPr="00264302">
        <w:rPr>
          <w:rFonts w:ascii="Book Antiqua" w:hAnsi="Book Antiqua"/>
          <w:b/>
          <w:bCs/>
        </w:rPr>
        <w:t xml:space="preserve"> 8: public interest considerations applicable in all cases</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(1)</w:t>
      </w:r>
      <w:r w:rsidR="00264302">
        <w:rPr>
          <w:rFonts w:ascii="Book Antiqua" w:hAnsi="Book Antiqua"/>
        </w:rPr>
        <w:tab/>
      </w:r>
      <w:r w:rsidRPr="00264302">
        <w:rPr>
          <w:rFonts w:ascii="Book Antiqua" w:hAnsi="Book Antiqua"/>
        </w:rPr>
        <w:t>The maintenance of effective immigration controls is in the public interest.</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(2)</w:t>
      </w:r>
      <w:r w:rsidR="00264302">
        <w:rPr>
          <w:rFonts w:ascii="Book Antiqua" w:hAnsi="Book Antiqua"/>
        </w:rPr>
        <w:tab/>
      </w:r>
      <w:r w:rsidRPr="00264302">
        <w:rPr>
          <w:rFonts w:ascii="Book Antiqua" w:hAnsi="Book Antiqua"/>
        </w:rPr>
        <w:t>It is in the public interest, and in particular in the interests of the economic well-being of the United Kingdom, that persons who seek to enter or remain in the United Kingdom are able to speak English, because persons who can speak English—</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(a)</w:t>
      </w:r>
      <w:r w:rsidR="00264302">
        <w:rPr>
          <w:rFonts w:ascii="Book Antiqua" w:hAnsi="Book Antiqua"/>
        </w:rPr>
        <w:tab/>
      </w:r>
      <w:r w:rsidRPr="00264302">
        <w:rPr>
          <w:rFonts w:ascii="Book Antiqua" w:hAnsi="Book Antiqua"/>
        </w:rPr>
        <w:t>are less of a burden on taxpayers, and</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(b)</w:t>
      </w:r>
      <w:r w:rsidR="00264302">
        <w:rPr>
          <w:rFonts w:ascii="Book Antiqua" w:hAnsi="Book Antiqua"/>
        </w:rPr>
        <w:tab/>
      </w:r>
      <w:r w:rsidRPr="00264302">
        <w:rPr>
          <w:rFonts w:ascii="Book Antiqua" w:hAnsi="Book Antiqua"/>
        </w:rPr>
        <w:t>are better able to integrate into society.</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(3)</w:t>
      </w:r>
      <w:r w:rsidR="00264302">
        <w:rPr>
          <w:rFonts w:ascii="Book Antiqua" w:hAnsi="Book Antiqua"/>
        </w:rPr>
        <w:tab/>
      </w:r>
      <w:r w:rsidRPr="00264302">
        <w:rPr>
          <w:rFonts w:ascii="Book Antiqua" w:hAnsi="Book Antiqua"/>
        </w:rPr>
        <w:t>It is in the public interest, and in particular in the interests of the economic well-being of the United Kingdom, that persons who seek to enter or remain in the United Kingdom are financially independent, because such persons—</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(a)</w:t>
      </w:r>
      <w:r w:rsidR="00134BD9">
        <w:rPr>
          <w:rFonts w:ascii="Book Antiqua" w:hAnsi="Book Antiqua"/>
        </w:rPr>
        <w:tab/>
      </w:r>
      <w:r w:rsidRPr="00264302">
        <w:rPr>
          <w:rFonts w:ascii="Book Antiqua" w:hAnsi="Book Antiqua"/>
        </w:rPr>
        <w:t>are not a burden on taxpayers, and</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(b)</w:t>
      </w:r>
      <w:r w:rsidR="00134BD9">
        <w:rPr>
          <w:rFonts w:ascii="Book Antiqua" w:hAnsi="Book Antiqua"/>
        </w:rPr>
        <w:tab/>
      </w:r>
      <w:r w:rsidRPr="00264302">
        <w:rPr>
          <w:rFonts w:ascii="Book Antiqua" w:hAnsi="Book Antiqua"/>
        </w:rPr>
        <w:t>are better able to integrate into society.</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(4)</w:t>
      </w:r>
      <w:r w:rsidR="00264302">
        <w:rPr>
          <w:rFonts w:ascii="Book Antiqua" w:hAnsi="Book Antiqua"/>
        </w:rPr>
        <w:tab/>
      </w:r>
      <w:r w:rsidRPr="00264302">
        <w:rPr>
          <w:rFonts w:ascii="Book Antiqua" w:hAnsi="Book Antiqua"/>
        </w:rPr>
        <w:t>Little weight should be given to—</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(a)</w:t>
      </w:r>
      <w:r w:rsidR="00134BD9">
        <w:rPr>
          <w:rFonts w:ascii="Book Antiqua" w:hAnsi="Book Antiqua"/>
        </w:rPr>
        <w:tab/>
      </w:r>
      <w:r w:rsidRPr="00264302">
        <w:rPr>
          <w:rFonts w:ascii="Book Antiqua" w:hAnsi="Book Antiqua"/>
        </w:rPr>
        <w:t>a private life, or</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(b)</w:t>
      </w:r>
      <w:r w:rsidR="00134BD9">
        <w:rPr>
          <w:rFonts w:ascii="Book Antiqua" w:hAnsi="Book Antiqua"/>
        </w:rPr>
        <w:tab/>
      </w:r>
      <w:r w:rsidRPr="00264302">
        <w:rPr>
          <w:rFonts w:ascii="Book Antiqua" w:hAnsi="Book Antiqua"/>
        </w:rPr>
        <w:t>a relationship formed with a qualifying partner,</w:t>
      </w:r>
    </w:p>
    <w:p w:rsidR="008566EB" w:rsidRPr="00264302" w:rsidRDefault="008566EB" w:rsidP="00D34F7F">
      <w:pPr>
        <w:spacing w:before="120"/>
        <w:ind w:left="1701"/>
        <w:rPr>
          <w:rFonts w:ascii="Book Antiqua" w:hAnsi="Book Antiqua"/>
        </w:rPr>
      </w:pPr>
      <w:r w:rsidRPr="00264302">
        <w:rPr>
          <w:rFonts w:ascii="Book Antiqua" w:hAnsi="Book Antiqua"/>
        </w:rPr>
        <w:t>that is established by a person at a time when the person is in the United Kingdom unlawfully.</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(5)</w:t>
      </w:r>
      <w:r w:rsidR="00264302">
        <w:rPr>
          <w:rFonts w:ascii="Book Antiqua" w:hAnsi="Book Antiqua"/>
        </w:rPr>
        <w:tab/>
      </w:r>
      <w:r w:rsidRPr="00264302">
        <w:rPr>
          <w:rFonts w:ascii="Book Antiqua" w:hAnsi="Book Antiqua"/>
        </w:rPr>
        <w:t>Little weight should be given to a private life established by a person at a time when the person's immigration status is precarious.</w:t>
      </w:r>
    </w:p>
    <w:p w:rsidR="008566EB" w:rsidRPr="00264302" w:rsidRDefault="008566EB" w:rsidP="00D34F7F">
      <w:pPr>
        <w:tabs>
          <w:tab w:val="left" w:pos="1701"/>
        </w:tabs>
        <w:spacing w:before="120"/>
        <w:ind w:left="1134"/>
        <w:rPr>
          <w:rFonts w:ascii="Book Antiqua" w:hAnsi="Book Antiqua"/>
        </w:rPr>
      </w:pPr>
      <w:r w:rsidRPr="00264302">
        <w:rPr>
          <w:rFonts w:ascii="Book Antiqua" w:hAnsi="Book Antiqua"/>
        </w:rPr>
        <w:t>(6)</w:t>
      </w:r>
      <w:r w:rsidR="00264302">
        <w:rPr>
          <w:rFonts w:ascii="Book Antiqua" w:hAnsi="Book Antiqua"/>
        </w:rPr>
        <w:tab/>
      </w:r>
      <w:r w:rsidRPr="00264302">
        <w:rPr>
          <w:rFonts w:ascii="Book Antiqua" w:hAnsi="Book Antiqua"/>
        </w:rPr>
        <w:t>In the case of a person who is not liable to deportation, the public interest does not require the person's removal where—</w:t>
      </w:r>
    </w:p>
    <w:p w:rsidR="008566EB" w:rsidRPr="00264302" w:rsidRDefault="008566EB" w:rsidP="00D34F7F">
      <w:pPr>
        <w:tabs>
          <w:tab w:val="left" w:pos="2268"/>
        </w:tabs>
        <w:spacing w:before="120"/>
        <w:ind w:left="1701"/>
        <w:rPr>
          <w:rFonts w:ascii="Book Antiqua" w:hAnsi="Book Antiqua"/>
        </w:rPr>
      </w:pPr>
      <w:r w:rsidRPr="00264302">
        <w:rPr>
          <w:rFonts w:ascii="Book Antiqua" w:hAnsi="Book Antiqua"/>
        </w:rPr>
        <w:t>(a)</w:t>
      </w:r>
      <w:r w:rsidR="00134BD9">
        <w:rPr>
          <w:rFonts w:ascii="Book Antiqua" w:hAnsi="Book Antiqua"/>
        </w:rPr>
        <w:tab/>
      </w:r>
      <w:r w:rsidRPr="00264302">
        <w:rPr>
          <w:rFonts w:ascii="Book Antiqua" w:hAnsi="Book Antiqua"/>
        </w:rPr>
        <w:t>the person has a genuine and subsisting parental relationship with a qualifying child, and</w:t>
      </w:r>
    </w:p>
    <w:p w:rsidR="00C148AA" w:rsidRPr="00264302" w:rsidRDefault="008566EB" w:rsidP="00D34F7F">
      <w:pPr>
        <w:tabs>
          <w:tab w:val="left" w:pos="2268"/>
        </w:tabs>
        <w:spacing w:before="120"/>
        <w:ind w:left="1701"/>
        <w:rPr>
          <w:rFonts w:ascii="Book Antiqua" w:hAnsi="Book Antiqua"/>
        </w:rPr>
      </w:pPr>
      <w:r w:rsidRPr="00264302">
        <w:rPr>
          <w:rFonts w:ascii="Book Antiqua" w:hAnsi="Book Antiqua"/>
        </w:rPr>
        <w:t>(b)</w:t>
      </w:r>
      <w:r w:rsidR="00134BD9">
        <w:rPr>
          <w:rFonts w:ascii="Book Antiqua" w:hAnsi="Book Antiqua"/>
        </w:rPr>
        <w:tab/>
      </w:r>
      <w:r w:rsidRPr="00264302">
        <w:rPr>
          <w:rFonts w:ascii="Book Antiqua" w:hAnsi="Book Antiqua"/>
        </w:rPr>
        <w:t>it would not be reasonable to expect the child to leave the United Kingdom.</w:t>
      </w:r>
    </w:p>
    <w:p w:rsidR="00A85819" w:rsidRPr="00264302" w:rsidRDefault="00C148AA" w:rsidP="00D34F7F">
      <w:pPr>
        <w:tabs>
          <w:tab w:val="left" w:pos="567"/>
          <w:tab w:val="left" w:pos="1418"/>
          <w:tab w:val="left" w:pos="1985"/>
          <w:tab w:val="left" w:pos="2552"/>
        </w:tabs>
        <w:spacing w:before="120"/>
        <w:ind w:left="1134"/>
        <w:rPr>
          <w:rFonts w:ascii="Book Antiqua" w:hAnsi="Book Antiqua" w:cs="Arial"/>
        </w:rPr>
      </w:pPr>
      <w:r w:rsidRPr="00264302">
        <w:rPr>
          <w:rFonts w:ascii="Book Antiqua" w:hAnsi="Book Antiqua" w:cs="Arial"/>
          <w:b/>
        </w:rPr>
        <w:t>117C</w:t>
      </w:r>
      <w:r w:rsidR="00A85819" w:rsidRPr="00264302">
        <w:rPr>
          <w:rFonts w:ascii="Book Antiqua" w:hAnsi="Book Antiqua" w:cs="Arial"/>
          <w:b/>
        </w:rPr>
        <w:tab/>
      </w:r>
      <w:r w:rsidR="000064E8" w:rsidRPr="00264302">
        <w:rPr>
          <w:rFonts w:ascii="Book Antiqua" w:hAnsi="Book Antiqua" w:cs="Arial"/>
          <w:b/>
        </w:rPr>
        <w:t>Article</w:t>
      </w:r>
      <w:r w:rsidRPr="00264302">
        <w:rPr>
          <w:rFonts w:ascii="Book Antiqua" w:hAnsi="Book Antiqua" w:cs="Arial"/>
          <w:b/>
        </w:rPr>
        <w:t xml:space="preserve"> 8: additional considerations in cases involving foreign criminals </w:t>
      </w:r>
      <w:r w:rsidRPr="00264302">
        <w:rPr>
          <w:rFonts w:ascii="Book Antiqua" w:hAnsi="Book Antiqua" w:cs="Arial"/>
        </w:rPr>
        <w:t xml:space="preserve"> </w:t>
      </w:r>
    </w:p>
    <w:p w:rsidR="00F16014" w:rsidRPr="00264302" w:rsidRDefault="00C148AA" w:rsidP="00D34F7F">
      <w:pPr>
        <w:tabs>
          <w:tab w:val="left" w:pos="1701"/>
        </w:tabs>
        <w:spacing w:before="120"/>
        <w:ind w:left="1134"/>
        <w:rPr>
          <w:rFonts w:ascii="Book Antiqua" w:hAnsi="Book Antiqua" w:cs="Arial"/>
        </w:rPr>
      </w:pPr>
      <w:r w:rsidRPr="00264302">
        <w:rPr>
          <w:rFonts w:ascii="Book Antiqua" w:hAnsi="Book Antiqua" w:cs="Arial"/>
        </w:rPr>
        <w:t>(1)</w:t>
      </w:r>
      <w:r w:rsidRPr="00264302">
        <w:rPr>
          <w:rFonts w:ascii="Book Antiqua" w:hAnsi="Book Antiqua" w:cs="Arial"/>
        </w:rPr>
        <w:tab/>
      </w:r>
      <w:r w:rsidR="00B62BD3" w:rsidRPr="00264302">
        <w:rPr>
          <w:rFonts w:ascii="Book Antiqua" w:hAnsi="Book Antiqua" w:cs="Arial"/>
        </w:rPr>
        <w:t xml:space="preserve">The deportation of foreign criminals is in the public interest.  </w:t>
      </w:r>
    </w:p>
    <w:p w:rsidR="00B62BD3" w:rsidRPr="00264302" w:rsidRDefault="00B62BD3" w:rsidP="00D34F7F">
      <w:pPr>
        <w:tabs>
          <w:tab w:val="left" w:pos="1701"/>
        </w:tabs>
        <w:spacing w:before="120"/>
        <w:ind w:left="1134"/>
        <w:rPr>
          <w:rFonts w:ascii="Book Antiqua" w:hAnsi="Book Antiqua" w:cs="Arial"/>
        </w:rPr>
      </w:pPr>
      <w:r w:rsidRPr="00264302">
        <w:rPr>
          <w:rFonts w:ascii="Book Antiqua" w:hAnsi="Book Antiqua" w:cs="Arial"/>
        </w:rPr>
        <w:t>(2)</w:t>
      </w:r>
      <w:r w:rsidRPr="00264302">
        <w:rPr>
          <w:rFonts w:ascii="Book Antiqua" w:hAnsi="Book Antiqua" w:cs="Arial"/>
        </w:rPr>
        <w:tab/>
        <w:t xml:space="preserve">The more serious the offence committed by a foreign criminal, the greater is the public interest in deportation of the criminal.  </w:t>
      </w:r>
    </w:p>
    <w:p w:rsidR="00B62BD3" w:rsidRPr="00264302" w:rsidRDefault="00B62BD3" w:rsidP="00D34F7F">
      <w:pPr>
        <w:tabs>
          <w:tab w:val="left" w:pos="1701"/>
        </w:tabs>
        <w:spacing w:before="120"/>
        <w:ind w:left="1134"/>
        <w:rPr>
          <w:rFonts w:ascii="Book Antiqua" w:hAnsi="Book Antiqua" w:cs="Arial"/>
        </w:rPr>
      </w:pPr>
      <w:r w:rsidRPr="00264302">
        <w:rPr>
          <w:rFonts w:ascii="Book Antiqua" w:hAnsi="Book Antiqua" w:cs="Arial"/>
        </w:rPr>
        <w:t>(3)</w:t>
      </w:r>
      <w:r w:rsidRPr="00264302">
        <w:rPr>
          <w:rFonts w:ascii="Book Antiqua" w:hAnsi="Book Antiqua" w:cs="Arial"/>
        </w:rPr>
        <w:tab/>
        <w:t>In the case of a foreign criminal (</w:t>
      </w:r>
      <w:r w:rsidR="008F2F18" w:rsidRPr="00264302">
        <w:rPr>
          <w:rFonts w:ascii="Book Antiqua" w:hAnsi="Book Antiqua" w:cs="Arial"/>
        </w:rPr>
        <w:t>“</w:t>
      </w:r>
      <w:r w:rsidRPr="00264302">
        <w:rPr>
          <w:rFonts w:ascii="Book Antiqua" w:hAnsi="Book Antiqua" w:cs="Arial"/>
        </w:rPr>
        <w:t>C</w:t>
      </w:r>
      <w:r w:rsidR="008F2F18" w:rsidRPr="00264302">
        <w:rPr>
          <w:rFonts w:ascii="Book Antiqua" w:hAnsi="Book Antiqua" w:cs="Arial"/>
        </w:rPr>
        <w:t>”</w:t>
      </w:r>
      <w:r w:rsidRPr="00264302">
        <w:rPr>
          <w:rFonts w:ascii="Book Antiqua" w:hAnsi="Book Antiqua" w:cs="Arial"/>
        </w:rPr>
        <w:t xml:space="preserve">) who has not been sentenced to a period of imprisonment of four years or more, the public interest requires C’s deportation unless </w:t>
      </w:r>
      <w:r w:rsidR="0065162B" w:rsidRPr="00264302">
        <w:rPr>
          <w:rFonts w:ascii="Book Antiqua" w:hAnsi="Book Antiqua" w:cs="Arial"/>
        </w:rPr>
        <w:t>Exception</w:t>
      </w:r>
      <w:r w:rsidRPr="00264302">
        <w:rPr>
          <w:rFonts w:ascii="Book Antiqua" w:hAnsi="Book Antiqua" w:cs="Arial"/>
        </w:rPr>
        <w:t xml:space="preserve"> E1 o</w:t>
      </w:r>
      <w:r w:rsidR="00122754" w:rsidRPr="00264302">
        <w:rPr>
          <w:rFonts w:ascii="Book Antiqua" w:hAnsi="Book Antiqua" w:cs="Arial"/>
        </w:rPr>
        <w:t xml:space="preserve">r </w:t>
      </w:r>
      <w:r w:rsidR="0065162B" w:rsidRPr="00264302">
        <w:rPr>
          <w:rFonts w:ascii="Book Antiqua" w:hAnsi="Book Antiqua" w:cs="Arial"/>
        </w:rPr>
        <w:t>Exception</w:t>
      </w:r>
      <w:r w:rsidRPr="00264302">
        <w:rPr>
          <w:rFonts w:ascii="Book Antiqua" w:hAnsi="Book Antiqua" w:cs="Arial"/>
        </w:rPr>
        <w:t xml:space="preserve"> E2 applies.  </w:t>
      </w:r>
    </w:p>
    <w:p w:rsidR="00B62BD3" w:rsidRPr="00264302" w:rsidRDefault="00B62BD3" w:rsidP="00D34F7F">
      <w:pPr>
        <w:tabs>
          <w:tab w:val="left" w:pos="1701"/>
        </w:tabs>
        <w:spacing w:before="120"/>
        <w:ind w:left="1134"/>
        <w:rPr>
          <w:rFonts w:ascii="Book Antiqua" w:hAnsi="Book Antiqua" w:cs="Arial"/>
        </w:rPr>
      </w:pPr>
      <w:r w:rsidRPr="00264302">
        <w:rPr>
          <w:rFonts w:ascii="Book Antiqua" w:hAnsi="Book Antiqua" w:cs="Arial"/>
        </w:rPr>
        <w:lastRenderedPageBreak/>
        <w:t>(4)</w:t>
      </w:r>
      <w:r w:rsidRPr="00264302">
        <w:rPr>
          <w:rFonts w:ascii="Book Antiqua" w:hAnsi="Book Antiqua" w:cs="Arial"/>
        </w:rPr>
        <w:tab/>
      </w:r>
      <w:r w:rsidR="0065162B" w:rsidRPr="00264302">
        <w:rPr>
          <w:rFonts w:ascii="Book Antiqua" w:hAnsi="Book Antiqua" w:cs="Arial"/>
        </w:rPr>
        <w:t>Exception</w:t>
      </w:r>
      <w:r w:rsidR="00D04A17" w:rsidRPr="00264302">
        <w:rPr>
          <w:rFonts w:ascii="Book Antiqua" w:hAnsi="Book Antiqua" w:cs="Arial"/>
        </w:rPr>
        <w:t xml:space="preserve"> 1 applies where -  </w:t>
      </w:r>
    </w:p>
    <w:p w:rsidR="00E84346" w:rsidRPr="00264302" w:rsidRDefault="00D04A17" w:rsidP="00D34F7F">
      <w:pPr>
        <w:tabs>
          <w:tab w:val="left" w:pos="2268"/>
        </w:tabs>
        <w:spacing w:before="120"/>
        <w:ind w:left="1701"/>
        <w:rPr>
          <w:rFonts w:ascii="Book Antiqua" w:hAnsi="Book Antiqua" w:cs="Arial"/>
        </w:rPr>
      </w:pPr>
      <w:r w:rsidRPr="00264302">
        <w:rPr>
          <w:rFonts w:ascii="Book Antiqua" w:hAnsi="Book Antiqua" w:cs="Arial"/>
        </w:rPr>
        <w:t>(a)</w:t>
      </w:r>
      <w:r w:rsidRPr="00264302">
        <w:rPr>
          <w:rFonts w:ascii="Book Antiqua" w:hAnsi="Book Antiqua" w:cs="Arial"/>
        </w:rPr>
        <w:tab/>
        <w:t xml:space="preserve">C has been lawfully resident in the United Kingdom for most of C’s life,  </w:t>
      </w:r>
    </w:p>
    <w:p w:rsidR="00E84346" w:rsidRPr="00264302" w:rsidRDefault="00D04A17" w:rsidP="00D34F7F">
      <w:pPr>
        <w:tabs>
          <w:tab w:val="left" w:pos="2268"/>
        </w:tabs>
        <w:spacing w:before="120"/>
        <w:ind w:left="1701"/>
        <w:rPr>
          <w:rFonts w:ascii="Book Antiqua" w:hAnsi="Book Antiqua" w:cs="Arial"/>
        </w:rPr>
      </w:pPr>
      <w:r w:rsidRPr="00264302">
        <w:rPr>
          <w:rFonts w:ascii="Book Antiqua" w:hAnsi="Book Antiqua" w:cs="Arial"/>
        </w:rPr>
        <w:t>(b)</w:t>
      </w:r>
      <w:r w:rsidRPr="00264302">
        <w:rPr>
          <w:rFonts w:ascii="Book Antiqua" w:hAnsi="Book Antiqua" w:cs="Arial"/>
        </w:rPr>
        <w:tab/>
        <w:t xml:space="preserve">C is socially and culturally integrated in the United Kingdom, and  </w:t>
      </w:r>
    </w:p>
    <w:p w:rsidR="00D04A17" w:rsidRPr="00264302" w:rsidRDefault="00D04A17" w:rsidP="00D34F7F">
      <w:pPr>
        <w:tabs>
          <w:tab w:val="left" w:pos="2268"/>
        </w:tabs>
        <w:spacing w:before="120"/>
        <w:ind w:left="1701"/>
        <w:rPr>
          <w:rFonts w:ascii="Book Antiqua" w:hAnsi="Book Antiqua" w:cs="Arial"/>
        </w:rPr>
      </w:pPr>
      <w:r w:rsidRPr="00264302">
        <w:rPr>
          <w:rFonts w:ascii="Book Antiqua" w:hAnsi="Book Antiqua" w:cs="Arial"/>
        </w:rPr>
        <w:t>(c)</w:t>
      </w:r>
      <w:r w:rsidRPr="00264302">
        <w:rPr>
          <w:rFonts w:ascii="Book Antiqua" w:hAnsi="Book Antiqua" w:cs="Arial"/>
        </w:rPr>
        <w:tab/>
      </w:r>
      <w:r w:rsidR="009A51DE" w:rsidRPr="00264302">
        <w:rPr>
          <w:rFonts w:ascii="Book Antiqua" w:hAnsi="Book Antiqua" w:cs="Arial"/>
        </w:rPr>
        <w:t xml:space="preserve">there would be very significant obstacles to C’s integration into the country to which C is proposed to be deported.  </w:t>
      </w:r>
    </w:p>
    <w:p w:rsidR="00D04A17" w:rsidRPr="00264302" w:rsidRDefault="0036264E" w:rsidP="00D34F7F">
      <w:pPr>
        <w:tabs>
          <w:tab w:val="left" w:pos="1701"/>
        </w:tabs>
        <w:spacing w:before="120"/>
        <w:ind w:left="1134"/>
        <w:rPr>
          <w:rFonts w:ascii="Book Antiqua" w:hAnsi="Book Antiqua" w:cs="Arial"/>
        </w:rPr>
      </w:pPr>
      <w:r w:rsidRPr="00264302">
        <w:rPr>
          <w:rFonts w:ascii="Book Antiqua" w:hAnsi="Book Antiqua" w:cs="Arial"/>
        </w:rPr>
        <w:t>(5)</w:t>
      </w:r>
      <w:r w:rsidRPr="00264302">
        <w:rPr>
          <w:rFonts w:ascii="Book Antiqua" w:hAnsi="Book Antiqua" w:cs="Arial"/>
        </w:rPr>
        <w:tab/>
      </w:r>
      <w:r w:rsidR="0065162B" w:rsidRPr="00264302">
        <w:rPr>
          <w:rFonts w:ascii="Book Antiqua" w:hAnsi="Book Antiqua" w:cs="Arial"/>
        </w:rPr>
        <w:t>Exception</w:t>
      </w:r>
      <w:r w:rsidRPr="00264302">
        <w:rPr>
          <w:rFonts w:ascii="Book Antiqua" w:hAnsi="Book Antiqua" w:cs="Arial"/>
        </w:rPr>
        <w:t xml:space="preserve"> </w:t>
      </w:r>
      <w:r w:rsidR="002C67EC" w:rsidRPr="00264302">
        <w:rPr>
          <w:rFonts w:ascii="Book Antiqua" w:hAnsi="Book Antiqua" w:cs="Arial"/>
        </w:rPr>
        <w:t xml:space="preserve">2 applies where C has a genuine and subsisting relationship with a qualifying partner, </w:t>
      </w:r>
      <w:r w:rsidR="00052523" w:rsidRPr="00264302">
        <w:rPr>
          <w:rFonts w:ascii="Book Antiqua" w:hAnsi="Book Antiqua" w:cs="Arial"/>
        </w:rPr>
        <w:t xml:space="preserve">or a genuine and subsisting parental relationship with a qualifying child, and the effect of C’s deportation on the partner or child would be unduly harsh.  </w:t>
      </w:r>
    </w:p>
    <w:p w:rsidR="00052523" w:rsidRPr="00264302" w:rsidRDefault="00052523" w:rsidP="00D34F7F">
      <w:pPr>
        <w:tabs>
          <w:tab w:val="left" w:pos="1701"/>
        </w:tabs>
        <w:spacing w:before="120"/>
        <w:ind w:left="1134"/>
        <w:rPr>
          <w:rFonts w:ascii="Book Antiqua" w:hAnsi="Book Antiqua" w:cs="Arial"/>
        </w:rPr>
      </w:pPr>
      <w:r w:rsidRPr="00264302">
        <w:rPr>
          <w:rFonts w:ascii="Book Antiqua" w:hAnsi="Book Antiqua" w:cs="Arial"/>
        </w:rPr>
        <w:t>(6)</w:t>
      </w:r>
      <w:r w:rsidRPr="00264302">
        <w:rPr>
          <w:rFonts w:ascii="Book Antiqua" w:hAnsi="Book Antiqua" w:cs="Arial"/>
        </w:rPr>
        <w:tab/>
        <w:t xml:space="preserve">In the case of a foreign criminal who has been sentenced to a period of imprisonment of at least four years, the public interest requires deportation unless there are very compelling circumstances, over and above those </w:t>
      </w:r>
      <w:r w:rsidR="00666CC2" w:rsidRPr="00264302">
        <w:rPr>
          <w:rFonts w:ascii="Book Antiqua" w:hAnsi="Book Antiqua" w:cs="Arial"/>
        </w:rPr>
        <w:t xml:space="preserve">described in </w:t>
      </w:r>
      <w:r w:rsidR="0065162B" w:rsidRPr="00264302">
        <w:rPr>
          <w:rFonts w:ascii="Book Antiqua" w:hAnsi="Book Antiqua" w:cs="Arial"/>
        </w:rPr>
        <w:t>Exception</w:t>
      </w:r>
      <w:r w:rsidR="00666CC2" w:rsidRPr="00264302">
        <w:rPr>
          <w:rFonts w:ascii="Book Antiqua" w:hAnsi="Book Antiqua" w:cs="Arial"/>
        </w:rPr>
        <w:t>s 1 and 2</w:t>
      </w:r>
      <w:r w:rsidRPr="00264302">
        <w:rPr>
          <w:rFonts w:ascii="Book Antiqua" w:hAnsi="Book Antiqua" w:cs="Arial"/>
        </w:rPr>
        <w:t xml:space="preserve">.  </w:t>
      </w:r>
    </w:p>
    <w:p w:rsidR="00087BA1" w:rsidRPr="00264302" w:rsidRDefault="00087BA1" w:rsidP="00D34F7F">
      <w:pPr>
        <w:tabs>
          <w:tab w:val="left" w:pos="1701"/>
        </w:tabs>
        <w:spacing w:before="120"/>
        <w:ind w:left="1134"/>
        <w:rPr>
          <w:rFonts w:ascii="Book Antiqua" w:hAnsi="Book Antiqua" w:cs="Arial"/>
        </w:rPr>
      </w:pPr>
      <w:r w:rsidRPr="00264302">
        <w:rPr>
          <w:rFonts w:ascii="Book Antiqua" w:hAnsi="Book Antiqua" w:cs="Arial"/>
        </w:rPr>
        <w:t>(7)</w:t>
      </w:r>
      <w:r w:rsidRPr="00264302">
        <w:rPr>
          <w:rFonts w:ascii="Book Antiqua" w:hAnsi="Book Antiqua" w:cs="Arial"/>
        </w:rPr>
        <w:tab/>
        <w:t xml:space="preserve">The considerations in sub-Sections (1) to (6) are to be taken into account where a court or </w:t>
      </w:r>
      <w:r w:rsidR="000064E8" w:rsidRPr="00264302">
        <w:rPr>
          <w:rFonts w:ascii="Book Antiqua" w:hAnsi="Book Antiqua" w:cs="Arial"/>
        </w:rPr>
        <w:t>Tribunal</w:t>
      </w:r>
      <w:r w:rsidRPr="00264302">
        <w:rPr>
          <w:rFonts w:ascii="Book Antiqua" w:hAnsi="Book Antiqua" w:cs="Arial"/>
        </w:rPr>
        <w:t xml:space="preserve"> is considering a decision to deport a foreign criminal only to the extent that the reason for the decision was the offence or offences for which the criminal has been convicted.  </w:t>
      </w:r>
    </w:p>
    <w:p w:rsidR="00087BA1" w:rsidRPr="00264302" w:rsidRDefault="00087BA1" w:rsidP="00D34F7F">
      <w:pPr>
        <w:tabs>
          <w:tab w:val="left" w:pos="567"/>
          <w:tab w:val="left" w:pos="1418"/>
          <w:tab w:val="left" w:pos="1985"/>
          <w:tab w:val="left" w:pos="2552"/>
        </w:tabs>
        <w:spacing w:before="120"/>
        <w:ind w:left="1134"/>
        <w:rPr>
          <w:rFonts w:ascii="Book Antiqua" w:hAnsi="Book Antiqua" w:cs="Arial"/>
        </w:rPr>
      </w:pPr>
      <w:r w:rsidRPr="00264302">
        <w:rPr>
          <w:rFonts w:ascii="Book Antiqua" w:hAnsi="Book Antiqua" w:cs="Arial"/>
          <w:b/>
        </w:rPr>
        <w:t>117D</w:t>
      </w:r>
      <w:r w:rsidR="00862A97" w:rsidRPr="00264302">
        <w:rPr>
          <w:rFonts w:ascii="Book Antiqua" w:hAnsi="Book Antiqua" w:cs="Arial"/>
          <w:b/>
        </w:rPr>
        <w:tab/>
        <w:t xml:space="preserve">Interpretation </w:t>
      </w:r>
      <w:r w:rsidRPr="00264302">
        <w:rPr>
          <w:rFonts w:ascii="Book Antiqua" w:hAnsi="Book Antiqua" w:cs="Arial"/>
          <w:b/>
        </w:rPr>
        <w:t xml:space="preserve">of this part  </w:t>
      </w:r>
    </w:p>
    <w:p w:rsidR="00087BA1" w:rsidRPr="00264302" w:rsidRDefault="00087BA1" w:rsidP="00D34F7F">
      <w:pPr>
        <w:tabs>
          <w:tab w:val="left" w:pos="1701"/>
        </w:tabs>
        <w:spacing w:before="120"/>
        <w:ind w:left="1134"/>
        <w:rPr>
          <w:rFonts w:ascii="Book Antiqua" w:hAnsi="Book Antiqua" w:cs="Arial"/>
        </w:rPr>
      </w:pPr>
      <w:r w:rsidRPr="00264302">
        <w:rPr>
          <w:rFonts w:ascii="Book Antiqua" w:hAnsi="Book Antiqua" w:cs="Arial"/>
        </w:rPr>
        <w:t>(1)</w:t>
      </w:r>
      <w:r w:rsidRPr="00264302">
        <w:rPr>
          <w:rFonts w:ascii="Book Antiqua" w:hAnsi="Book Antiqua" w:cs="Arial"/>
        </w:rPr>
        <w:tab/>
        <w:t xml:space="preserve">in this Part -  </w:t>
      </w:r>
    </w:p>
    <w:p w:rsidR="005F28CD" w:rsidRPr="00264302" w:rsidRDefault="008F2F18" w:rsidP="00D34F7F">
      <w:pPr>
        <w:spacing w:before="120"/>
        <w:ind w:left="1701"/>
        <w:rPr>
          <w:rFonts w:ascii="Book Antiqua" w:hAnsi="Book Antiqua" w:cs="Arial"/>
        </w:rPr>
      </w:pPr>
      <w:r w:rsidRPr="00264302">
        <w:rPr>
          <w:rFonts w:ascii="Book Antiqua" w:hAnsi="Book Antiqua" w:cs="Arial"/>
        </w:rPr>
        <w:t>“</w:t>
      </w:r>
      <w:r w:rsidR="000064E8" w:rsidRPr="00264302">
        <w:rPr>
          <w:rFonts w:ascii="Book Antiqua" w:hAnsi="Book Antiqua" w:cs="Arial"/>
        </w:rPr>
        <w:t>Article</w:t>
      </w:r>
      <w:r w:rsidR="00087BA1" w:rsidRPr="00264302">
        <w:rPr>
          <w:rFonts w:ascii="Book Antiqua" w:hAnsi="Book Antiqua" w:cs="Arial"/>
        </w:rPr>
        <w:t xml:space="preserve"> 8</w:t>
      </w:r>
      <w:r w:rsidRPr="00264302">
        <w:rPr>
          <w:rFonts w:ascii="Book Antiqua" w:hAnsi="Book Antiqua" w:cs="Arial"/>
        </w:rPr>
        <w:t>”</w:t>
      </w:r>
      <w:r w:rsidR="00087BA1" w:rsidRPr="00264302">
        <w:rPr>
          <w:rFonts w:ascii="Book Antiqua" w:hAnsi="Book Antiqua" w:cs="Arial"/>
        </w:rPr>
        <w:t xml:space="preserve"> means </w:t>
      </w:r>
      <w:r w:rsidR="000064E8" w:rsidRPr="00264302">
        <w:rPr>
          <w:rFonts w:ascii="Book Antiqua" w:hAnsi="Book Antiqua" w:cs="Arial"/>
        </w:rPr>
        <w:t>Article</w:t>
      </w:r>
      <w:r w:rsidR="00087BA1" w:rsidRPr="00264302">
        <w:rPr>
          <w:rFonts w:ascii="Book Antiqua" w:hAnsi="Book Antiqua" w:cs="Arial"/>
        </w:rPr>
        <w:t xml:space="preserve"> 8 of the European Convention on Human Rights:  </w:t>
      </w:r>
    </w:p>
    <w:p w:rsidR="00087BA1" w:rsidRPr="00264302" w:rsidRDefault="008F2F18" w:rsidP="00D34F7F">
      <w:pPr>
        <w:spacing w:before="120"/>
        <w:ind w:left="1701"/>
        <w:rPr>
          <w:rFonts w:ascii="Book Antiqua" w:hAnsi="Book Antiqua" w:cs="Arial"/>
        </w:rPr>
      </w:pPr>
      <w:r w:rsidRPr="00264302">
        <w:rPr>
          <w:rFonts w:ascii="Book Antiqua" w:hAnsi="Book Antiqua" w:cs="Arial"/>
        </w:rPr>
        <w:t>“</w:t>
      </w:r>
      <w:r w:rsidR="00087BA1" w:rsidRPr="00264302">
        <w:rPr>
          <w:rFonts w:ascii="Book Antiqua" w:hAnsi="Book Antiqua" w:cs="Arial"/>
        </w:rPr>
        <w:t>qualifying child</w:t>
      </w:r>
      <w:r w:rsidRPr="00264302">
        <w:rPr>
          <w:rFonts w:ascii="Book Antiqua" w:hAnsi="Book Antiqua" w:cs="Arial"/>
        </w:rPr>
        <w:t>”</w:t>
      </w:r>
      <w:r w:rsidR="00087BA1" w:rsidRPr="00264302">
        <w:rPr>
          <w:rFonts w:ascii="Book Antiqua" w:hAnsi="Book Antiqua" w:cs="Arial"/>
        </w:rPr>
        <w:t xml:space="preserve"> means a person who is under the age of 18 and who -  </w:t>
      </w:r>
    </w:p>
    <w:p w:rsidR="005F28CD" w:rsidRPr="00264302" w:rsidRDefault="00087BA1" w:rsidP="00D34F7F">
      <w:pPr>
        <w:tabs>
          <w:tab w:val="left" w:pos="2835"/>
        </w:tabs>
        <w:spacing w:before="120"/>
        <w:ind w:left="2268"/>
        <w:rPr>
          <w:rFonts w:ascii="Book Antiqua" w:hAnsi="Book Antiqua" w:cs="Arial"/>
        </w:rPr>
      </w:pPr>
      <w:r w:rsidRPr="00264302">
        <w:rPr>
          <w:rFonts w:ascii="Book Antiqua" w:hAnsi="Book Antiqua" w:cs="Arial"/>
        </w:rPr>
        <w:t>(a)</w:t>
      </w:r>
      <w:r w:rsidRPr="00264302">
        <w:rPr>
          <w:rFonts w:ascii="Book Antiqua" w:hAnsi="Book Antiqua" w:cs="Arial"/>
        </w:rPr>
        <w:tab/>
        <w:t xml:space="preserve">is a British citizen, or  </w:t>
      </w:r>
    </w:p>
    <w:p w:rsidR="001606EE" w:rsidRPr="00264302" w:rsidRDefault="00087BA1" w:rsidP="00D34F7F">
      <w:pPr>
        <w:tabs>
          <w:tab w:val="left" w:pos="2835"/>
        </w:tabs>
        <w:spacing w:before="120"/>
        <w:ind w:left="2268"/>
        <w:rPr>
          <w:rFonts w:ascii="Book Antiqua" w:hAnsi="Book Antiqua" w:cs="Arial"/>
        </w:rPr>
      </w:pPr>
      <w:r w:rsidRPr="00264302">
        <w:rPr>
          <w:rFonts w:ascii="Book Antiqua" w:hAnsi="Book Antiqua" w:cs="Arial"/>
        </w:rPr>
        <w:t>(b)</w:t>
      </w:r>
      <w:r w:rsidRPr="00264302">
        <w:rPr>
          <w:rFonts w:ascii="Book Antiqua" w:hAnsi="Book Antiqua" w:cs="Arial"/>
        </w:rPr>
        <w:tab/>
      </w:r>
      <w:r w:rsidR="00D00D05" w:rsidRPr="00264302">
        <w:rPr>
          <w:rFonts w:ascii="Book Antiqua" w:hAnsi="Book Antiqua" w:cs="Arial"/>
        </w:rPr>
        <w:t xml:space="preserve">has lived in the United Kingdom for a continuous period of seven years or more:  </w:t>
      </w:r>
    </w:p>
    <w:p w:rsidR="00D00D05" w:rsidRPr="00264302" w:rsidRDefault="008F2F18" w:rsidP="00D34F7F">
      <w:pPr>
        <w:spacing w:before="120"/>
        <w:ind w:left="1701"/>
        <w:rPr>
          <w:rFonts w:ascii="Book Antiqua" w:hAnsi="Book Antiqua" w:cs="Arial"/>
        </w:rPr>
      </w:pPr>
      <w:r w:rsidRPr="00264302">
        <w:rPr>
          <w:rFonts w:ascii="Book Antiqua" w:hAnsi="Book Antiqua" w:cs="Arial"/>
        </w:rPr>
        <w:t>“</w:t>
      </w:r>
      <w:r w:rsidR="00D00D05" w:rsidRPr="00264302">
        <w:rPr>
          <w:rFonts w:ascii="Book Antiqua" w:hAnsi="Book Antiqua" w:cs="Arial"/>
        </w:rPr>
        <w:t>qualifying partner</w:t>
      </w:r>
      <w:r w:rsidRPr="00264302">
        <w:rPr>
          <w:rFonts w:ascii="Book Antiqua" w:hAnsi="Book Antiqua" w:cs="Arial"/>
        </w:rPr>
        <w:t>”</w:t>
      </w:r>
      <w:r w:rsidR="00D00D05" w:rsidRPr="00264302">
        <w:rPr>
          <w:rFonts w:ascii="Book Antiqua" w:hAnsi="Book Antiqua" w:cs="Arial"/>
        </w:rPr>
        <w:t xml:space="preserve"> means a partner who -  </w:t>
      </w:r>
    </w:p>
    <w:p w:rsidR="001606EE" w:rsidRPr="00264302" w:rsidRDefault="00D00D05" w:rsidP="00D34F7F">
      <w:pPr>
        <w:tabs>
          <w:tab w:val="left" w:pos="2835"/>
        </w:tabs>
        <w:spacing w:before="120"/>
        <w:ind w:left="2268"/>
        <w:rPr>
          <w:rFonts w:ascii="Book Antiqua" w:hAnsi="Book Antiqua" w:cs="Arial"/>
        </w:rPr>
      </w:pPr>
      <w:r w:rsidRPr="00264302">
        <w:rPr>
          <w:rFonts w:ascii="Book Antiqua" w:hAnsi="Book Antiqua" w:cs="Arial"/>
        </w:rPr>
        <w:t>(a)</w:t>
      </w:r>
      <w:r w:rsidRPr="00264302">
        <w:rPr>
          <w:rFonts w:ascii="Book Antiqua" w:hAnsi="Book Antiqua" w:cs="Arial"/>
        </w:rPr>
        <w:tab/>
        <w:t xml:space="preserve">is a British citizen, or  </w:t>
      </w:r>
    </w:p>
    <w:p w:rsidR="00D00D05" w:rsidRPr="00264302" w:rsidRDefault="00D00D05" w:rsidP="00D34F7F">
      <w:pPr>
        <w:tabs>
          <w:tab w:val="left" w:pos="2835"/>
        </w:tabs>
        <w:spacing w:before="120"/>
        <w:ind w:left="2268"/>
        <w:rPr>
          <w:rFonts w:ascii="Book Antiqua" w:hAnsi="Book Antiqua" w:cs="Arial"/>
        </w:rPr>
      </w:pPr>
      <w:r w:rsidRPr="00264302">
        <w:rPr>
          <w:rFonts w:ascii="Book Antiqua" w:hAnsi="Book Antiqua" w:cs="Arial"/>
        </w:rPr>
        <w:t>(b)</w:t>
      </w:r>
      <w:r w:rsidRPr="00264302">
        <w:rPr>
          <w:rFonts w:ascii="Book Antiqua" w:hAnsi="Book Antiqua" w:cs="Arial"/>
        </w:rPr>
        <w:tab/>
        <w:t>who is settled in the United Kingdom (within the meaning of the Immigration Act 1971 – see Sections 33(2A) of that Act</w:t>
      </w:r>
      <w:r w:rsidR="005B781C" w:rsidRPr="00264302">
        <w:rPr>
          <w:rFonts w:ascii="Book Antiqua" w:hAnsi="Book Antiqua" w:cs="Arial"/>
        </w:rPr>
        <w:t xml:space="preserve">).  </w:t>
      </w:r>
    </w:p>
    <w:p w:rsidR="00D00D05" w:rsidRPr="00264302" w:rsidRDefault="00940306" w:rsidP="00D34F7F">
      <w:pPr>
        <w:tabs>
          <w:tab w:val="left" w:pos="1701"/>
        </w:tabs>
        <w:spacing w:before="120"/>
        <w:ind w:left="1134"/>
        <w:rPr>
          <w:rFonts w:ascii="Book Antiqua" w:hAnsi="Book Antiqua" w:cs="Arial"/>
        </w:rPr>
      </w:pPr>
      <w:r w:rsidRPr="00264302">
        <w:rPr>
          <w:rFonts w:ascii="Book Antiqua" w:hAnsi="Book Antiqua" w:cs="Arial"/>
        </w:rPr>
        <w:t>(2)</w:t>
      </w:r>
      <w:r w:rsidRPr="00264302">
        <w:rPr>
          <w:rFonts w:ascii="Book Antiqua" w:hAnsi="Book Antiqua" w:cs="Arial"/>
        </w:rPr>
        <w:tab/>
        <w:t xml:space="preserve">In this Part, </w:t>
      </w:r>
      <w:r w:rsidR="008F2F18" w:rsidRPr="00264302">
        <w:rPr>
          <w:rFonts w:ascii="Book Antiqua" w:hAnsi="Book Antiqua" w:cs="Arial"/>
        </w:rPr>
        <w:t>“</w:t>
      </w:r>
      <w:r w:rsidRPr="00264302">
        <w:rPr>
          <w:rFonts w:ascii="Book Antiqua" w:hAnsi="Book Antiqua" w:cs="Arial"/>
        </w:rPr>
        <w:t>foreign criminal</w:t>
      </w:r>
      <w:r w:rsidR="008F2F18" w:rsidRPr="00264302">
        <w:rPr>
          <w:rFonts w:ascii="Book Antiqua" w:hAnsi="Book Antiqua" w:cs="Arial"/>
        </w:rPr>
        <w:t>”</w:t>
      </w:r>
      <w:r w:rsidRPr="00264302">
        <w:rPr>
          <w:rFonts w:ascii="Book Antiqua" w:hAnsi="Book Antiqua" w:cs="Arial"/>
        </w:rPr>
        <w:t xml:space="preserve"> means a person -  </w:t>
      </w:r>
    </w:p>
    <w:p w:rsidR="00F73CA8" w:rsidRPr="00264302" w:rsidRDefault="00940306" w:rsidP="00D34F7F">
      <w:pPr>
        <w:tabs>
          <w:tab w:val="left" w:pos="2268"/>
        </w:tabs>
        <w:spacing w:before="120"/>
        <w:ind w:left="1701"/>
        <w:rPr>
          <w:rFonts w:ascii="Book Antiqua" w:hAnsi="Book Antiqua" w:cs="Arial"/>
        </w:rPr>
      </w:pPr>
      <w:r w:rsidRPr="00264302">
        <w:rPr>
          <w:rFonts w:ascii="Book Antiqua" w:hAnsi="Book Antiqua" w:cs="Arial"/>
        </w:rPr>
        <w:t>(a)</w:t>
      </w:r>
      <w:r w:rsidRPr="00264302">
        <w:rPr>
          <w:rFonts w:ascii="Book Antiqua" w:hAnsi="Book Antiqua" w:cs="Arial"/>
        </w:rPr>
        <w:tab/>
        <w:t xml:space="preserve">who is not a British citizen,  </w:t>
      </w:r>
    </w:p>
    <w:p w:rsidR="00F73CA8" w:rsidRPr="00264302" w:rsidRDefault="00940306" w:rsidP="00D34F7F">
      <w:pPr>
        <w:tabs>
          <w:tab w:val="left" w:pos="2268"/>
        </w:tabs>
        <w:spacing w:before="120"/>
        <w:ind w:left="1701"/>
        <w:rPr>
          <w:rFonts w:ascii="Book Antiqua" w:hAnsi="Book Antiqua" w:cs="Arial"/>
        </w:rPr>
      </w:pPr>
      <w:r w:rsidRPr="00264302">
        <w:rPr>
          <w:rFonts w:ascii="Book Antiqua" w:hAnsi="Book Antiqua" w:cs="Arial"/>
        </w:rPr>
        <w:t>(b)</w:t>
      </w:r>
      <w:r w:rsidRPr="00264302">
        <w:rPr>
          <w:rFonts w:ascii="Book Antiqua" w:hAnsi="Book Antiqua" w:cs="Arial"/>
        </w:rPr>
        <w:tab/>
        <w:t xml:space="preserve">who has been convicted in the United Kingdom of an offence, and  </w:t>
      </w:r>
    </w:p>
    <w:p w:rsidR="00F73CA8" w:rsidRPr="00264302" w:rsidRDefault="00940306" w:rsidP="00D34F7F">
      <w:pPr>
        <w:tabs>
          <w:tab w:val="left" w:pos="2268"/>
        </w:tabs>
        <w:spacing w:before="120"/>
        <w:ind w:left="1701"/>
        <w:rPr>
          <w:rFonts w:ascii="Book Antiqua" w:hAnsi="Book Antiqua" w:cs="Arial"/>
        </w:rPr>
      </w:pPr>
      <w:r w:rsidRPr="00264302">
        <w:rPr>
          <w:rFonts w:ascii="Book Antiqua" w:hAnsi="Book Antiqua" w:cs="Arial"/>
        </w:rPr>
        <w:t>(c)</w:t>
      </w:r>
      <w:r w:rsidRPr="00264302">
        <w:rPr>
          <w:rFonts w:ascii="Book Antiqua" w:hAnsi="Book Antiqua" w:cs="Arial"/>
        </w:rPr>
        <w:tab/>
        <w:t xml:space="preserve">who -  </w:t>
      </w:r>
    </w:p>
    <w:p w:rsidR="00F73CA8" w:rsidRPr="00264302" w:rsidRDefault="00940306" w:rsidP="00D34F7F">
      <w:pPr>
        <w:tabs>
          <w:tab w:val="left" w:pos="2835"/>
        </w:tabs>
        <w:spacing w:before="120"/>
        <w:ind w:left="2268"/>
        <w:rPr>
          <w:rFonts w:ascii="Book Antiqua" w:hAnsi="Book Antiqua" w:cs="Arial"/>
        </w:rPr>
      </w:pPr>
      <w:r w:rsidRPr="00264302">
        <w:rPr>
          <w:rFonts w:ascii="Book Antiqua" w:hAnsi="Book Antiqua" w:cs="Arial"/>
        </w:rPr>
        <w:t>(i)</w:t>
      </w:r>
      <w:r w:rsidRPr="00264302">
        <w:rPr>
          <w:rFonts w:ascii="Book Antiqua" w:hAnsi="Book Antiqua" w:cs="Arial"/>
        </w:rPr>
        <w:tab/>
        <w:t xml:space="preserve">has been sentenced to a period of imprisonment </w:t>
      </w:r>
      <w:r w:rsidR="002C288A" w:rsidRPr="00264302">
        <w:rPr>
          <w:rFonts w:ascii="Book Antiqua" w:hAnsi="Book Antiqua" w:cs="Arial"/>
        </w:rPr>
        <w:t xml:space="preserve">of at least twelve months,  </w:t>
      </w:r>
    </w:p>
    <w:p w:rsidR="009C6458" w:rsidRPr="00264302" w:rsidRDefault="002C288A" w:rsidP="00D34F7F">
      <w:pPr>
        <w:tabs>
          <w:tab w:val="left" w:pos="2835"/>
        </w:tabs>
        <w:spacing w:before="120"/>
        <w:ind w:left="2268"/>
        <w:rPr>
          <w:rFonts w:ascii="Book Antiqua" w:hAnsi="Book Antiqua" w:cs="Arial"/>
        </w:rPr>
      </w:pPr>
      <w:r w:rsidRPr="00264302">
        <w:rPr>
          <w:rFonts w:ascii="Book Antiqua" w:hAnsi="Book Antiqua" w:cs="Arial"/>
        </w:rPr>
        <w:t>(ii)</w:t>
      </w:r>
      <w:r w:rsidRPr="00264302">
        <w:rPr>
          <w:rFonts w:ascii="Book Antiqua" w:hAnsi="Book Antiqua" w:cs="Arial"/>
        </w:rPr>
        <w:tab/>
      </w:r>
      <w:r w:rsidR="003A4159" w:rsidRPr="00264302">
        <w:rPr>
          <w:rFonts w:ascii="Book Antiqua" w:hAnsi="Book Antiqua" w:cs="Arial"/>
        </w:rPr>
        <w:t xml:space="preserve">has been convicted of an offence that has caused serious harm, or  </w:t>
      </w:r>
    </w:p>
    <w:p w:rsidR="00087BA1" w:rsidRPr="00264302" w:rsidRDefault="003A4159" w:rsidP="00D34F7F">
      <w:pPr>
        <w:tabs>
          <w:tab w:val="left" w:pos="2835"/>
        </w:tabs>
        <w:spacing w:before="120"/>
        <w:ind w:left="2268"/>
        <w:rPr>
          <w:rFonts w:ascii="Book Antiqua" w:hAnsi="Book Antiqua" w:cs="Arial"/>
        </w:rPr>
      </w:pPr>
      <w:r w:rsidRPr="00264302">
        <w:rPr>
          <w:rFonts w:ascii="Book Antiqua" w:hAnsi="Book Antiqua" w:cs="Arial"/>
        </w:rPr>
        <w:t>(iii)</w:t>
      </w:r>
      <w:r w:rsidRPr="00264302">
        <w:rPr>
          <w:rFonts w:ascii="Book Antiqua" w:hAnsi="Book Antiqua" w:cs="Arial"/>
        </w:rPr>
        <w:tab/>
        <w:t xml:space="preserve">is a persistent offender.  </w:t>
      </w:r>
    </w:p>
    <w:p w:rsidR="0008057B" w:rsidRPr="00264302" w:rsidRDefault="00BA14B4" w:rsidP="00C94BD5">
      <w:pPr>
        <w:pStyle w:val="ListParagraph"/>
        <w:numPr>
          <w:ilvl w:val="0"/>
          <w:numId w:val="25"/>
        </w:numPr>
        <w:spacing w:before="160"/>
        <w:jc w:val="both"/>
        <w:rPr>
          <w:rFonts w:ascii="Book Antiqua" w:hAnsi="Book Antiqua" w:cs="Arial"/>
        </w:rPr>
      </w:pPr>
      <w:r w:rsidRPr="00264302">
        <w:rPr>
          <w:rFonts w:ascii="Book Antiqua" w:hAnsi="Book Antiqua" w:cs="Arial"/>
        </w:rPr>
        <w:lastRenderedPageBreak/>
        <w:t xml:space="preserve">In essence, the central issue </w:t>
      </w:r>
      <w:r w:rsidR="00F421B9" w:rsidRPr="00264302">
        <w:rPr>
          <w:rFonts w:ascii="Book Antiqua" w:hAnsi="Book Antiqua" w:cs="Arial"/>
        </w:rPr>
        <w:t xml:space="preserve">to be </w:t>
      </w:r>
      <w:r w:rsidRPr="00264302">
        <w:rPr>
          <w:rFonts w:ascii="Book Antiqua" w:hAnsi="Book Antiqua" w:cs="Arial"/>
        </w:rPr>
        <w:t xml:space="preserve">determined by the First-tier </w:t>
      </w:r>
      <w:r w:rsidR="000064E8" w:rsidRPr="00264302">
        <w:rPr>
          <w:rFonts w:ascii="Book Antiqua" w:hAnsi="Book Antiqua" w:cs="Arial"/>
        </w:rPr>
        <w:t>Tribunal</w:t>
      </w:r>
      <w:r w:rsidRPr="00264302">
        <w:rPr>
          <w:rFonts w:ascii="Book Antiqua" w:hAnsi="Book Antiqua" w:cs="Arial"/>
        </w:rPr>
        <w:t xml:space="preserve"> was whether or not it would be </w:t>
      </w:r>
      <w:r w:rsidR="008F2F18" w:rsidRPr="00264302">
        <w:rPr>
          <w:rFonts w:ascii="Book Antiqua" w:hAnsi="Book Antiqua" w:cs="Arial"/>
        </w:rPr>
        <w:t>“</w:t>
      </w:r>
      <w:r w:rsidRPr="00264302">
        <w:rPr>
          <w:rFonts w:ascii="Book Antiqua" w:hAnsi="Book Antiqua" w:cs="Arial"/>
        </w:rPr>
        <w:t>unduly harsh</w:t>
      </w:r>
      <w:r w:rsidR="008F2F18" w:rsidRPr="00264302">
        <w:rPr>
          <w:rFonts w:ascii="Book Antiqua" w:hAnsi="Book Antiqua" w:cs="Arial"/>
        </w:rPr>
        <w:t>”</w:t>
      </w:r>
      <w:r w:rsidRPr="00264302">
        <w:rPr>
          <w:rFonts w:ascii="Book Antiqua" w:hAnsi="Book Antiqua" w:cs="Arial"/>
        </w:rPr>
        <w:t xml:space="preserve"> for the </w:t>
      </w:r>
      <w:r w:rsidR="000064E8" w:rsidRPr="00264302">
        <w:rPr>
          <w:rFonts w:ascii="Book Antiqua" w:hAnsi="Book Antiqua" w:cs="Arial"/>
        </w:rPr>
        <w:t>Appellant’s</w:t>
      </w:r>
      <w:r w:rsidR="00D15C6F" w:rsidRPr="00264302">
        <w:rPr>
          <w:rFonts w:ascii="Book Antiqua" w:hAnsi="Book Antiqua" w:cs="Arial"/>
        </w:rPr>
        <w:t xml:space="preserve"> </w:t>
      </w:r>
      <w:r w:rsidR="00F421B9" w:rsidRPr="00264302">
        <w:rPr>
          <w:rFonts w:ascii="Book Antiqua" w:hAnsi="Book Antiqua" w:cs="Arial"/>
        </w:rPr>
        <w:t xml:space="preserve">former </w:t>
      </w:r>
      <w:r w:rsidR="00D15C6F" w:rsidRPr="00264302">
        <w:rPr>
          <w:rFonts w:ascii="Book Antiqua" w:hAnsi="Book Antiqua" w:cs="Arial"/>
        </w:rPr>
        <w:t>partne</w:t>
      </w:r>
      <w:r w:rsidR="00824C01" w:rsidRPr="00264302">
        <w:rPr>
          <w:rFonts w:ascii="Book Antiqua" w:hAnsi="Book Antiqua" w:cs="Arial"/>
        </w:rPr>
        <w:t>r and children to live in Iraq</w:t>
      </w:r>
      <w:r w:rsidR="00206C9F" w:rsidRPr="00264302">
        <w:rPr>
          <w:rFonts w:ascii="Book Antiqua" w:hAnsi="Book Antiqua" w:cs="Arial"/>
        </w:rPr>
        <w:t xml:space="preserve"> or whether or not it would be </w:t>
      </w:r>
      <w:r w:rsidR="008F2F18" w:rsidRPr="00264302">
        <w:rPr>
          <w:rFonts w:ascii="Book Antiqua" w:hAnsi="Book Antiqua" w:cs="Arial"/>
        </w:rPr>
        <w:t>“</w:t>
      </w:r>
      <w:r w:rsidR="00206C9F" w:rsidRPr="00264302">
        <w:rPr>
          <w:rFonts w:ascii="Book Antiqua" w:hAnsi="Book Antiqua" w:cs="Arial"/>
        </w:rPr>
        <w:t>unduly harsh</w:t>
      </w:r>
      <w:r w:rsidR="008F2F18" w:rsidRPr="00264302">
        <w:rPr>
          <w:rFonts w:ascii="Book Antiqua" w:hAnsi="Book Antiqua" w:cs="Arial"/>
        </w:rPr>
        <w:t>”</w:t>
      </w:r>
      <w:r w:rsidR="00824C01" w:rsidRPr="00264302">
        <w:rPr>
          <w:rFonts w:ascii="Book Antiqua" w:hAnsi="Book Antiqua" w:cs="Arial"/>
        </w:rPr>
        <w:t xml:space="preserve"> for his former partner and child </w:t>
      </w:r>
      <w:r w:rsidR="00206C9F" w:rsidRPr="00264302">
        <w:rPr>
          <w:rFonts w:ascii="Book Antiqua" w:hAnsi="Book Antiqua" w:cs="Arial"/>
        </w:rPr>
        <w:t>to rem</w:t>
      </w:r>
      <w:r w:rsidR="00A35DC0" w:rsidRPr="00264302">
        <w:rPr>
          <w:rFonts w:ascii="Book Antiqua" w:hAnsi="Book Antiqua" w:cs="Arial"/>
        </w:rPr>
        <w:t>ain in the UK without</w:t>
      </w:r>
      <w:r w:rsidR="00824C01" w:rsidRPr="00264302">
        <w:rPr>
          <w:rFonts w:ascii="Book Antiqua" w:hAnsi="Book Antiqua" w:cs="Arial"/>
        </w:rPr>
        <w:t xml:space="preserve"> MK</w:t>
      </w:r>
      <w:r w:rsidR="00646FFF" w:rsidRPr="00264302">
        <w:rPr>
          <w:rFonts w:ascii="Book Antiqua" w:hAnsi="Book Antiqua" w:cs="Arial"/>
        </w:rPr>
        <w:t>,</w:t>
      </w:r>
      <w:r w:rsidR="00A35DC0" w:rsidRPr="00264302">
        <w:rPr>
          <w:rFonts w:ascii="Book Antiqua" w:hAnsi="Book Antiqua" w:cs="Arial"/>
        </w:rPr>
        <w:t xml:space="preserve"> who the Respondent sought</w:t>
      </w:r>
      <w:r w:rsidR="00206C9F" w:rsidRPr="00264302">
        <w:rPr>
          <w:rFonts w:ascii="Book Antiqua" w:hAnsi="Book Antiqua" w:cs="Arial"/>
        </w:rPr>
        <w:t xml:space="preserve"> to be deported.  </w:t>
      </w:r>
      <w:proofErr w:type="gramStart"/>
      <w:r w:rsidR="00062AAB" w:rsidRPr="00264302">
        <w:rPr>
          <w:rFonts w:ascii="Book Antiqua" w:hAnsi="Book Antiqua" w:cs="Arial"/>
        </w:rPr>
        <w:t>Thus</w:t>
      </w:r>
      <w:proofErr w:type="gramEnd"/>
      <w:r w:rsidR="00062AAB" w:rsidRPr="00264302">
        <w:rPr>
          <w:rFonts w:ascii="Book Antiqua" w:hAnsi="Book Antiqua" w:cs="Arial"/>
        </w:rPr>
        <w:t xml:space="preserve"> the judge was required to consider what is meant by </w:t>
      </w:r>
      <w:r w:rsidR="008F2F18" w:rsidRPr="00264302">
        <w:rPr>
          <w:rFonts w:ascii="Book Antiqua" w:hAnsi="Book Antiqua" w:cs="Arial"/>
        </w:rPr>
        <w:t>“</w:t>
      </w:r>
      <w:r w:rsidR="00062AAB" w:rsidRPr="00264302">
        <w:rPr>
          <w:rFonts w:ascii="Book Antiqua" w:hAnsi="Book Antiqua" w:cs="Arial"/>
        </w:rPr>
        <w:t>unduly harsh</w:t>
      </w:r>
      <w:r w:rsidR="008F2F18" w:rsidRPr="00264302">
        <w:rPr>
          <w:rFonts w:ascii="Book Antiqua" w:hAnsi="Book Antiqua" w:cs="Arial"/>
        </w:rPr>
        <w:t>”</w:t>
      </w:r>
      <w:r w:rsidR="00062AAB" w:rsidRPr="00264302">
        <w:rPr>
          <w:rFonts w:ascii="Book Antiqua" w:hAnsi="Book Antiqua" w:cs="Arial"/>
        </w:rPr>
        <w:t xml:space="preserve"> within the context of the law.  </w:t>
      </w:r>
    </w:p>
    <w:p w:rsidR="000070A5" w:rsidRPr="00264302" w:rsidRDefault="000070A5"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correct approach relating to what is meant by </w:t>
      </w:r>
      <w:r w:rsidR="008F2F18" w:rsidRPr="00264302">
        <w:rPr>
          <w:rFonts w:ascii="Book Antiqua" w:hAnsi="Book Antiqua" w:cs="Arial"/>
        </w:rPr>
        <w:t>“</w:t>
      </w:r>
      <w:r w:rsidRPr="00264302">
        <w:rPr>
          <w:rFonts w:ascii="Book Antiqua" w:hAnsi="Book Antiqua" w:cs="Arial"/>
        </w:rPr>
        <w:t>unduly harsh</w:t>
      </w:r>
      <w:r w:rsidR="008F2F18" w:rsidRPr="00264302">
        <w:rPr>
          <w:rFonts w:ascii="Book Antiqua" w:hAnsi="Book Antiqua" w:cs="Arial"/>
        </w:rPr>
        <w:t>”</w:t>
      </w:r>
      <w:r w:rsidRPr="00264302">
        <w:rPr>
          <w:rFonts w:ascii="Book Antiqua" w:hAnsi="Book Antiqua" w:cs="Arial"/>
        </w:rPr>
        <w:t xml:space="preserve"> within the context of the legislation is set out in the following paragraphs from the judgment of Laws LJ, with whom Vos and Hamblen LJ agreed, in </w:t>
      </w:r>
      <w:r w:rsidRPr="00264302">
        <w:rPr>
          <w:rFonts w:ascii="Book Antiqua" w:hAnsi="Book Antiqua" w:cs="Arial"/>
          <w:b/>
          <w:u w:val="single"/>
        </w:rPr>
        <w:t>MM (Uganda) v the SSHD</w:t>
      </w:r>
      <w:r w:rsidRPr="00264302">
        <w:rPr>
          <w:rFonts w:ascii="Book Antiqua" w:hAnsi="Book Antiqua" w:cs="Arial"/>
          <w:b/>
        </w:rPr>
        <w:t xml:space="preserve"> [2016] EWCA Civ 450</w:t>
      </w:r>
      <w:r w:rsidRPr="00264302">
        <w:rPr>
          <w:rFonts w:ascii="Book Antiqua" w:hAnsi="Book Antiqua" w:cs="Arial"/>
        </w:rPr>
        <w:t xml:space="preserve">:  </w:t>
      </w:r>
    </w:p>
    <w:p w:rsidR="000070A5" w:rsidRPr="00134BD9" w:rsidRDefault="008F2F18" w:rsidP="00134BD9">
      <w:pPr>
        <w:spacing w:before="120"/>
        <w:ind w:left="1701" w:right="567" w:hanging="567"/>
        <w:jc w:val="both"/>
        <w:rPr>
          <w:rFonts w:ascii="Book Antiqua" w:hAnsi="Book Antiqua" w:cs="Arial"/>
          <w:sz w:val="22"/>
        </w:rPr>
      </w:pPr>
      <w:r w:rsidRPr="00134BD9">
        <w:rPr>
          <w:rFonts w:ascii="Book Antiqua" w:hAnsi="Book Antiqua" w:cs="Arial"/>
          <w:sz w:val="22"/>
        </w:rPr>
        <w:t>“</w:t>
      </w:r>
      <w:r w:rsidR="00C93F6C" w:rsidRPr="00134BD9">
        <w:rPr>
          <w:rFonts w:ascii="Book Antiqua" w:hAnsi="Book Antiqua" w:cs="Arial"/>
          <w:sz w:val="22"/>
        </w:rPr>
        <w:t>[</w:t>
      </w:r>
      <w:r w:rsidR="000070A5" w:rsidRPr="00134BD9">
        <w:rPr>
          <w:rFonts w:ascii="Book Antiqua" w:hAnsi="Book Antiqua" w:cs="Arial"/>
          <w:sz w:val="22"/>
        </w:rPr>
        <w:t>22</w:t>
      </w:r>
      <w:r w:rsidR="00C93F6C" w:rsidRPr="00134BD9">
        <w:rPr>
          <w:rFonts w:ascii="Book Antiqua" w:hAnsi="Book Antiqua" w:cs="Arial"/>
          <w:sz w:val="22"/>
        </w:rPr>
        <w:t>]</w:t>
      </w:r>
      <w:r w:rsidR="000070A5" w:rsidRPr="00134BD9">
        <w:rPr>
          <w:rFonts w:ascii="Book Antiqua" w:hAnsi="Book Antiqua" w:cs="Arial"/>
          <w:sz w:val="22"/>
        </w:rPr>
        <w:tab/>
        <w:t xml:space="preserve">I turn to the interpretation of the phrase ‘unduly harsh’.  Plainly it means the same in Section </w:t>
      </w:r>
      <w:r w:rsidR="00AF7C79" w:rsidRPr="00134BD9">
        <w:rPr>
          <w:rFonts w:ascii="Book Antiqua" w:hAnsi="Book Antiqua" w:cs="Arial"/>
          <w:sz w:val="22"/>
        </w:rPr>
        <w:t>117C (</w:t>
      </w:r>
      <w:r w:rsidR="000070A5" w:rsidRPr="00134BD9">
        <w:rPr>
          <w:rFonts w:ascii="Book Antiqua" w:hAnsi="Book Antiqua" w:cs="Arial"/>
          <w:sz w:val="22"/>
        </w:rPr>
        <w:t xml:space="preserve">5) as in Rule 399.  ‘Unduly harsh’ is an ordinary English expression.  As so often, its meaning is coloured by its context.  Authorities hardly needed for such a proposition but it is anyway provided, for example by </w:t>
      </w:r>
      <w:r w:rsidR="000070A5" w:rsidRPr="00134BD9">
        <w:rPr>
          <w:rFonts w:ascii="Book Antiqua" w:hAnsi="Book Antiqua" w:cs="Arial"/>
          <w:b/>
          <w:sz w:val="22"/>
          <w:u w:val="single"/>
        </w:rPr>
        <w:t>VIA Rail Calendar</w:t>
      </w:r>
      <w:r w:rsidR="000070A5" w:rsidRPr="00134BD9">
        <w:rPr>
          <w:rFonts w:ascii="Book Antiqua" w:hAnsi="Book Antiqua" w:cs="Arial"/>
          <w:b/>
          <w:sz w:val="22"/>
        </w:rPr>
        <w:t xml:space="preserve"> [2000] 193 DLR (</w:t>
      </w:r>
      <w:r w:rsidR="00B923F2" w:rsidRPr="00134BD9">
        <w:rPr>
          <w:rFonts w:ascii="Book Antiqua" w:hAnsi="Book Antiqua" w:cs="Arial"/>
          <w:b/>
          <w:sz w:val="22"/>
        </w:rPr>
        <w:t>4</w:t>
      </w:r>
      <w:r w:rsidR="00B923F2" w:rsidRPr="00134BD9">
        <w:rPr>
          <w:rFonts w:ascii="Book Antiqua" w:hAnsi="Book Antiqua" w:cs="Arial"/>
          <w:b/>
          <w:sz w:val="22"/>
          <w:vertAlign w:val="superscript"/>
        </w:rPr>
        <w:t>th</w:t>
      </w:r>
      <w:r w:rsidR="000070A5" w:rsidRPr="00134BD9">
        <w:rPr>
          <w:rFonts w:ascii="Book Antiqua" w:hAnsi="Book Antiqua" w:cs="Arial"/>
          <w:b/>
          <w:sz w:val="22"/>
        </w:rPr>
        <w:t>) 357</w:t>
      </w:r>
      <w:r w:rsidR="000070A5" w:rsidRPr="00134BD9">
        <w:rPr>
          <w:rFonts w:ascii="Book Antiqua" w:hAnsi="Book Antiqua" w:cs="Arial"/>
          <w:sz w:val="22"/>
        </w:rPr>
        <w:t xml:space="preserve"> at paragraphs </w:t>
      </w:r>
      <w:r w:rsidR="00F5203E" w:rsidRPr="00134BD9">
        <w:rPr>
          <w:rFonts w:ascii="Book Antiqua" w:hAnsi="Book Antiqua" w:cs="Arial"/>
          <w:sz w:val="22"/>
        </w:rPr>
        <w:t>[</w:t>
      </w:r>
      <w:r w:rsidR="000070A5" w:rsidRPr="00134BD9">
        <w:rPr>
          <w:rFonts w:ascii="Book Antiqua" w:hAnsi="Book Antiqua" w:cs="Arial"/>
          <w:sz w:val="22"/>
        </w:rPr>
        <w:t>35</w:t>
      </w:r>
      <w:r w:rsidR="00F5203E" w:rsidRPr="00134BD9">
        <w:rPr>
          <w:rFonts w:ascii="Book Antiqua" w:hAnsi="Book Antiqua" w:cs="Arial"/>
          <w:sz w:val="22"/>
        </w:rPr>
        <w:t>]</w:t>
      </w:r>
      <w:r w:rsidR="000070A5" w:rsidRPr="00134BD9">
        <w:rPr>
          <w:rFonts w:ascii="Book Antiqua" w:hAnsi="Book Antiqua" w:cs="Arial"/>
          <w:sz w:val="22"/>
        </w:rPr>
        <w:t xml:space="preserve"> to </w:t>
      </w:r>
      <w:r w:rsidR="00F5203E" w:rsidRPr="00134BD9">
        <w:rPr>
          <w:rFonts w:ascii="Book Antiqua" w:hAnsi="Book Antiqua" w:cs="Arial"/>
          <w:sz w:val="22"/>
        </w:rPr>
        <w:t>[</w:t>
      </w:r>
      <w:r w:rsidR="000070A5" w:rsidRPr="00134BD9">
        <w:rPr>
          <w:rFonts w:ascii="Book Antiqua" w:hAnsi="Book Antiqua" w:cs="Arial"/>
          <w:sz w:val="22"/>
        </w:rPr>
        <w:t>37</w:t>
      </w:r>
      <w:r w:rsidR="00F5203E" w:rsidRPr="00134BD9">
        <w:rPr>
          <w:rFonts w:ascii="Book Antiqua" w:hAnsi="Book Antiqua" w:cs="Arial"/>
          <w:sz w:val="22"/>
        </w:rPr>
        <w:t>]</w:t>
      </w:r>
      <w:r w:rsidR="000070A5" w:rsidRPr="00134BD9">
        <w:rPr>
          <w:rFonts w:ascii="Book Antiqua" w:hAnsi="Book Antiqua" w:cs="Arial"/>
          <w:sz w:val="22"/>
        </w:rPr>
        <w:t xml:space="preserve">.  </w:t>
      </w:r>
    </w:p>
    <w:p w:rsidR="000070A5" w:rsidRPr="00134BD9" w:rsidRDefault="00130894" w:rsidP="00134BD9">
      <w:pPr>
        <w:spacing w:before="120"/>
        <w:ind w:left="1701" w:right="567" w:hanging="567"/>
        <w:jc w:val="both"/>
        <w:rPr>
          <w:rFonts w:ascii="Book Antiqua" w:hAnsi="Book Antiqua" w:cs="Arial"/>
          <w:sz w:val="22"/>
        </w:rPr>
      </w:pPr>
      <w:r w:rsidRPr="00134BD9">
        <w:rPr>
          <w:rFonts w:ascii="Book Antiqua" w:hAnsi="Book Antiqua" w:cs="Arial"/>
          <w:sz w:val="22"/>
        </w:rPr>
        <w:t>[</w:t>
      </w:r>
      <w:r w:rsidR="000070A5" w:rsidRPr="00134BD9">
        <w:rPr>
          <w:rFonts w:ascii="Book Antiqua" w:hAnsi="Book Antiqua" w:cs="Arial"/>
          <w:sz w:val="22"/>
        </w:rPr>
        <w:t>23</w:t>
      </w:r>
      <w:r w:rsidRPr="00134BD9">
        <w:rPr>
          <w:rFonts w:ascii="Book Antiqua" w:hAnsi="Book Antiqua" w:cs="Arial"/>
          <w:sz w:val="22"/>
        </w:rPr>
        <w:t>]</w:t>
      </w:r>
      <w:r w:rsidR="000070A5" w:rsidRPr="00134BD9">
        <w:rPr>
          <w:rFonts w:ascii="Book Antiqua" w:hAnsi="Book Antiqua" w:cs="Arial"/>
          <w:sz w:val="22"/>
        </w:rPr>
        <w:tab/>
      </w:r>
      <w:r w:rsidR="0083225C" w:rsidRPr="00134BD9">
        <w:rPr>
          <w:rFonts w:ascii="Book Antiqua" w:hAnsi="Book Antiqua" w:cs="Arial"/>
          <w:sz w:val="22"/>
        </w:rPr>
        <w:t xml:space="preserve">The context in these cases invites emphasis on two factors, (1) the public interest in the removal of foreign criminals and (2) the need for a proportionate assessment of any interference with </w:t>
      </w:r>
      <w:r w:rsidR="000064E8" w:rsidRPr="00134BD9">
        <w:rPr>
          <w:rFonts w:ascii="Book Antiqua" w:hAnsi="Book Antiqua" w:cs="Arial"/>
          <w:sz w:val="22"/>
        </w:rPr>
        <w:t>Article</w:t>
      </w:r>
      <w:r w:rsidR="0083225C" w:rsidRPr="00134BD9">
        <w:rPr>
          <w:rFonts w:ascii="Book Antiqua" w:hAnsi="Book Antiqua" w:cs="Arial"/>
          <w:sz w:val="22"/>
        </w:rPr>
        <w:t xml:space="preserve"> 8 rights.  In my judgment, with respect, the approach of the Upper </w:t>
      </w:r>
      <w:r w:rsidR="000064E8" w:rsidRPr="00134BD9">
        <w:rPr>
          <w:rFonts w:ascii="Book Antiqua" w:hAnsi="Book Antiqua" w:cs="Arial"/>
          <w:sz w:val="22"/>
        </w:rPr>
        <w:t>Tribunal</w:t>
      </w:r>
      <w:r w:rsidR="0083225C" w:rsidRPr="00134BD9">
        <w:rPr>
          <w:rFonts w:ascii="Book Antiqua" w:hAnsi="Book Antiqua" w:cs="Arial"/>
          <w:sz w:val="22"/>
        </w:rPr>
        <w:t xml:space="preserve"> in </w:t>
      </w:r>
      <w:r w:rsidR="0083225C" w:rsidRPr="00134BD9">
        <w:rPr>
          <w:rFonts w:ascii="Book Antiqua" w:hAnsi="Book Antiqua" w:cs="Arial"/>
          <w:b/>
          <w:sz w:val="22"/>
          <w:u w:val="single"/>
        </w:rPr>
        <w:t>MAB</w:t>
      </w:r>
      <w:r w:rsidR="0083225C" w:rsidRPr="00134BD9">
        <w:rPr>
          <w:rFonts w:ascii="Book Antiqua" w:hAnsi="Book Antiqua" w:cs="Arial"/>
          <w:sz w:val="22"/>
        </w:rPr>
        <w:t xml:space="preserve"> ignores this combination of factors.  The first of them, the public interest in the removal of foreign criminals, is expressly vouched by parliament in Section </w:t>
      </w:r>
      <w:r w:rsidR="00AF7C79" w:rsidRPr="00134BD9">
        <w:rPr>
          <w:rFonts w:ascii="Book Antiqua" w:hAnsi="Book Antiqua" w:cs="Arial"/>
          <w:sz w:val="22"/>
        </w:rPr>
        <w:t>117C (</w:t>
      </w:r>
      <w:r w:rsidR="0083225C" w:rsidRPr="00134BD9">
        <w:rPr>
          <w:rFonts w:ascii="Book Antiqua" w:hAnsi="Book Antiqua" w:cs="Arial"/>
          <w:sz w:val="22"/>
        </w:rPr>
        <w:t xml:space="preserve">1).  </w:t>
      </w:r>
      <w:r w:rsidR="008C2111" w:rsidRPr="00134BD9">
        <w:rPr>
          <w:rFonts w:ascii="Book Antiqua" w:hAnsi="Book Antiqua" w:cs="Arial"/>
          <w:sz w:val="22"/>
        </w:rPr>
        <w:t xml:space="preserve">Section </w:t>
      </w:r>
      <w:r w:rsidR="00AF7C79" w:rsidRPr="00134BD9">
        <w:rPr>
          <w:rFonts w:ascii="Book Antiqua" w:hAnsi="Book Antiqua" w:cs="Arial"/>
          <w:sz w:val="22"/>
        </w:rPr>
        <w:t>117C (</w:t>
      </w:r>
      <w:r w:rsidR="008C2111" w:rsidRPr="00134BD9">
        <w:rPr>
          <w:rFonts w:ascii="Book Antiqua" w:hAnsi="Book Antiqua" w:cs="Arial"/>
          <w:sz w:val="22"/>
        </w:rPr>
        <w:t>2) then provides (I repeat the provision</w:t>
      </w:r>
      <w:r w:rsidR="00C414FE" w:rsidRPr="00134BD9">
        <w:rPr>
          <w:rFonts w:ascii="Book Antiqua" w:hAnsi="Book Antiqua" w:cs="Arial"/>
          <w:sz w:val="22"/>
        </w:rPr>
        <w:t xml:space="preserve"> </w:t>
      </w:r>
      <w:r w:rsidR="008C2111" w:rsidRPr="00134BD9">
        <w:rPr>
          <w:rFonts w:ascii="Book Antiqua" w:hAnsi="Book Antiqua" w:cs="Arial"/>
          <w:sz w:val="22"/>
        </w:rPr>
        <w:t xml:space="preserve">for convenience):  </w:t>
      </w:r>
    </w:p>
    <w:p w:rsidR="008C2111" w:rsidRPr="00134BD9" w:rsidRDefault="008C2111" w:rsidP="00134BD9">
      <w:pPr>
        <w:spacing w:before="120"/>
        <w:ind w:left="2268" w:right="567"/>
        <w:jc w:val="both"/>
        <w:rPr>
          <w:rFonts w:ascii="Book Antiqua" w:hAnsi="Book Antiqua" w:cs="Arial"/>
          <w:sz w:val="22"/>
        </w:rPr>
      </w:pPr>
      <w:r w:rsidRPr="00134BD9">
        <w:rPr>
          <w:rFonts w:ascii="Book Antiqua" w:hAnsi="Book Antiqua" w:cs="Arial"/>
          <w:sz w:val="22"/>
        </w:rPr>
        <w:t xml:space="preserve">‘The more serious the offence committed by a foreign criminal, the greater is the public interest in deportation of the criminal.’    </w:t>
      </w:r>
    </w:p>
    <w:p w:rsidR="008C2111" w:rsidRPr="00134BD9" w:rsidRDefault="00E236BB" w:rsidP="00134BD9">
      <w:pPr>
        <w:spacing w:before="120"/>
        <w:ind w:left="1701" w:right="567" w:hanging="567"/>
        <w:jc w:val="both"/>
        <w:rPr>
          <w:rFonts w:ascii="Book Antiqua" w:hAnsi="Book Antiqua" w:cs="Arial"/>
          <w:sz w:val="22"/>
        </w:rPr>
      </w:pPr>
      <w:r w:rsidRPr="00134BD9">
        <w:rPr>
          <w:rFonts w:ascii="Book Antiqua" w:hAnsi="Book Antiqua" w:cs="Arial"/>
          <w:sz w:val="22"/>
        </w:rPr>
        <w:t>[</w:t>
      </w:r>
      <w:r w:rsidR="008C2111" w:rsidRPr="00134BD9">
        <w:rPr>
          <w:rFonts w:ascii="Book Antiqua" w:hAnsi="Book Antiqua" w:cs="Arial"/>
          <w:sz w:val="22"/>
        </w:rPr>
        <w:t>24</w:t>
      </w:r>
      <w:r w:rsidRPr="00134BD9">
        <w:rPr>
          <w:rFonts w:ascii="Book Antiqua" w:hAnsi="Book Antiqua" w:cs="Arial"/>
          <w:sz w:val="22"/>
        </w:rPr>
        <w:t>]</w:t>
      </w:r>
      <w:r w:rsidR="008C2111" w:rsidRPr="00134BD9">
        <w:rPr>
          <w:rFonts w:ascii="Book Antiqua" w:hAnsi="Book Antiqua" w:cs="Arial"/>
          <w:sz w:val="22"/>
        </w:rPr>
        <w:tab/>
        <w:t>This steer</w:t>
      </w:r>
      <w:r w:rsidR="00C52507" w:rsidRPr="00134BD9">
        <w:rPr>
          <w:rFonts w:ascii="Book Antiqua" w:hAnsi="Book Antiqua" w:cs="Arial"/>
          <w:sz w:val="22"/>
        </w:rPr>
        <w:t xml:space="preserve">ed </w:t>
      </w:r>
      <w:r w:rsidR="008C2111" w:rsidRPr="00134BD9">
        <w:rPr>
          <w:rFonts w:ascii="Book Antiqua" w:hAnsi="Book Antiqua" w:cs="Arial"/>
          <w:sz w:val="22"/>
        </w:rPr>
        <w:t xml:space="preserve">the </w:t>
      </w:r>
      <w:r w:rsidR="000064E8" w:rsidRPr="00134BD9">
        <w:rPr>
          <w:rFonts w:ascii="Book Antiqua" w:hAnsi="Book Antiqua" w:cs="Arial"/>
          <w:sz w:val="22"/>
        </w:rPr>
        <w:t>Tribunal</w:t>
      </w:r>
      <w:r w:rsidR="008C2111" w:rsidRPr="00134BD9">
        <w:rPr>
          <w:rFonts w:ascii="Book Antiqua" w:hAnsi="Book Antiqua" w:cs="Arial"/>
          <w:sz w:val="22"/>
        </w:rPr>
        <w:t xml:space="preserve">s and the court towards proportionate assessment of the criminal’s deportation in any given case.  </w:t>
      </w:r>
      <w:proofErr w:type="gramStart"/>
      <w:r w:rsidR="008C2111" w:rsidRPr="00134BD9">
        <w:rPr>
          <w:rFonts w:ascii="Book Antiqua" w:hAnsi="Book Antiqua" w:cs="Arial"/>
          <w:sz w:val="22"/>
        </w:rPr>
        <w:t>Accordingly</w:t>
      </w:r>
      <w:proofErr w:type="gramEnd"/>
      <w:r w:rsidR="008C2111" w:rsidRPr="00134BD9">
        <w:rPr>
          <w:rFonts w:ascii="Book Antiqua" w:hAnsi="Book Antiqua" w:cs="Arial"/>
          <w:sz w:val="22"/>
        </w:rPr>
        <w:t xml:space="preserve"> the more pressing the public interest in his removal, the harder it will be to show the effect on his child or partner will be unduly harsh</w:t>
      </w:r>
      <w:r w:rsidR="008027BA" w:rsidRPr="00134BD9">
        <w:rPr>
          <w:rFonts w:ascii="Book Antiqua" w:hAnsi="Book Antiqua" w:cs="Arial"/>
          <w:sz w:val="22"/>
        </w:rPr>
        <w:t>.  Any other approach in my judgment dislocates the ‘unduly harsh’ provisions from their context.  It would mean that the question of undue hardship would be decided wholly without regard to the force of the public interest in deportation in the particular case</w:t>
      </w:r>
      <w:r w:rsidR="00926661" w:rsidRPr="00134BD9">
        <w:rPr>
          <w:rFonts w:ascii="Book Antiqua" w:hAnsi="Book Antiqua" w:cs="Arial"/>
          <w:sz w:val="22"/>
        </w:rPr>
        <w:t>.  But in that case the term ‘unduly’ is mistaken for ‘excessive’ which imports a different idea.  What is due or undue depends on all the circumstances, not merely the impact on the child or partner in the given case.  In the present context</w:t>
      </w:r>
      <w:r w:rsidR="00AC2DF0" w:rsidRPr="00134BD9">
        <w:rPr>
          <w:rFonts w:ascii="Book Antiqua" w:hAnsi="Book Antiqua" w:cs="Arial"/>
          <w:sz w:val="22"/>
        </w:rPr>
        <w:t xml:space="preserve"> relevant circumstances could certainly include the criminal’s immigration and criminal history.</w:t>
      </w:r>
      <w:r w:rsidR="008F2F18" w:rsidRPr="00134BD9">
        <w:rPr>
          <w:rFonts w:ascii="Book Antiqua" w:hAnsi="Book Antiqua" w:cs="Arial"/>
          <w:sz w:val="22"/>
        </w:rPr>
        <w:t>”</w:t>
      </w:r>
      <w:r w:rsidR="00AC2DF0" w:rsidRPr="00134BD9">
        <w:rPr>
          <w:rFonts w:ascii="Book Antiqua" w:hAnsi="Book Antiqua" w:cs="Arial"/>
          <w:sz w:val="22"/>
        </w:rPr>
        <w:t xml:space="preserve">  </w:t>
      </w:r>
      <w:r w:rsidR="005733AE" w:rsidRPr="00134BD9">
        <w:rPr>
          <w:rFonts w:ascii="Book Antiqua" w:hAnsi="Book Antiqua" w:cs="Arial"/>
          <w:sz w:val="22"/>
        </w:rPr>
        <w:t xml:space="preserve">  </w:t>
      </w:r>
    </w:p>
    <w:p w:rsidR="003A4159" w:rsidRPr="00264302" w:rsidRDefault="00AC2DF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This decision was followed by the Court of Appeal in </w:t>
      </w:r>
      <w:r w:rsidRPr="00264302">
        <w:rPr>
          <w:rFonts w:ascii="Book Antiqua" w:hAnsi="Book Antiqua" w:cs="Arial"/>
          <w:b/>
          <w:u w:val="single"/>
        </w:rPr>
        <w:t>R (MA (Pakistan)</w:t>
      </w:r>
      <w:r w:rsidR="00E91EFF" w:rsidRPr="00264302">
        <w:rPr>
          <w:rFonts w:ascii="Book Antiqua" w:hAnsi="Book Antiqua" w:cs="Arial"/>
          <w:b/>
          <w:u w:val="single"/>
        </w:rPr>
        <w:t>)</w:t>
      </w:r>
      <w:r w:rsidRPr="00264302">
        <w:rPr>
          <w:rFonts w:ascii="Book Antiqua" w:hAnsi="Book Antiqua" w:cs="Arial"/>
          <w:b/>
          <w:u w:val="single"/>
        </w:rPr>
        <w:t xml:space="preserve"> v SSHD</w:t>
      </w:r>
      <w:r w:rsidRPr="00264302">
        <w:rPr>
          <w:rFonts w:ascii="Book Antiqua" w:hAnsi="Book Antiqua" w:cs="Arial"/>
        </w:rPr>
        <w:t xml:space="preserve"> although Elias LJ with whom King LJ and Sir Stephen Richards agreed, express</w:t>
      </w:r>
      <w:r w:rsidR="00A64638" w:rsidRPr="00264302">
        <w:rPr>
          <w:rFonts w:ascii="Book Antiqua" w:hAnsi="Book Antiqua" w:cs="Arial"/>
        </w:rPr>
        <w:t>ed</w:t>
      </w:r>
      <w:r w:rsidRPr="00264302">
        <w:rPr>
          <w:rFonts w:ascii="Book Antiqua" w:hAnsi="Book Antiqua" w:cs="Arial"/>
        </w:rPr>
        <w:t xml:space="preserve"> some doubts about the introduction of the public interest int</w:t>
      </w:r>
      <w:r w:rsidR="003356D4" w:rsidRPr="00264302">
        <w:rPr>
          <w:rFonts w:ascii="Book Antiqua" w:hAnsi="Book Antiqua" w:cs="Arial"/>
        </w:rPr>
        <w:t xml:space="preserve">o the test of undue harshness.  </w:t>
      </w:r>
    </w:p>
    <w:p w:rsidR="00CE1E75" w:rsidRPr="00264302" w:rsidRDefault="002162F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It is therefore clear from the decision in </w:t>
      </w:r>
      <w:r w:rsidRPr="00264302">
        <w:rPr>
          <w:rFonts w:ascii="Book Antiqua" w:hAnsi="Book Antiqua" w:cs="Arial"/>
          <w:b/>
          <w:u w:val="single"/>
        </w:rPr>
        <w:t>MM</w:t>
      </w:r>
      <w:r w:rsidRPr="00264302">
        <w:rPr>
          <w:rFonts w:ascii="Book Antiqua" w:hAnsi="Book Antiqua" w:cs="Arial"/>
          <w:b/>
        </w:rPr>
        <w:t xml:space="preserve"> (Uganda)</w:t>
      </w:r>
      <w:r w:rsidRPr="00264302">
        <w:rPr>
          <w:rFonts w:ascii="Book Antiqua" w:hAnsi="Book Antiqua" w:cs="Arial"/>
        </w:rPr>
        <w:t xml:space="preserve"> that it is not appropriate to consider the question of </w:t>
      </w:r>
      <w:r w:rsidR="008F2F18" w:rsidRPr="00264302">
        <w:rPr>
          <w:rFonts w:ascii="Book Antiqua" w:hAnsi="Book Antiqua" w:cs="Arial"/>
        </w:rPr>
        <w:t>“</w:t>
      </w:r>
      <w:r w:rsidRPr="00264302">
        <w:rPr>
          <w:rFonts w:ascii="Book Antiqua" w:hAnsi="Book Antiqua" w:cs="Arial"/>
        </w:rPr>
        <w:t>unduly harsh</w:t>
      </w:r>
      <w:r w:rsidR="008F2F18" w:rsidRPr="00264302">
        <w:rPr>
          <w:rFonts w:ascii="Book Antiqua" w:hAnsi="Book Antiqua" w:cs="Arial"/>
        </w:rPr>
        <w:t>”</w:t>
      </w:r>
      <w:r w:rsidRPr="00264302">
        <w:rPr>
          <w:rFonts w:ascii="Book Antiqua" w:hAnsi="Book Antiqua" w:cs="Arial"/>
        </w:rPr>
        <w:t xml:space="preserve"> solely from the perspective of the impact which deportation would be likely to have upon the children or partner involved.</w:t>
      </w:r>
      <w:r w:rsidR="007C6B47" w:rsidRPr="00264302">
        <w:rPr>
          <w:rFonts w:ascii="Book Antiqua" w:hAnsi="Book Antiqua" w:cs="Arial"/>
          <w:b/>
          <w:u w:val="single"/>
        </w:rPr>
        <w:t xml:space="preserve"> </w:t>
      </w:r>
    </w:p>
    <w:p w:rsidR="007E3977"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lastRenderedPageBreak/>
        <w:t xml:space="preserve">When applied to the factual circumstances of the </w:t>
      </w:r>
      <w:r w:rsidR="000064E8" w:rsidRPr="00264302">
        <w:rPr>
          <w:rFonts w:ascii="Book Antiqua" w:hAnsi="Book Antiqua" w:cs="Arial"/>
        </w:rPr>
        <w:t>Appellant</w:t>
      </w:r>
      <w:r w:rsidRPr="00264302">
        <w:rPr>
          <w:rFonts w:ascii="Book Antiqua" w:hAnsi="Book Antiqua" w:cs="Arial"/>
        </w:rPr>
        <w:t>, he</w:t>
      </w:r>
      <w:r w:rsidR="00A64638" w:rsidRPr="00264302">
        <w:rPr>
          <w:rFonts w:ascii="Book Antiqua" w:hAnsi="Book Antiqua" w:cs="Arial"/>
        </w:rPr>
        <w:t xml:space="preserve"> fell within the definition of</w:t>
      </w:r>
      <w:r w:rsidRPr="00264302">
        <w:rPr>
          <w:rFonts w:ascii="Book Antiqua" w:hAnsi="Book Antiqua" w:cs="Arial"/>
        </w:rPr>
        <w:t xml:space="preserve"> a “</w:t>
      </w:r>
      <w:r w:rsidR="007E3977" w:rsidRPr="00264302">
        <w:rPr>
          <w:rFonts w:ascii="Book Antiqua" w:hAnsi="Book Antiqua" w:cs="Arial"/>
        </w:rPr>
        <w:t>foreign criminal</w:t>
      </w:r>
      <w:r w:rsidRPr="00264302">
        <w:rPr>
          <w:rFonts w:ascii="Book Antiqua" w:hAnsi="Book Antiqua" w:cs="Arial"/>
        </w:rPr>
        <w:t>”</w:t>
      </w:r>
      <w:r w:rsidR="007E3977" w:rsidRPr="00264302">
        <w:rPr>
          <w:rFonts w:ascii="Book Antiqua" w:hAnsi="Book Antiqua" w:cs="Arial"/>
        </w:rPr>
        <w:t xml:space="preserve"> who had been sentenced to a </w:t>
      </w:r>
      <w:r w:rsidR="00824C01" w:rsidRPr="00264302">
        <w:rPr>
          <w:rFonts w:ascii="Book Antiqua" w:hAnsi="Book Antiqua" w:cs="Arial"/>
        </w:rPr>
        <w:t>period of imprisonment of 17</w:t>
      </w:r>
      <w:r w:rsidR="007E3977" w:rsidRPr="00264302">
        <w:rPr>
          <w:rFonts w:ascii="Book Antiqua" w:hAnsi="Book Antiqua" w:cs="Arial"/>
        </w:rPr>
        <w:t xml:space="preserve"> months and thus the issue was whether he fell within </w:t>
      </w:r>
      <w:r w:rsidR="0065162B" w:rsidRPr="00264302">
        <w:rPr>
          <w:rFonts w:ascii="Book Antiqua" w:hAnsi="Book Antiqua" w:cs="Arial"/>
        </w:rPr>
        <w:t>Exception</w:t>
      </w:r>
      <w:r w:rsidR="007E3977" w:rsidRPr="00264302">
        <w:rPr>
          <w:rFonts w:ascii="Book Antiqua" w:hAnsi="Book Antiqua" w:cs="Arial"/>
        </w:rPr>
        <w:t xml:space="preserve">s 1 and 2 (see Section </w:t>
      </w:r>
      <w:r w:rsidR="00AF7C79" w:rsidRPr="00264302">
        <w:rPr>
          <w:rFonts w:ascii="Book Antiqua" w:hAnsi="Book Antiqua" w:cs="Arial"/>
        </w:rPr>
        <w:t>117C (</w:t>
      </w:r>
      <w:r w:rsidR="007E3977" w:rsidRPr="00264302">
        <w:rPr>
          <w:rFonts w:ascii="Book Antiqua" w:hAnsi="Book Antiqua" w:cs="Arial"/>
        </w:rPr>
        <w:t xml:space="preserve">5) and paragraph 399(a) or (b)) and if so, whether his </w:t>
      </w:r>
      <w:r w:rsidR="000064E8" w:rsidRPr="00264302">
        <w:rPr>
          <w:rFonts w:ascii="Book Antiqua" w:hAnsi="Book Antiqua" w:cs="Arial"/>
        </w:rPr>
        <w:t>Article</w:t>
      </w:r>
      <w:r w:rsidR="007E3977" w:rsidRPr="00264302">
        <w:rPr>
          <w:rFonts w:ascii="Book Antiqua" w:hAnsi="Book Antiqua" w:cs="Arial"/>
        </w:rPr>
        <w:t xml:space="preserve"> 8 claim succeeded.  This is in line with the decision of the Supreme Court in </w:t>
      </w:r>
      <w:r w:rsidR="007E3977" w:rsidRPr="00264302">
        <w:rPr>
          <w:rFonts w:ascii="Book Antiqua" w:hAnsi="Book Antiqua" w:cs="Arial"/>
          <w:b/>
          <w:u w:val="single"/>
        </w:rPr>
        <w:t>Hesham Ali (Iraq) v the SSHD</w:t>
      </w:r>
      <w:r w:rsidR="007E3977" w:rsidRPr="00264302">
        <w:rPr>
          <w:rFonts w:ascii="Book Antiqua" w:hAnsi="Book Antiqua" w:cs="Arial"/>
          <w:b/>
        </w:rPr>
        <w:t xml:space="preserve"> [2016] UKSC 60</w:t>
      </w:r>
      <w:r w:rsidR="007E3977" w:rsidRPr="00264302">
        <w:rPr>
          <w:rFonts w:ascii="Book Antiqua" w:hAnsi="Book Antiqua" w:cs="Arial"/>
        </w:rPr>
        <w:t xml:space="preserve"> at [38] where Lord Reed said </w:t>
      </w:r>
      <w:proofErr w:type="gramStart"/>
      <w:r w:rsidR="007E3977" w:rsidRPr="00264302">
        <w:rPr>
          <w:rFonts w:ascii="Book Antiqua" w:hAnsi="Book Antiqua" w:cs="Arial"/>
        </w:rPr>
        <w:t>this:-</w:t>
      </w:r>
      <w:proofErr w:type="gramEnd"/>
      <w:r w:rsidR="007E3977" w:rsidRPr="00264302">
        <w:rPr>
          <w:rFonts w:ascii="Book Antiqua" w:hAnsi="Book Antiqua" w:cs="Arial"/>
        </w:rPr>
        <w:t xml:space="preserve">  </w:t>
      </w:r>
    </w:p>
    <w:p w:rsidR="007E3977" w:rsidRPr="00134BD9" w:rsidRDefault="007E3977" w:rsidP="00134BD9">
      <w:pPr>
        <w:spacing w:before="120"/>
        <w:ind w:left="1701" w:right="567" w:hanging="567"/>
        <w:jc w:val="both"/>
        <w:rPr>
          <w:rFonts w:ascii="Book Antiqua" w:hAnsi="Book Antiqua"/>
          <w:sz w:val="22"/>
        </w:rPr>
      </w:pPr>
      <w:r w:rsidRPr="00134BD9">
        <w:rPr>
          <w:rFonts w:ascii="Book Antiqua" w:hAnsi="Book Antiqua" w:cs="Arial"/>
          <w:sz w:val="22"/>
        </w:rPr>
        <w:t>“[</w:t>
      </w:r>
      <w:r w:rsidRPr="00134BD9">
        <w:rPr>
          <w:rFonts w:ascii="Book Antiqua" w:hAnsi="Book Antiqua"/>
          <w:sz w:val="22"/>
        </w:rPr>
        <w:t>38]</w:t>
      </w:r>
      <w:r w:rsidRPr="00134BD9">
        <w:rPr>
          <w:rFonts w:ascii="Book Antiqua" w:hAnsi="Book Antiqua"/>
          <w:sz w:val="22"/>
        </w:rPr>
        <w:tab/>
        <w:t xml:space="preserve">The implication of the new Rules is Rules 399 and 399A identify particular categories of case in which the Secretary of State accepts that the public interest in the deportation of the offender is outweighed under </w:t>
      </w:r>
      <w:r w:rsidR="000064E8" w:rsidRPr="00134BD9">
        <w:rPr>
          <w:rFonts w:ascii="Book Antiqua" w:hAnsi="Book Antiqua"/>
          <w:sz w:val="22"/>
        </w:rPr>
        <w:t>Article</w:t>
      </w:r>
      <w:r w:rsidRPr="00134BD9">
        <w:rPr>
          <w:rFonts w:ascii="Book Antiqua" w:hAnsi="Book Antiqua"/>
          <w:sz w:val="22"/>
        </w:rPr>
        <w:t xml:space="preserve"> 8 by countervailing factors.  Cases not covered by those Rules (that is to say, foreign offenders who have received sentences of at least four years, or who have received sentences of between twelve months and four years but whose private or family life does not meet the requirements of Rules 399 and 399A) will be dealt with on the basis that great weight should generally be given to the public interest in the deportation of such offenders, but that it can be outweighed, applying a proportionality test, by very compelling circumstances; in other words, by a very strong claim indeed, as Laws LJ put it in </w:t>
      </w:r>
      <w:r w:rsidRPr="00134BD9">
        <w:rPr>
          <w:rFonts w:ascii="Book Antiqua" w:hAnsi="Book Antiqua"/>
          <w:b/>
          <w:iCs/>
          <w:sz w:val="22"/>
          <w:u w:val="single"/>
        </w:rPr>
        <w:t>SS</w:t>
      </w:r>
      <w:r w:rsidRPr="00134BD9">
        <w:rPr>
          <w:rFonts w:ascii="Book Antiqua" w:hAnsi="Book Antiqua"/>
          <w:b/>
          <w:iCs/>
          <w:sz w:val="22"/>
        </w:rPr>
        <w:t xml:space="preserve"> (Nigeria)</w:t>
      </w:r>
      <w:r w:rsidRPr="00134BD9">
        <w:rPr>
          <w:rFonts w:ascii="Book Antiqua" w:hAnsi="Book Antiqua"/>
          <w:sz w:val="22"/>
        </w:rPr>
        <w:t xml:space="preserve">.  The countervailing considerations must be very compelling in order to outweigh the general public interest in the deportation of such offenders, as assessed by parliament and the Secretary of State.  The Strasbourg jurisprudence indicates relevant factors to consider, and Rules 399 and 399A provide an indication of the sort of matters which the Secretary of State regards as very compelling.  As explained at paragraph [26] above, they can include factors bearing on the weight of the public interest in the deportation of the particular offender, such as his conduct since the offence was committed, as well as factors relating to his private or family life.  …”.    </w:t>
      </w:r>
    </w:p>
    <w:p w:rsidR="00633FD7" w:rsidRPr="00264302" w:rsidRDefault="00C80BCF"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As to the </w:t>
      </w:r>
      <w:r w:rsidR="000064E8" w:rsidRPr="00264302">
        <w:rPr>
          <w:rFonts w:ascii="Book Antiqua" w:hAnsi="Book Antiqua" w:cs="Arial"/>
        </w:rPr>
        <w:t>Appellant</w:t>
      </w:r>
      <w:r w:rsidR="00824C01" w:rsidRPr="00264302">
        <w:rPr>
          <w:rFonts w:ascii="Book Antiqua" w:hAnsi="Book Antiqua" w:cs="Arial"/>
        </w:rPr>
        <w:t xml:space="preserve"> circumstances, it should have been recognised</w:t>
      </w:r>
      <w:r w:rsidRPr="00264302">
        <w:rPr>
          <w:rFonts w:ascii="Book Antiqua" w:hAnsi="Book Antiqua" w:cs="Arial"/>
        </w:rPr>
        <w:t xml:space="preserve"> that</w:t>
      </w:r>
      <w:r w:rsidR="00824C01" w:rsidRPr="00264302">
        <w:rPr>
          <w:rFonts w:ascii="Book Antiqua" w:hAnsi="Book Antiqua" w:cs="Arial"/>
        </w:rPr>
        <w:t xml:space="preserve"> by reason of his sentence of 17</w:t>
      </w:r>
      <w:r w:rsidRPr="00264302">
        <w:rPr>
          <w:rFonts w:ascii="Book Antiqua" w:hAnsi="Book Antiqua" w:cs="Arial"/>
        </w:rPr>
        <w:t xml:space="preserve"> months imprisonment he fell into the category described as “medium o</w:t>
      </w:r>
      <w:r w:rsidR="00824C01" w:rsidRPr="00264302">
        <w:rPr>
          <w:rFonts w:ascii="Book Antiqua" w:hAnsi="Book Antiqua" w:cs="Arial"/>
        </w:rPr>
        <w:t>ffender” and to properly identify</w:t>
      </w:r>
      <w:r w:rsidRPr="00264302">
        <w:rPr>
          <w:rFonts w:ascii="Book Antiqua" w:hAnsi="Book Antiqua" w:cs="Arial"/>
        </w:rPr>
        <w:t xml:space="preserve"> that consideration should be given as to whether he fell within </w:t>
      </w:r>
      <w:r w:rsidR="0065162B" w:rsidRPr="00264302">
        <w:rPr>
          <w:rFonts w:ascii="Book Antiqua" w:hAnsi="Book Antiqua" w:cs="Arial"/>
        </w:rPr>
        <w:t>Exception</w:t>
      </w:r>
      <w:r w:rsidRPr="00264302">
        <w:rPr>
          <w:rFonts w:ascii="Book Antiqua" w:hAnsi="Book Antiqua" w:cs="Arial"/>
        </w:rPr>
        <w:t xml:space="preserve"> 1 or 2 of </w:t>
      </w:r>
      <w:r w:rsidR="00A35DC0" w:rsidRPr="00264302">
        <w:rPr>
          <w:rFonts w:ascii="Book Antiqua" w:hAnsi="Book Antiqua" w:cs="Arial"/>
        </w:rPr>
        <w:t>S117 (</w:t>
      </w:r>
      <w:r w:rsidRPr="00264302">
        <w:rPr>
          <w:rFonts w:ascii="Book Antiqua" w:hAnsi="Book Antiqua" w:cs="Arial"/>
        </w:rPr>
        <w:t>5</w:t>
      </w:r>
      <w:r w:rsidR="00A35DC0" w:rsidRPr="00264302">
        <w:rPr>
          <w:rFonts w:ascii="Book Antiqua" w:hAnsi="Book Antiqua" w:cs="Arial"/>
        </w:rPr>
        <w:t>) C</w:t>
      </w:r>
      <w:r w:rsidRPr="00264302">
        <w:rPr>
          <w:rFonts w:ascii="Book Antiqua" w:hAnsi="Book Antiqua" w:cs="Arial"/>
        </w:rPr>
        <w:t xml:space="preserve"> of the 2002 Act, and if he did, the appeal succeeded. If not, the next stage was to consider whether there were very compelling circumstances over above those which are set out in </w:t>
      </w:r>
      <w:r w:rsidR="0065162B" w:rsidRPr="00264302">
        <w:rPr>
          <w:rFonts w:ascii="Book Antiqua" w:hAnsi="Book Antiqua" w:cs="Arial"/>
        </w:rPr>
        <w:t>Exception</w:t>
      </w:r>
      <w:r w:rsidR="00824C01" w:rsidRPr="00264302">
        <w:rPr>
          <w:rFonts w:ascii="Book Antiqua" w:hAnsi="Book Antiqua" w:cs="Arial"/>
        </w:rPr>
        <w:t>s 1 and 2.</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 now consider the determination of the FtTJ. He sat out the </w:t>
      </w:r>
      <w:r w:rsidR="000064E8" w:rsidRPr="00264302">
        <w:rPr>
          <w:rFonts w:ascii="Book Antiqua" w:hAnsi="Book Antiqua" w:cs="Arial"/>
        </w:rPr>
        <w:t>Respondent</w:t>
      </w:r>
      <w:r w:rsidRPr="00264302">
        <w:rPr>
          <w:rFonts w:ascii="Book Antiqua" w:hAnsi="Book Antiqua" w:cs="Arial"/>
        </w:rPr>
        <w:t xml:space="preserve">’s position which was recorded in the decision letter at [22] in relation to the children and at [23] the judge recorded the </w:t>
      </w:r>
      <w:r w:rsidR="000064E8" w:rsidRPr="00264302">
        <w:rPr>
          <w:rFonts w:ascii="Book Antiqua" w:hAnsi="Book Antiqua" w:cs="Arial"/>
        </w:rPr>
        <w:t>Respondent</w:t>
      </w:r>
      <w:r w:rsidRPr="00264302">
        <w:rPr>
          <w:rFonts w:ascii="Book Antiqua" w:hAnsi="Book Antiqua" w:cs="Arial"/>
        </w:rPr>
        <w:t xml:space="preserve">s position in respect of the </w:t>
      </w:r>
      <w:r w:rsidR="000064E8" w:rsidRPr="00264302">
        <w:rPr>
          <w:rFonts w:ascii="Book Antiqua" w:hAnsi="Book Antiqua" w:cs="Arial"/>
        </w:rPr>
        <w:t>Appellant’s</w:t>
      </w:r>
      <w:r w:rsidRPr="00264302">
        <w:rPr>
          <w:rFonts w:ascii="Book Antiqua" w:hAnsi="Book Antiqua" w:cs="Arial"/>
        </w:rPr>
        <w:t xml:space="preserve"> partner. It was noted that “she had said in a witness sta</w:t>
      </w:r>
      <w:r w:rsidR="00A35DC0" w:rsidRPr="00264302">
        <w:rPr>
          <w:rFonts w:ascii="Book Antiqua" w:hAnsi="Book Antiqua" w:cs="Arial"/>
        </w:rPr>
        <w:t xml:space="preserve">tement that the </w:t>
      </w:r>
      <w:proofErr w:type="gramStart"/>
      <w:r w:rsidR="00A35DC0" w:rsidRPr="00264302">
        <w:rPr>
          <w:rFonts w:ascii="Book Antiqua" w:hAnsi="Book Antiqua" w:cs="Arial"/>
        </w:rPr>
        <w:t>parties</w:t>
      </w:r>
      <w:proofErr w:type="gramEnd"/>
      <w:r w:rsidR="00A35DC0" w:rsidRPr="00264302">
        <w:rPr>
          <w:rFonts w:ascii="Book Antiqua" w:hAnsi="Book Antiqua" w:cs="Arial"/>
        </w:rPr>
        <w:t xml:space="preserve"> relationship began in</w:t>
      </w:r>
      <w:r w:rsidRPr="00264302">
        <w:rPr>
          <w:rFonts w:ascii="Book Antiqua" w:hAnsi="Book Antiqua" w:cs="Arial"/>
        </w:rPr>
        <w:t xml:space="preserve"> 2006, at a time when the </w:t>
      </w:r>
      <w:r w:rsidR="000064E8" w:rsidRPr="00264302">
        <w:rPr>
          <w:rFonts w:ascii="Book Antiqua" w:hAnsi="Book Antiqua" w:cs="Arial"/>
        </w:rPr>
        <w:t>Appellant</w:t>
      </w:r>
      <w:r w:rsidRPr="00264302">
        <w:rPr>
          <w:rFonts w:ascii="Book Antiqua" w:hAnsi="Book Antiqua" w:cs="Arial"/>
        </w:rPr>
        <w:t xml:space="preserve"> had no lawful right in the country…. The relationship was not formed whilst the </w:t>
      </w:r>
      <w:r w:rsidR="000064E8" w:rsidRPr="00264302">
        <w:rPr>
          <w:rFonts w:ascii="Book Antiqua" w:hAnsi="Book Antiqua" w:cs="Arial"/>
        </w:rPr>
        <w:t>Appellant</w:t>
      </w:r>
      <w:r w:rsidRPr="00264302">
        <w:rPr>
          <w:rFonts w:ascii="Book Antiqua" w:hAnsi="Book Antiqua" w:cs="Arial"/>
        </w:rPr>
        <w:t xml:space="preserve"> was in the United Kingdom lawfully whilst there had been a letter in support, there was no evidence of cohabitation or financial support. Overall it was not accepted that the </w:t>
      </w:r>
      <w:r w:rsidR="000064E8" w:rsidRPr="00264302">
        <w:rPr>
          <w:rFonts w:ascii="Book Antiqua" w:hAnsi="Book Antiqua" w:cs="Arial"/>
        </w:rPr>
        <w:t>Appellant</w:t>
      </w:r>
      <w:r w:rsidRPr="00264302">
        <w:rPr>
          <w:rFonts w:ascii="Book Antiqua" w:hAnsi="Book Antiqua" w:cs="Arial"/>
        </w:rPr>
        <w:t xml:space="preserve"> met the requirements of the exception to deportation on the basis of family life with a partner.”</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The judge’s findings on the issue were set out at paragraphs [55 – 57] as follows:</w:t>
      </w:r>
    </w:p>
    <w:p w:rsidR="00F421B9" w:rsidRPr="00134BD9" w:rsidRDefault="00F421B9" w:rsidP="00134BD9">
      <w:pPr>
        <w:tabs>
          <w:tab w:val="left" w:pos="1701"/>
        </w:tabs>
        <w:spacing w:before="120"/>
        <w:ind w:left="1134" w:right="567"/>
        <w:jc w:val="both"/>
        <w:rPr>
          <w:rFonts w:ascii="Book Antiqua" w:hAnsi="Book Antiqua" w:cs="Arial"/>
          <w:sz w:val="22"/>
        </w:rPr>
      </w:pPr>
      <w:r w:rsidRPr="00134BD9">
        <w:rPr>
          <w:rFonts w:ascii="Book Antiqua" w:hAnsi="Book Antiqua" w:cs="Arial"/>
          <w:sz w:val="22"/>
        </w:rPr>
        <w:t>“55.</w:t>
      </w:r>
      <w:r w:rsidR="00134BD9">
        <w:rPr>
          <w:rFonts w:ascii="Book Antiqua" w:hAnsi="Book Antiqua" w:cs="Arial"/>
          <w:sz w:val="22"/>
        </w:rPr>
        <w:tab/>
      </w:r>
      <w:r w:rsidRPr="00134BD9">
        <w:rPr>
          <w:rFonts w:ascii="Book Antiqua" w:hAnsi="Book Antiqua" w:cs="Arial"/>
          <w:sz w:val="22"/>
        </w:rPr>
        <w:t xml:space="preserve">I next consider the question of the relationship of the </w:t>
      </w:r>
      <w:r w:rsidR="000064E8" w:rsidRPr="00134BD9">
        <w:rPr>
          <w:rFonts w:ascii="Book Antiqua" w:hAnsi="Book Antiqua" w:cs="Arial"/>
          <w:sz w:val="22"/>
        </w:rPr>
        <w:t>Appellant</w:t>
      </w:r>
      <w:r w:rsidRPr="00134BD9">
        <w:rPr>
          <w:rFonts w:ascii="Book Antiqua" w:hAnsi="Book Antiqua" w:cs="Arial"/>
          <w:sz w:val="22"/>
        </w:rPr>
        <w:t xml:space="preserve"> to his wife. It is quite clear that both the </w:t>
      </w:r>
      <w:r w:rsidR="000064E8" w:rsidRPr="00134BD9">
        <w:rPr>
          <w:rFonts w:ascii="Book Antiqua" w:hAnsi="Book Antiqua" w:cs="Arial"/>
          <w:sz w:val="22"/>
        </w:rPr>
        <w:t>Appellant</w:t>
      </w:r>
      <w:r w:rsidRPr="00134BD9">
        <w:rPr>
          <w:rFonts w:ascii="Book Antiqua" w:hAnsi="Book Antiqua" w:cs="Arial"/>
          <w:sz w:val="22"/>
        </w:rPr>
        <w:t xml:space="preserve"> and his wife were aware of the concerns of the </w:t>
      </w:r>
      <w:r w:rsidR="000064E8" w:rsidRPr="00134BD9">
        <w:rPr>
          <w:rFonts w:ascii="Book Antiqua" w:hAnsi="Book Antiqua" w:cs="Arial"/>
          <w:sz w:val="22"/>
        </w:rPr>
        <w:t>Respondent</w:t>
      </w:r>
      <w:r w:rsidRPr="00134BD9">
        <w:rPr>
          <w:rFonts w:ascii="Book Antiqua" w:hAnsi="Book Antiqua" w:cs="Arial"/>
          <w:sz w:val="22"/>
        </w:rPr>
        <w:t xml:space="preserve"> about the lack of evidence of cohabitation. Indeed, the reasons for refusal letter pointed to the lack of evidence, particularly before the incarceration </w:t>
      </w:r>
      <w:r w:rsidRPr="00134BD9">
        <w:rPr>
          <w:rFonts w:ascii="Book Antiqua" w:hAnsi="Book Antiqua" w:cs="Arial"/>
          <w:sz w:val="22"/>
        </w:rPr>
        <w:lastRenderedPageBreak/>
        <w:t xml:space="preserve">of the </w:t>
      </w:r>
      <w:r w:rsidR="000064E8" w:rsidRPr="00134BD9">
        <w:rPr>
          <w:rFonts w:ascii="Book Antiqua" w:hAnsi="Book Antiqua" w:cs="Arial"/>
          <w:sz w:val="22"/>
        </w:rPr>
        <w:t>Appellant</w:t>
      </w:r>
      <w:r w:rsidRPr="00134BD9">
        <w:rPr>
          <w:rFonts w:ascii="Book Antiqua" w:hAnsi="Book Antiqua" w:cs="Arial"/>
          <w:sz w:val="22"/>
        </w:rPr>
        <w:t>. The only evidence, it was agreed, had been produced was a letter from the NHS and one water rates account.</w:t>
      </w:r>
    </w:p>
    <w:p w:rsidR="00F421B9" w:rsidRPr="00134BD9" w:rsidRDefault="00134BD9" w:rsidP="00134BD9">
      <w:pPr>
        <w:tabs>
          <w:tab w:val="left" w:pos="1701"/>
        </w:tabs>
        <w:spacing w:before="120"/>
        <w:ind w:left="1134" w:right="567"/>
        <w:jc w:val="both"/>
        <w:rPr>
          <w:rFonts w:ascii="Book Antiqua" w:hAnsi="Book Antiqua" w:cs="Arial"/>
          <w:sz w:val="22"/>
        </w:rPr>
      </w:pPr>
      <w:r>
        <w:rPr>
          <w:rFonts w:ascii="Book Antiqua" w:hAnsi="Book Antiqua" w:cs="Arial"/>
          <w:sz w:val="22"/>
        </w:rPr>
        <w:t>56.</w:t>
      </w:r>
      <w:r>
        <w:rPr>
          <w:rFonts w:ascii="Book Antiqua" w:hAnsi="Book Antiqua" w:cs="Arial"/>
          <w:sz w:val="22"/>
        </w:rPr>
        <w:tab/>
      </w:r>
      <w:r w:rsidR="00F421B9" w:rsidRPr="00134BD9">
        <w:rPr>
          <w:rFonts w:ascii="Book Antiqua" w:hAnsi="Book Antiqua" w:cs="Arial"/>
          <w:sz w:val="22"/>
        </w:rPr>
        <w:t xml:space="preserve">Of significance is the relationship of the </w:t>
      </w:r>
      <w:r w:rsidR="000064E8" w:rsidRPr="00134BD9">
        <w:rPr>
          <w:rFonts w:ascii="Book Antiqua" w:hAnsi="Book Antiqua" w:cs="Arial"/>
          <w:sz w:val="22"/>
        </w:rPr>
        <w:t>Appellant</w:t>
      </w:r>
      <w:r w:rsidR="00F421B9" w:rsidRPr="00134BD9">
        <w:rPr>
          <w:rFonts w:ascii="Book Antiqua" w:hAnsi="Book Antiqua" w:cs="Arial"/>
          <w:sz w:val="22"/>
        </w:rPr>
        <w:t xml:space="preserve">, and indeed his wife, to the wife’s family. In a witness statement she said that she had been disowned by her parents and immediate family including her. Brothers and sisters because of the marriage to the </w:t>
      </w:r>
      <w:r w:rsidR="000064E8" w:rsidRPr="00134BD9">
        <w:rPr>
          <w:rFonts w:ascii="Book Antiqua" w:hAnsi="Book Antiqua" w:cs="Arial"/>
          <w:sz w:val="22"/>
        </w:rPr>
        <w:t>Appellant</w:t>
      </w:r>
      <w:r w:rsidR="00F421B9" w:rsidRPr="00134BD9">
        <w:rPr>
          <w:rFonts w:ascii="Book Antiqua" w:hAnsi="Book Antiqua" w:cs="Arial"/>
          <w:sz w:val="22"/>
        </w:rPr>
        <w:t xml:space="preserve">…. The </w:t>
      </w:r>
      <w:r w:rsidR="000064E8" w:rsidRPr="00134BD9">
        <w:rPr>
          <w:rFonts w:ascii="Book Antiqua" w:hAnsi="Book Antiqua" w:cs="Arial"/>
          <w:sz w:val="22"/>
        </w:rPr>
        <w:t>Appellant</w:t>
      </w:r>
      <w:r w:rsidR="00F421B9" w:rsidRPr="00134BD9">
        <w:rPr>
          <w:rFonts w:ascii="Book Antiqua" w:hAnsi="Book Antiqua" w:cs="Arial"/>
          <w:sz w:val="22"/>
        </w:rPr>
        <w:t xml:space="preserve"> was asked about the relationship and, as far as new, the situation got better and, indeed he said that they lived in xxxxx and he had been there many times. The wife said in her evidence in chief that things were improved between herself and her parents she had started talking to her mother, contact by phone. When it was put to her that in fact a husband said that he had been to see her parents at their home in xxxxxx, she agreed that yes there had been a change in they had gone recently. I do not find it credible that there should have been such a change in the wife’s evidence and I find that much of the evidence has been tailored for the purposes of this case. </w:t>
      </w:r>
      <w:proofErr w:type="gramStart"/>
      <w:r w:rsidR="00F421B9" w:rsidRPr="00134BD9">
        <w:rPr>
          <w:rFonts w:ascii="Book Antiqua" w:hAnsi="Book Antiqua" w:cs="Arial"/>
          <w:sz w:val="22"/>
        </w:rPr>
        <w:t>Certainly</w:t>
      </w:r>
      <w:proofErr w:type="gramEnd"/>
      <w:r w:rsidR="00F421B9" w:rsidRPr="00134BD9">
        <w:rPr>
          <w:rFonts w:ascii="Book Antiqua" w:hAnsi="Book Antiqua" w:cs="Arial"/>
          <w:sz w:val="22"/>
        </w:rPr>
        <w:t xml:space="preserve"> as far as the current situation is concerned, there is no evidence, has been mentioned by the </w:t>
      </w:r>
      <w:r w:rsidR="000064E8" w:rsidRPr="00134BD9">
        <w:rPr>
          <w:rFonts w:ascii="Book Antiqua" w:hAnsi="Book Antiqua" w:cs="Arial"/>
          <w:sz w:val="22"/>
        </w:rPr>
        <w:t>Respondent</w:t>
      </w:r>
      <w:r w:rsidR="00F421B9" w:rsidRPr="00134BD9">
        <w:rPr>
          <w:rFonts w:ascii="Book Antiqua" w:hAnsi="Book Antiqua" w:cs="Arial"/>
          <w:sz w:val="22"/>
        </w:rPr>
        <w:t xml:space="preserve"> in his letter, of any cohabitation, nor indeed, any evidence of any financial support the </w:t>
      </w:r>
      <w:r w:rsidR="000064E8" w:rsidRPr="00134BD9">
        <w:rPr>
          <w:rFonts w:ascii="Book Antiqua" w:hAnsi="Book Antiqua" w:cs="Arial"/>
          <w:sz w:val="22"/>
        </w:rPr>
        <w:t>Appellant</w:t>
      </w:r>
      <w:r w:rsidR="00A35DC0" w:rsidRPr="00134BD9">
        <w:rPr>
          <w:rFonts w:ascii="Book Antiqua" w:hAnsi="Book Antiqua" w:cs="Arial"/>
          <w:sz w:val="22"/>
        </w:rPr>
        <w:t xml:space="preserve"> might have</w:t>
      </w:r>
      <w:r w:rsidR="00F421B9" w:rsidRPr="00134BD9">
        <w:rPr>
          <w:rFonts w:ascii="Book Antiqua" w:hAnsi="Book Antiqua" w:cs="Arial"/>
          <w:sz w:val="22"/>
        </w:rPr>
        <w:t xml:space="preserve"> given to the wife, although I note in the wife’s letter that the </w:t>
      </w:r>
      <w:r w:rsidR="000064E8" w:rsidRPr="00134BD9">
        <w:rPr>
          <w:rFonts w:ascii="Book Antiqua" w:hAnsi="Book Antiqua" w:cs="Arial"/>
          <w:sz w:val="22"/>
        </w:rPr>
        <w:t>Appellant</w:t>
      </w:r>
      <w:r w:rsidR="00F421B9" w:rsidRPr="00134BD9">
        <w:rPr>
          <w:rFonts w:ascii="Book Antiqua" w:hAnsi="Book Antiqua" w:cs="Arial"/>
          <w:sz w:val="22"/>
        </w:rPr>
        <w:t xml:space="preserve"> used to work in a xxxx, then worked in a shop before his imprisonment and with that money used to provide for her and her family. There is, however, no evidence of financial support after his release from incarceration.</w:t>
      </w:r>
    </w:p>
    <w:p w:rsidR="00F421B9" w:rsidRPr="00134BD9" w:rsidRDefault="00F421B9" w:rsidP="00134BD9">
      <w:pPr>
        <w:tabs>
          <w:tab w:val="left" w:pos="1701"/>
        </w:tabs>
        <w:spacing w:before="120"/>
        <w:ind w:left="1134" w:right="567"/>
        <w:jc w:val="both"/>
        <w:rPr>
          <w:rFonts w:ascii="Book Antiqua" w:hAnsi="Book Antiqua" w:cs="Arial"/>
          <w:sz w:val="22"/>
        </w:rPr>
      </w:pPr>
      <w:r w:rsidRPr="00134BD9">
        <w:rPr>
          <w:rFonts w:ascii="Book Antiqua" w:hAnsi="Book Antiqua" w:cs="Arial"/>
          <w:sz w:val="22"/>
        </w:rPr>
        <w:t>57.</w:t>
      </w:r>
      <w:r w:rsidR="00134BD9">
        <w:rPr>
          <w:rFonts w:ascii="Book Antiqua" w:hAnsi="Book Antiqua" w:cs="Arial"/>
          <w:sz w:val="22"/>
        </w:rPr>
        <w:tab/>
      </w:r>
      <w:r w:rsidRPr="00134BD9">
        <w:rPr>
          <w:rFonts w:ascii="Book Antiqua" w:hAnsi="Book Antiqua" w:cs="Arial"/>
          <w:sz w:val="22"/>
        </w:rPr>
        <w:t xml:space="preserve">The </w:t>
      </w:r>
      <w:r w:rsidR="000064E8" w:rsidRPr="00134BD9">
        <w:rPr>
          <w:rFonts w:ascii="Book Antiqua" w:hAnsi="Book Antiqua" w:cs="Arial"/>
          <w:sz w:val="22"/>
        </w:rPr>
        <w:t>Respondent</w:t>
      </w:r>
      <w:r w:rsidRPr="00134BD9">
        <w:rPr>
          <w:rFonts w:ascii="Book Antiqua" w:hAnsi="Book Antiqua" w:cs="Arial"/>
          <w:sz w:val="22"/>
        </w:rPr>
        <w:t xml:space="preserve"> did, however except that there was a relationship between the </w:t>
      </w:r>
      <w:r w:rsidR="000064E8" w:rsidRPr="00134BD9">
        <w:rPr>
          <w:rFonts w:ascii="Book Antiqua" w:hAnsi="Book Antiqua" w:cs="Arial"/>
          <w:sz w:val="22"/>
        </w:rPr>
        <w:t>Appellant</w:t>
      </w:r>
      <w:r w:rsidRPr="00134BD9">
        <w:rPr>
          <w:rFonts w:ascii="Book Antiqua" w:hAnsi="Book Antiqua" w:cs="Arial"/>
          <w:sz w:val="22"/>
        </w:rPr>
        <w:t xml:space="preserve"> and his child and the young stepchild, and I have noted the letters in support of the </w:t>
      </w:r>
      <w:r w:rsidR="000064E8" w:rsidRPr="00134BD9">
        <w:rPr>
          <w:rFonts w:ascii="Book Antiqua" w:hAnsi="Book Antiqua" w:cs="Arial"/>
          <w:sz w:val="22"/>
        </w:rPr>
        <w:t>Appellant</w:t>
      </w:r>
      <w:r w:rsidR="00C842C7" w:rsidRPr="00134BD9">
        <w:rPr>
          <w:rFonts w:ascii="Book Antiqua" w:hAnsi="Book Antiqua" w:cs="Arial"/>
          <w:sz w:val="22"/>
        </w:rPr>
        <w:t xml:space="preserve"> furnished by three</w:t>
      </w:r>
      <w:r w:rsidRPr="00134BD9">
        <w:rPr>
          <w:rFonts w:ascii="Book Antiqua" w:hAnsi="Book Antiqua" w:cs="Arial"/>
          <w:sz w:val="22"/>
        </w:rPr>
        <w:t xml:space="preserve"> of the children, letters of 28 August 2016 and which, undoubtedly, the </w:t>
      </w:r>
      <w:r w:rsidR="000064E8" w:rsidRPr="00134BD9">
        <w:rPr>
          <w:rFonts w:ascii="Book Antiqua" w:hAnsi="Book Antiqua" w:cs="Arial"/>
          <w:sz w:val="22"/>
        </w:rPr>
        <w:t>Respondent</w:t>
      </w:r>
      <w:r w:rsidRPr="00134BD9">
        <w:rPr>
          <w:rFonts w:ascii="Book Antiqua" w:hAnsi="Book Antiqua" w:cs="Arial"/>
          <w:sz w:val="22"/>
        </w:rPr>
        <w:t xml:space="preserve"> must apply some weight.”</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He returned to the issue of </w:t>
      </w:r>
      <w:r w:rsidR="000064E8" w:rsidRPr="00264302">
        <w:rPr>
          <w:rFonts w:ascii="Book Antiqua" w:hAnsi="Book Antiqua" w:cs="Arial"/>
        </w:rPr>
        <w:t>Article</w:t>
      </w:r>
      <w:r w:rsidRPr="00264302">
        <w:rPr>
          <w:rFonts w:ascii="Book Antiqua" w:hAnsi="Book Antiqua" w:cs="Arial"/>
        </w:rPr>
        <w:t xml:space="preserve"> 8 at [66] and the submission that the offence that he had committed was at the “lower end of the scale”. The judge set out the sentencing remarks of the Crown Court judge in which he had described the offence. The judge did observe that the trial judge had accepted there were some mitigating factors which the judge said he had borne in mind.</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He then set out at [67] the </w:t>
      </w:r>
      <w:r w:rsidR="000064E8" w:rsidRPr="00264302">
        <w:rPr>
          <w:rFonts w:ascii="Book Antiqua" w:hAnsi="Book Antiqua" w:cs="Arial"/>
        </w:rPr>
        <w:t>Appellant’s</w:t>
      </w:r>
      <w:r w:rsidRPr="00264302">
        <w:rPr>
          <w:rFonts w:ascii="Book Antiqua" w:hAnsi="Book Antiqua" w:cs="Arial"/>
        </w:rPr>
        <w:t xml:space="preserve"> reliance on </w:t>
      </w:r>
      <w:r w:rsidR="000064E8" w:rsidRPr="00264302">
        <w:rPr>
          <w:rFonts w:ascii="Book Antiqua" w:hAnsi="Book Antiqua" w:cs="Arial"/>
        </w:rPr>
        <w:t>Article</w:t>
      </w:r>
      <w:r w:rsidR="00C842C7" w:rsidRPr="00264302">
        <w:rPr>
          <w:rFonts w:ascii="Book Antiqua" w:hAnsi="Book Antiqua" w:cs="Arial"/>
        </w:rPr>
        <w:t xml:space="preserve"> 8 and paragraph 399 of the Immigration R</w:t>
      </w:r>
      <w:r w:rsidRPr="00264302">
        <w:rPr>
          <w:rFonts w:ascii="Book Antiqua" w:hAnsi="Book Antiqua" w:cs="Arial"/>
        </w:rPr>
        <w:t>ules. The judge cited paragraph 399 (a) and some of subparagraph (b) however he did not cite the entirety of that subsection which related to a genuine subsisting relationship with a partner as set out earlier in this determination.</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At [68]</w:t>
      </w:r>
      <w:proofErr w:type="gramStart"/>
      <w:r w:rsidRPr="00264302">
        <w:rPr>
          <w:rFonts w:ascii="Book Antiqua" w:hAnsi="Book Antiqua" w:cs="Arial"/>
        </w:rPr>
        <w:t>-[</w:t>
      </w:r>
      <w:proofErr w:type="gramEnd"/>
      <w:r w:rsidRPr="00264302">
        <w:rPr>
          <w:rFonts w:ascii="Book Antiqua" w:hAnsi="Book Antiqua" w:cs="Arial"/>
        </w:rPr>
        <w:t xml:space="preserve">70] the judge made reference to the </w:t>
      </w:r>
      <w:r w:rsidR="000064E8" w:rsidRPr="00264302">
        <w:rPr>
          <w:rFonts w:ascii="Book Antiqua" w:hAnsi="Book Antiqua" w:cs="Arial"/>
        </w:rPr>
        <w:t>Appellant</w:t>
      </w:r>
      <w:r w:rsidR="00A35DC0" w:rsidRPr="00264302">
        <w:rPr>
          <w:rFonts w:ascii="Book Antiqua" w:hAnsi="Book Antiqua" w:cs="Arial"/>
        </w:rPr>
        <w:t>’s</w:t>
      </w:r>
      <w:r w:rsidRPr="00264302">
        <w:rPr>
          <w:rFonts w:ascii="Book Antiqua" w:hAnsi="Book Antiqua" w:cs="Arial"/>
        </w:rPr>
        <w:t xml:space="preserve"> child and stepchild neither of whom would have an experience of living in Iraq and that it appeared to be accepted that the </w:t>
      </w:r>
      <w:r w:rsidR="000064E8" w:rsidRPr="00264302">
        <w:rPr>
          <w:rFonts w:ascii="Book Antiqua" w:hAnsi="Book Antiqua" w:cs="Arial"/>
        </w:rPr>
        <w:t>Appellant</w:t>
      </w:r>
      <w:r w:rsidRPr="00264302">
        <w:rPr>
          <w:rFonts w:ascii="Book Antiqua" w:hAnsi="Book Antiqua" w:cs="Arial"/>
        </w:rPr>
        <w:t xml:space="preserve"> did enjoy a good relationship with the children and that they were “British citizens”. The judge also referred to the </w:t>
      </w:r>
      <w:r w:rsidR="000064E8" w:rsidRPr="00264302">
        <w:rPr>
          <w:rFonts w:ascii="Book Antiqua" w:hAnsi="Book Antiqua" w:cs="Arial"/>
        </w:rPr>
        <w:t>Appellant’s</w:t>
      </w:r>
      <w:r w:rsidRPr="00264302">
        <w:rPr>
          <w:rFonts w:ascii="Book Antiqua" w:hAnsi="Book Antiqua" w:cs="Arial"/>
        </w:rPr>
        <w:t xml:space="preserve"> wife of having no experience of living in Iraq at [69] </w:t>
      </w:r>
      <w:r w:rsidR="00A35DC0" w:rsidRPr="00264302">
        <w:rPr>
          <w:rFonts w:ascii="Book Antiqua" w:hAnsi="Book Antiqua" w:cs="Arial"/>
        </w:rPr>
        <w:t xml:space="preserve">and </w:t>
      </w:r>
      <w:r w:rsidRPr="00264302">
        <w:rPr>
          <w:rFonts w:ascii="Book Antiqua" w:hAnsi="Book Antiqua" w:cs="Arial"/>
        </w:rPr>
        <w:t xml:space="preserve">at [71] he again reiterated that the </w:t>
      </w:r>
      <w:r w:rsidR="000064E8" w:rsidRPr="00264302">
        <w:rPr>
          <w:rFonts w:ascii="Book Antiqua" w:hAnsi="Book Antiqua" w:cs="Arial"/>
        </w:rPr>
        <w:t>Appellant’s</w:t>
      </w:r>
      <w:r w:rsidRPr="00264302">
        <w:rPr>
          <w:rFonts w:ascii="Book Antiqua" w:hAnsi="Book Antiqua" w:cs="Arial"/>
        </w:rPr>
        <w:t xml:space="preserve"> child never travelled to Iraq and that there was no evidence to co</w:t>
      </w:r>
      <w:r w:rsidR="00A35DC0" w:rsidRPr="00264302">
        <w:rPr>
          <w:rFonts w:ascii="Book Antiqua" w:hAnsi="Book Antiqua" w:cs="Arial"/>
        </w:rPr>
        <w:t>ntradict the claim that both of the Appellant’s</w:t>
      </w:r>
      <w:r w:rsidRPr="00264302">
        <w:rPr>
          <w:rFonts w:ascii="Book Antiqua" w:hAnsi="Book Antiqua" w:cs="Arial"/>
        </w:rPr>
        <w:t xml:space="preserve"> parents had died and he had no remaining ties in Iraq.</w:t>
      </w:r>
    </w:p>
    <w:p w:rsidR="00F421B9" w:rsidRPr="00264302" w:rsidRDefault="00F421B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judge found that the children’s best interests “will be best promoted by remaining with their mother” at [72] but there was no finding of a similar nature by reference to the </w:t>
      </w:r>
      <w:r w:rsidR="000064E8" w:rsidRPr="00264302">
        <w:rPr>
          <w:rFonts w:ascii="Book Antiqua" w:hAnsi="Book Antiqua" w:cs="Arial"/>
        </w:rPr>
        <w:t>Appellant</w:t>
      </w:r>
      <w:r w:rsidRPr="00264302">
        <w:rPr>
          <w:rFonts w:ascii="Book Antiqua" w:hAnsi="Book Antiqua" w:cs="Arial"/>
        </w:rPr>
        <w:t>.</w:t>
      </w:r>
    </w:p>
    <w:p w:rsidR="0014218B" w:rsidRPr="00264302" w:rsidRDefault="0014218B"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In respect of the </w:t>
      </w:r>
      <w:r w:rsidR="000064E8" w:rsidRPr="00264302">
        <w:rPr>
          <w:rFonts w:ascii="Book Antiqua" w:hAnsi="Book Antiqua" w:cs="Arial"/>
        </w:rPr>
        <w:t>Appellant’s</w:t>
      </w:r>
      <w:r w:rsidR="00A35DC0" w:rsidRPr="00264302">
        <w:rPr>
          <w:rFonts w:ascii="Book Antiqua" w:hAnsi="Book Antiqua" w:cs="Arial"/>
        </w:rPr>
        <w:t xml:space="preserve"> wife at [</w:t>
      </w:r>
      <w:r w:rsidRPr="00264302">
        <w:rPr>
          <w:rFonts w:ascii="Book Antiqua" w:hAnsi="Book Antiqua" w:cs="Arial"/>
        </w:rPr>
        <w:t>73] he made reference to the “adverse findings” he</w:t>
      </w:r>
      <w:r w:rsidR="00A64638" w:rsidRPr="00264302">
        <w:rPr>
          <w:rFonts w:ascii="Book Antiqua" w:hAnsi="Book Antiqua" w:cs="Arial"/>
        </w:rPr>
        <w:t xml:space="preserve"> had</w:t>
      </w:r>
      <w:r w:rsidRPr="00264302">
        <w:rPr>
          <w:rFonts w:ascii="Book Antiqua" w:hAnsi="Book Antiqua" w:cs="Arial"/>
        </w:rPr>
        <w:t xml:space="preserve"> made about their relationship that stated that “</w:t>
      </w:r>
      <w:r w:rsidR="00A64638" w:rsidRPr="00264302">
        <w:rPr>
          <w:rFonts w:ascii="Book Antiqua" w:hAnsi="Book Antiqua" w:cs="Arial"/>
        </w:rPr>
        <w:t>I do place</w:t>
      </w:r>
      <w:r w:rsidRPr="00264302">
        <w:rPr>
          <w:rFonts w:ascii="Book Antiqua" w:hAnsi="Book Antiqua" w:cs="Arial"/>
        </w:rPr>
        <w:t xml:space="preserve"> some weight on the </w:t>
      </w:r>
      <w:r w:rsidRPr="00264302">
        <w:rPr>
          <w:rFonts w:ascii="Book Antiqua" w:hAnsi="Book Antiqua" w:cs="Arial"/>
        </w:rPr>
        <w:lastRenderedPageBreak/>
        <w:t xml:space="preserve">fact that she did attend the </w:t>
      </w:r>
      <w:r w:rsidR="000064E8" w:rsidRPr="00264302">
        <w:rPr>
          <w:rFonts w:ascii="Book Antiqua" w:hAnsi="Book Antiqua" w:cs="Arial"/>
        </w:rPr>
        <w:t>Tribunal</w:t>
      </w:r>
      <w:r w:rsidRPr="00264302">
        <w:rPr>
          <w:rFonts w:ascii="Book Antiqua" w:hAnsi="Book Antiqua" w:cs="Arial"/>
        </w:rPr>
        <w:t xml:space="preserve"> on behalf the</w:t>
      </w:r>
      <w:r w:rsidR="00A64638" w:rsidRPr="00264302">
        <w:rPr>
          <w:rFonts w:ascii="Book Antiqua" w:hAnsi="Book Antiqua" w:cs="Arial"/>
        </w:rPr>
        <w:t xml:space="preserve"> husband and I find that all her</w:t>
      </w:r>
      <w:r w:rsidRPr="00264302">
        <w:rPr>
          <w:rFonts w:ascii="Book Antiqua" w:hAnsi="Book Antiqua" w:cs="Arial"/>
        </w:rPr>
        <w:t xml:space="preserve"> ties </w:t>
      </w:r>
      <w:r w:rsidR="00A64638" w:rsidRPr="00264302">
        <w:rPr>
          <w:rFonts w:ascii="Book Antiqua" w:hAnsi="Book Antiqua" w:cs="Arial"/>
        </w:rPr>
        <w:t xml:space="preserve">were </w:t>
      </w:r>
      <w:r w:rsidRPr="00264302">
        <w:rPr>
          <w:rFonts w:ascii="Book Antiqua" w:hAnsi="Book Antiqua" w:cs="Arial"/>
        </w:rPr>
        <w:t xml:space="preserve">with the United Kingdom. That she travelled to Iraq many years ago was the one purpose only and that, which I accept, was for the </w:t>
      </w:r>
      <w:r w:rsidR="000064E8" w:rsidRPr="00264302">
        <w:rPr>
          <w:rFonts w:ascii="Book Antiqua" w:hAnsi="Book Antiqua" w:cs="Arial"/>
        </w:rPr>
        <w:t>Appellant’s</w:t>
      </w:r>
      <w:r w:rsidRPr="00264302">
        <w:rPr>
          <w:rFonts w:ascii="Book Antiqua" w:hAnsi="Book Antiqua" w:cs="Arial"/>
        </w:rPr>
        <w:t xml:space="preserve"> mother, who was ailing in health, to see her grandchild. The situation has, however, changed in Iraq since then.”</w:t>
      </w:r>
    </w:p>
    <w:p w:rsidR="0014218B" w:rsidRPr="00264302" w:rsidRDefault="0014218B"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judge then concluded as </w:t>
      </w:r>
      <w:proofErr w:type="gramStart"/>
      <w:r w:rsidRPr="00264302">
        <w:rPr>
          <w:rFonts w:ascii="Book Antiqua" w:hAnsi="Book Antiqua" w:cs="Arial"/>
        </w:rPr>
        <w:t>follows:-</w:t>
      </w:r>
      <w:proofErr w:type="gramEnd"/>
    </w:p>
    <w:p w:rsidR="0014218B" w:rsidRPr="00134BD9" w:rsidRDefault="0014218B" w:rsidP="00134BD9">
      <w:pPr>
        <w:tabs>
          <w:tab w:val="left" w:pos="1701"/>
        </w:tabs>
        <w:spacing w:before="120"/>
        <w:ind w:left="1134" w:right="567"/>
        <w:jc w:val="both"/>
        <w:rPr>
          <w:rFonts w:ascii="Book Antiqua" w:hAnsi="Book Antiqua" w:cs="Arial"/>
          <w:sz w:val="22"/>
        </w:rPr>
      </w:pPr>
      <w:r w:rsidRPr="00134BD9">
        <w:rPr>
          <w:rFonts w:ascii="Book Antiqua" w:hAnsi="Book Antiqua" w:cs="Arial"/>
          <w:sz w:val="22"/>
        </w:rPr>
        <w:t>“74.</w:t>
      </w:r>
      <w:r w:rsidR="00134BD9">
        <w:rPr>
          <w:rFonts w:ascii="Book Antiqua" w:hAnsi="Book Antiqua" w:cs="Arial"/>
          <w:sz w:val="22"/>
        </w:rPr>
        <w:tab/>
      </w:r>
      <w:r w:rsidRPr="00134BD9">
        <w:rPr>
          <w:rFonts w:ascii="Book Antiqua" w:hAnsi="Book Antiqua" w:cs="Arial"/>
          <w:sz w:val="22"/>
        </w:rPr>
        <w:t xml:space="preserve">I have looked at all the factors in the case have taken into account the decision in </w:t>
      </w:r>
      <w:r w:rsidRPr="00134BD9">
        <w:rPr>
          <w:rFonts w:ascii="Book Antiqua" w:hAnsi="Book Antiqua" w:cs="Arial"/>
          <w:sz w:val="22"/>
          <w:u w:val="single"/>
        </w:rPr>
        <w:t>Ogundimu (</w:t>
      </w:r>
      <w:r w:rsidR="000064E8" w:rsidRPr="00134BD9">
        <w:rPr>
          <w:rFonts w:ascii="Book Antiqua" w:hAnsi="Book Antiqua" w:cs="Arial"/>
          <w:sz w:val="22"/>
          <w:u w:val="single"/>
        </w:rPr>
        <w:t>Article</w:t>
      </w:r>
      <w:r w:rsidRPr="00134BD9">
        <w:rPr>
          <w:rFonts w:ascii="Book Antiqua" w:hAnsi="Book Antiqua" w:cs="Arial"/>
          <w:sz w:val="22"/>
          <w:u w:val="single"/>
        </w:rPr>
        <w:t xml:space="preserve"> 8 – new rules) Nigeria</w:t>
      </w:r>
      <w:r w:rsidRPr="00134BD9">
        <w:rPr>
          <w:rFonts w:ascii="Book Antiqua" w:hAnsi="Book Antiqua" w:cs="Arial"/>
          <w:sz w:val="22"/>
        </w:rPr>
        <w:t xml:space="preserve"> [2013] UK duty and have taken into account the best interests, particularly of the </w:t>
      </w:r>
      <w:r w:rsidR="000064E8" w:rsidRPr="00134BD9">
        <w:rPr>
          <w:rFonts w:ascii="Book Antiqua" w:hAnsi="Book Antiqua" w:cs="Arial"/>
          <w:sz w:val="22"/>
        </w:rPr>
        <w:t>Appellant’s</w:t>
      </w:r>
      <w:r w:rsidRPr="00134BD9">
        <w:rPr>
          <w:rFonts w:ascii="Book Antiqua" w:hAnsi="Book Antiqua" w:cs="Arial"/>
          <w:sz w:val="22"/>
        </w:rPr>
        <w:t xml:space="preserve"> own child, as a primary consideration.</w:t>
      </w:r>
    </w:p>
    <w:p w:rsidR="0014218B" w:rsidRPr="00134BD9" w:rsidRDefault="0014218B" w:rsidP="00134BD9">
      <w:pPr>
        <w:tabs>
          <w:tab w:val="left" w:pos="1701"/>
        </w:tabs>
        <w:spacing w:before="120"/>
        <w:ind w:left="1134" w:right="567"/>
        <w:jc w:val="both"/>
        <w:rPr>
          <w:rFonts w:ascii="Book Antiqua" w:hAnsi="Book Antiqua" w:cs="Arial"/>
          <w:sz w:val="22"/>
        </w:rPr>
      </w:pPr>
      <w:r w:rsidRPr="00134BD9">
        <w:rPr>
          <w:rFonts w:ascii="Book Antiqua" w:hAnsi="Book Antiqua" w:cs="Arial"/>
          <w:sz w:val="22"/>
        </w:rPr>
        <w:t>75.</w:t>
      </w:r>
      <w:r w:rsidR="00134BD9">
        <w:rPr>
          <w:rFonts w:ascii="Book Antiqua" w:hAnsi="Book Antiqua" w:cs="Arial"/>
          <w:sz w:val="22"/>
        </w:rPr>
        <w:tab/>
      </w:r>
      <w:r w:rsidRPr="00134BD9">
        <w:rPr>
          <w:rFonts w:ascii="Book Antiqua" w:hAnsi="Book Antiqua" w:cs="Arial"/>
          <w:sz w:val="22"/>
        </w:rPr>
        <w:t xml:space="preserve">I also accept, having taken into account letters before me that the </w:t>
      </w:r>
      <w:r w:rsidR="000064E8" w:rsidRPr="00134BD9">
        <w:rPr>
          <w:rFonts w:ascii="Book Antiqua" w:hAnsi="Book Antiqua" w:cs="Arial"/>
          <w:sz w:val="22"/>
        </w:rPr>
        <w:t>Appellant</w:t>
      </w:r>
      <w:r w:rsidRPr="00134BD9">
        <w:rPr>
          <w:rFonts w:ascii="Book Antiqua" w:hAnsi="Book Antiqua" w:cs="Arial"/>
          <w:sz w:val="22"/>
        </w:rPr>
        <w:t xml:space="preserve"> does have some relationship with his other stepchildren certainly one of whom is written in support of the </w:t>
      </w:r>
      <w:r w:rsidR="000064E8" w:rsidRPr="00134BD9">
        <w:rPr>
          <w:rFonts w:ascii="Book Antiqua" w:hAnsi="Book Antiqua" w:cs="Arial"/>
          <w:sz w:val="22"/>
        </w:rPr>
        <w:t>Appellant</w:t>
      </w:r>
      <w:r w:rsidRPr="00134BD9">
        <w:rPr>
          <w:rFonts w:ascii="Book Antiqua" w:hAnsi="Book Antiqua" w:cs="Arial"/>
          <w:sz w:val="22"/>
        </w:rPr>
        <w:t>.</w:t>
      </w:r>
    </w:p>
    <w:p w:rsidR="0014218B" w:rsidRPr="00134BD9" w:rsidRDefault="0014218B" w:rsidP="00134BD9">
      <w:pPr>
        <w:tabs>
          <w:tab w:val="left" w:pos="1701"/>
        </w:tabs>
        <w:spacing w:before="120"/>
        <w:ind w:left="1134" w:right="567"/>
        <w:jc w:val="both"/>
        <w:rPr>
          <w:rFonts w:ascii="Book Antiqua" w:hAnsi="Book Antiqua" w:cs="Arial"/>
          <w:sz w:val="22"/>
        </w:rPr>
      </w:pPr>
      <w:r w:rsidRPr="00134BD9">
        <w:rPr>
          <w:rFonts w:ascii="Book Antiqua" w:hAnsi="Book Antiqua" w:cs="Arial"/>
          <w:sz w:val="22"/>
        </w:rPr>
        <w:t>76.</w:t>
      </w:r>
      <w:r w:rsidR="00134BD9">
        <w:rPr>
          <w:rFonts w:ascii="Book Antiqua" w:hAnsi="Book Antiqua" w:cs="Arial"/>
          <w:sz w:val="22"/>
        </w:rPr>
        <w:tab/>
      </w:r>
      <w:r w:rsidRPr="00134BD9">
        <w:rPr>
          <w:rFonts w:ascii="Book Antiqua" w:hAnsi="Book Antiqua" w:cs="Arial"/>
          <w:sz w:val="22"/>
        </w:rPr>
        <w:t xml:space="preserve">Taking into account all the facts before me I then consider the position of </w:t>
      </w:r>
      <w:r w:rsidR="000064E8" w:rsidRPr="00134BD9">
        <w:rPr>
          <w:rFonts w:ascii="Book Antiqua" w:hAnsi="Book Antiqua" w:cs="Arial"/>
          <w:sz w:val="22"/>
        </w:rPr>
        <w:t>Article</w:t>
      </w:r>
      <w:r w:rsidRPr="00134BD9">
        <w:rPr>
          <w:rFonts w:ascii="Book Antiqua" w:hAnsi="Book Antiqua" w:cs="Arial"/>
          <w:sz w:val="22"/>
        </w:rPr>
        <w:t xml:space="preserve"> 8 in the context of Razgar [2004) DHL and find that the decision of the </w:t>
      </w:r>
      <w:r w:rsidR="000064E8" w:rsidRPr="00134BD9">
        <w:rPr>
          <w:rFonts w:ascii="Book Antiqua" w:hAnsi="Book Antiqua" w:cs="Arial"/>
          <w:sz w:val="22"/>
        </w:rPr>
        <w:t>Respondent</w:t>
      </w:r>
      <w:r w:rsidRPr="00134BD9">
        <w:rPr>
          <w:rFonts w:ascii="Book Antiqua" w:hAnsi="Book Antiqua" w:cs="Arial"/>
          <w:sz w:val="22"/>
        </w:rPr>
        <w:t xml:space="preserve"> is a disproportionate interference with the </w:t>
      </w:r>
      <w:r w:rsidR="000064E8" w:rsidRPr="00134BD9">
        <w:rPr>
          <w:rFonts w:ascii="Book Antiqua" w:hAnsi="Book Antiqua" w:cs="Arial"/>
          <w:sz w:val="22"/>
        </w:rPr>
        <w:t>Appellant</w:t>
      </w:r>
      <w:r w:rsidRPr="00134BD9">
        <w:rPr>
          <w:rFonts w:ascii="Book Antiqua" w:hAnsi="Book Antiqua" w:cs="Arial"/>
          <w:sz w:val="22"/>
        </w:rPr>
        <w:t>, his wife and his child’s human rights.</w:t>
      </w:r>
    </w:p>
    <w:p w:rsidR="0014218B" w:rsidRPr="00134BD9" w:rsidRDefault="0014218B" w:rsidP="00134BD9">
      <w:pPr>
        <w:tabs>
          <w:tab w:val="left" w:pos="1701"/>
        </w:tabs>
        <w:spacing w:before="120"/>
        <w:ind w:left="1134" w:right="567"/>
        <w:jc w:val="both"/>
        <w:rPr>
          <w:rFonts w:ascii="Book Antiqua" w:hAnsi="Book Antiqua" w:cs="Arial"/>
          <w:sz w:val="22"/>
        </w:rPr>
      </w:pPr>
      <w:r w:rsidRPr="00134BD9">
        <w:rPr>
          <w:rFonts w:ascii="Book Antiqua" w:hAnsi="Book Antiqua" w:cs="Arial"/>
          <w:sz w:val="22"/>
        </w:rPr>
        <w:t>77.</w:t>
      </w:r>
      <w:r w:rsidRPr="00134BD9">
        <w:rPr>
          <w:rFonts w:ascii="Book Antiqua" w:hAnsi="Book Antiqua" w:cs="Arial"/>
          <w:sz w:val="22"/>
        </w:rPr>
        <w:tab/>
        <w:t xml:space="preserve">In summary </w:t>
      </w:r>
      <w:proofErr w:type="gramStart"/>
      <w:r w:rsidRPr="00134BD9">
        <w:rPr>
          <w:rFonts w:ascii="Book Antiqua" w:hAnsi="Book Antiqua" w:cs="Arial"/>
          <w:sz w:val="22"/>
        </w:rPr>
        <w:t>therefore</w:t>
      </w:r>
      <w:proofErr w:type="gramEnd"/>
      <w:r w:rsidRPr="00134BD9">
        <w:rPr>
          <w:rFonts w:ascii="Book Antiqua" w:hAnsi="Book Antiqua" w:cs="Arial"/>
          <w:sz w:val="22"/>
        </w:rPr>
        <w:t xml:space="preserve"> I conclude that </w:t>
      </w:r>
      <w:r w:rsidR="000064E8" w:rsidRPr="00134BD9">
        <w:rPr>
          <w:rFonts w:ascii="Book Antiqua" w:hAnsi="Book Antiqua" w:cs="Arial"/>
          <w:sz w:val="22"/>
        </w:rPr>
        <w:t>Article</w:t>
      </w:r>
      <w:r w:rsidRPr="00134BD9">
        <w:rPr>
          <w:rFonts w:ascii="Book Antiqua" w:hAnsi="Book Antiqua" w:cs="Arial"/>
          <w:sz w:val="22"/>
        </w:rPr>
        <w:t xml:space="preserve"> 8</w:t>
      </w:r>
      <w:r w:rsidR="00A35DC0" w:rsidRPr="00134BD9">
        <w:rPr>
          <w:rFonts w:ascii="Book Antiqua" w:hAnsi="Book Antiqua" w:cs="Arial"/>
          <w:sz w:val="22"/>
        </w:rPr>
        <w:t xml:space="preserve"> of the ECHR will be breached w</w:t>
      </w:r>
      <w:r w:rsidRPr="00134BD9">
        <w:rPr>
          <w:rFonts w:ascii="Book Antiqua" w:hAnsi="Book Antiqua" w:cs="Arial"/>
          <w:sz w:val="22"/>
        </w:rPr>
        <w:t xml:space="preserve">ere he to be deported and, further his removal would result in a breach of </w:t>
      </w:r>
      <w:r w:rsidR="000064E8" w:rsidRPr="00134BD9">
        <w:rPr>
          <w:rFonts w:ascii="Book Antiqua" w:hAnsi="Book Antiqua" w:cs="Arial"/>
          <w:sz w:val="22"/>
        </w:rPr>
        <w:t>Article</w:t>
      </w:r>
      <w:r w:rsidRPr="00134BD9">
        <w:rPr>
          <w:rFonts w:ascii="Book Antiqua" w:hAnsi="Book Antiqua" w:cs="Arial"/>
          <w:sz w:val="22"/>
        </w:rPr>
        <w:t xml:space="preserve"> 15 (c</w:t>
      </w:r>
      <w:r w:rsidR="00A35DC0" w:rsidRPr="00134BD9">
        <w:rPr>
          <w:rFonts w:ascii="Book Antiqua" w:hAnsi="Book Antiqua" w:cs="Arial"/>
          <w:sz w:val="22"/>
        </w:rPr>
        <w:t>) of</w:t>
      </w:r>
      <w:r w:rsidRPr="00134BD9">
        <w:rPr>
          <w:rFonts w:ascii="Book Antiqua" w:hAnsi="Book Antiqua" w:cs="Arial"/>
          <w:sz w:val="22"/>
        </w:rPr>
        <w:t xml:space="preserve"> the Qualification Directive.”</w:t>
      </w:r>
    </w:p>
    <w:p w:rsidR="0054055A" w:rsidRPr="00264302" w:rsidRDefault="0054055A" w:rsidP="00C94BD5">
      <w:pPr>
        <w:pStyle w:val="ListParagraph"/>
        <w:numPr>
          <w:ilvl w:val="0"/>
          <w:numId w:val="25"/>
        </w:numPr>
        <w:spacing w:before="160"/>
        <w:jc w:val="both"/>
        <w:rPr>
          <w:rFonts w:ascii="Book Antiqua" w:hAnsi="Book Antiqua" w:cs="Arial"/>
        </w:rPr>
      </w:pPr>
      <w:r w:rsidRPr="00264302">
        <w:rPr>
          <w:rFonts w:ascii="Book Antiqua" w:hAnsi="Book Antiqua" w:cs="Arial"/>
        </w:rPr>
        <w:t>It is plain fro</w:t>
      </w:r>
      <w:r w:rsidR="0014218B" w:rsidRPr="00264302">
        <w:rPr>
          <w:rFonts w:ascii="Book Antiqua" w:hAnsi="Book Antiqua" w:cs="Arial"/>
        </w:rPr>
        <w:t>m reading the determination</w:t>
      </w:r>
      <w:r w:rsidR="00F421B9" w:rsidRPr="00264302">
        <w:rPr>
          <w:rFonts w:ascii="Book Antiqua" w:hAnsi="Book Antiqua" w:cs="Arial"/>
        </w:rPr>
        <w:t xml:space="preserve"> that the judge did not have</w:t>
      </w:r>
      <w:r w:rsidRPr="00264302">
        <w:rPr>
          <w:rFonts w:ascii="Book Antiqua" w:hAnsi="Book Antiqua" w:cs="Arial"/>
        </w:rPr>
        <w:t xml:space="preserve"> in mind the correct legal framework.  Whilst I would accept that it is not necessary to set out at length </w:t>
      </w:r>
      <w:r w:rsidR="0014218B" w:rsidRPr="00264302">
        <w:rPr>
          <w:rFonts w:ascii="Book Antiqua" w:hAnsi="Book Antiqua" w:cs="Arial"/>
        </w:rPr>
        <w:t xml:space="preserve">the </w:t>
      </w:r>
      <w:r w:rsidRPr="00264302">
        <w:rPr>
          <w:rFonts w:ascii="Book Antiqua" w:hAnsi="Book Antiqua" w:cs="Arial"/>
        </w:rPr>
        <w:t xml:space="preserve">case law and </w:t>
      </w:r>
      <w:r w:rsidR="0014218B" w:rsidRPr="00264302">
        <w:rPr>
          <w:rFonts w:ascii="Book Antiqua" w:hAnsi="Book Antiqua" w:cs="Arial"/>
        </w:rPr>
        <w:t xml:space="preserve">any </w:t>
      </w:r>
      <w:r w:rsidRPr="00264302">
        <w:rPr>
          <w:rFonts w:ascii="Book Antiqua" w:hAnsi="Book Antiqua" w:cs="Arial"/>
        </w:rPr>
        <w:t xml:space="preserve">extensive legal framework, any decision must properly apply the correct legal test </w:t>
      </w:r>
      <w:r w:rsidR="0014218B" w:rsidRPr="00264302">
        <w:rPr>
          <w:rFonts w:ascii="Book Antiqua" w:hAnsi="Book Antiqua" w:cs="Arial"/>
        </w:rPr>
        <w:t xml:space="preserve">that is </w:t>
      </w:r>
      <w:r w:rsidR="00A64638" w:rsidRPr="00264302">
        <w:rPr>
          <w:rFonts w:ascii="Book Antiqua" w:hAnsi="Book Antiqua" w:cs="Arial"/>
        </w:rPr>
        <w:t>applicable to the facts.</w:t>
      </w:r>
    </w:p>
    <w:p w:rsidR="0054055A" w:rsidRPr="00264302" w:rsidRDefault="0054055A"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As set out in the decision of the Court of Appeal in </w:t>
      </w:r>
      <w:r w:rsidRPr="00264302">
        <w:rPr>
          <w:rFonts w:ascii="Book Antiqua" w:hAnsi="Book Antiqua" w:cs="Arial"/>
          <w:b/>
          <w:u w:val="single"/>
        </w:rPr>
        <w:t>NA (Nigeria) v the SSHD</w:t>
      </w:r>
      <w:r w:rsidRPr="00264302">
        <w:rPr>
          <w:rFonts w:ascii="Book Antiqua" w:hAnsi="Book Antiqua" w:cs="Arial"/>
          <w:b/>
        </w:rPr>
        <w:t xml:space="preserve"> [2017] EWCA Civ 10</w:t>
      </w:r>
      <w:r w:rsidRPr="00264302">
        <w:rPr>
          <w:rFonts w:ascii="Book Antiqua" w:hAnsi="Book Antiqua" w:cs="Arial"/>
        </w:rPr>
        <w:t xml:space="preserve"> at paragraph [27</w:t>
      </w:r>
      <w:proofErr w:type="gramStart"/>
      <w:r w:rsidRPr="00264302">
        <w:rPr>
          <w:rFonts w:ascii="Book Antiqua" w:hAnsi="Book Antiqua" w:cs="Arial"/>
        </w:rPr>
        <w:t>]:-</w:t>
      </w:r>
      <w:proofErr w:type="gramEnd"/>
      <w:r w:rsidRPr="00264302">
        <w:rPr>
          <w:rFonts w:ascii="Book Antiqua" w:hAnsi="Book Antiqua" w:cs="Arial"/>
        </w:rPr>
        <w:t xml:space="preserve">  </w:t>
      </w:r>
    </w:p>
    <w:p w:rsidR="0054055A" w:rsidRPr="00B75F87" w:rsidRDefault="0054055A" w:rsidP="00B75F87">
      <w:pPr>
        <w:spacing w:before="120"/>
        <w:ind w:left="1701" w:right="567" w:hanging="567"/>
        <w:jc w:val="both"/>
        <w:rPr>
          <w:rFonts w:ascii="Book Antiqua" w:hAnsi="Book Antiqua" w:cs="Arial"/>
          <w:sz w:val="22"/>
        </w:rPr>
      </w:pPr>
      <w:r w:rsidRPr="00B75F87">
        <w:rPr>
          <w:rFonts w:ascii="Book Antiqua" w:hAnsi="Book Antiqua" w:cs="Arial"/>
          <w:sz w:val="22"/>
        </w:rPr>
        <w:t>“[27]</w:t>
      </w:r>
      <w:r w:rsidRPr="00B75F87">
        <w:rPr>
          <w:rFonts w:ascii="Book Antiqua" w:hAnsi="Book Antiqua" w:cs="Arial"/>
          <w:sz w:val="22"/>
        </w:rPr>
        <w:tab/>
      </w:r>
      <w:bookmarkStart w:id="2" w:name="para27"/>
      <w:r w:rsidRPr="00B75F87">
        <w:rPr>
          <w:rFonts w:ascii="Book Antiqua" w:hAnsi="Book Antiqua" w:cs="Arial"/>
          <w:sz w:val="22"/>
        </w:rPr>
        <w:t xml:space="preserve">Decisions of </w:t>
      </w:r>
      <w:r w:rsidR="000064E8" w:rsidRPr="00B75F87">
        <w:rPr>
          <w:rFonts w:ascii="Book Antiqua" w:hAnsi="Book Antiqua" w:cs="Arial"/>
          <w:sz w:val="22"/>
        </w:rPr>
        <w:t>Tribunal</w:t>
      </w:r>
      <w:r w:rsidRPr="00B75F87">
        <w:rPr>
          <w:rFonts w:ascii="Book Antiqua" w:hAnsi="Book Antiqua" w:cs="Arial"/>
          <w:sz w:val="22"/>
        </w:rPr>
        <w:t xml:space="preserve">s should not become formulaic and rarely benefit from copious citation of authority.  Arguments that reduce to the proposition that the First-tier </w:t>
      </w:r>
      <w:r w:rsidR="000064E8" w:rsidRPr="00B75F87">
        <w:rPr>
          <w:rFonts w:ascii="Book Antiqua" w:hAnsi="Book Antiqua" w:cs="Arial"/>
          <w:sz w:val="22"/>
        </w:rPr>
        <w:t>Tribunal</w:t>
      </w:r>
      <w:r w:rsidRPr="00B75F87">
        <w:rPr>
          <w:rFonts w:ascii="Book Antiqua" w:hAnsi="Book Antiqua" w:cs="Arial"/>
          <w:sz w:val="22"/>
        </w:rPr>
        <w:t xml:space="preserve"> has failed to mention </w:t>
      </w:r>
      <w:r w:rsidRPr="00B75F87">
        <w:rPr>
          <w:rFonts w:ascii="Book Antiqua" w:hAnsi="Book Antiqua" w:cs="Arial"/>
          <w:iCs/>
          <w:sz w:val="22"/>
        </w:rPr>
        <w:t>dicta</w:t>
      </w:r>
      <w:r w:rsidRPr="00B75F87">
        <w:rPr>
          <w:rFonts w:ascii="Book Antiqua" w:hAnsi="Book Antiqua" w:cs="Arial"/>
          <w:sz w:val="22"/>
        </w:rPr>
        <w:t xml:space="preserve"> from a series of cases in the Court of Appeal or elsewhere will rarely prosper.  Similarly, as Lord Hoffmann said in </w:t>
      </w:r>
      <w:r w:rsidRPr="00B75F87">
        <w:rPr>
          <w:rFonts w:ascii="Book Antiqua" w:hAnsi="Book Antiqua" w:cs="Arial"/>
          <w:b/>
          <w:iCs/>
          <w:sz w:val="22"/>
          <w:u w:val="single"/>
        </w:rPr>
        <w:t>Piglowska v Piglowska</w:t>
      </w:r>
      <w:r w:rsidRPr="00B75F87">
        <w:rPr>
          <w:rFonts w:ascii="Book Antiqua" w:hAnsi="Book Antiqua" w:cs="Arial"/>
          <w:b/>
          <w:iCs/>
          <w:sz w:val="22"/>
        </w:rPr>
        <w:t xml:space="preserve"> </w:t>
      </w:r>
      <w:bookmarkEnd w:id="2"/>
      <w:r w:rsidRPr="00B75F87">
        <w:rPr>
          <w:rFonts w:ascii="Book Antiqua" w:hAnsi="Book Antiqua" w:cs="Arial"/>
          <w:b/>
          <w:sz w:val="22"/>
        </w:rPr>
        <w:t>[1999] 1 WLR 1360</w:t>
      </w:r>
      <w:r w:rsidRPr="00B75F87">
        <w:rPr>
          <w:rFonts w:ascii="Book Antiqua" w:hAnsi="Book Antiqua" w:cs="Arial"/>
          <w:sz w:val="22"/>
        </w:rPr>
        <w:t xml:space="preserve">, ‘reasons should be read on the assumption that, unless he has demonstrated the contrary, the judge knew how he should perform his functions and which matters he should take into account.’  He added that an ‘appellate court should resist the temptation to subvert the principle that they should not substitute their own discretion for that of the judge by a narrow textual analysis which enables them to claim that he misdirected himself.’  Moreover, some principles are so firmly embedded in judicial thinking that they do not need to be recited.  For example, it would be surprising to see in every civil judgment a paragraph dealing with the burden and standard of proof, or in every running down action a treatise, however short, on the law of negligence.  That said, the reader of any judicial decision must be reassured from its content that the court or </w:t>
      </w:r>
      <w:r w:rsidR="000064E8" w:rsidRPr="00B75F87">
        <w:rPr>
          <w:rFonts w:ascii="Book Antiqua" w:hAnsi="Book Antiqua" w:cs="Arial"/>
          <w:sz w:val="22"/>
        </w:rPr>
        <w:t>Tribunal</w:t>
      </w:r>
      <w:r w:rsidRPr="00B75F87">
        <w:rPr>
          <w:rFonts w:ascii="Book Antiqua" w:hAnsi="Book Antiqua" w:cs="Arial"/>
          <w:sz w:val="22"/>
        </w:rPr>
        <w:t xml:space="preserve"> has applied the correct legal test to any question it is deciding.”    </w:t>
      </w:r>
    </w:p>
    <w:p w:rsidR="00C80BCF" w:rsidRPr="00264302" w:rsidRDefault="00C80BCF"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Contrary to </w:t>
      </w:r>
      <w:r w:rsidR="0014218B" w:rsidRPr="00264302">
        <w:rPr>
          <w:rFonts w:ascii="Book Antiqua" w:hAnsi="Book Antiqua" w:cs="Arial"/>
        </w:rPr>
        <w:t xml:space="preserve">the submission of Mr Karnik, </w:t>
      </w:r>
      <w:r w:rsidRPr="00264302">
        <w:rPr>
          <w:rFonts w:ascii="Book Antiqua" w:hAnsi="Book Antiqua" w:cs="Arial"/>
        </w:rPr>
        <w:t>it is plain from that paragrap</w:t>
      </w:r>
      <w:r w:rsidR="0014218B" w:rsidRPr="00264302">
        <w:rPr>
          <w:rFonts w:ascii="Book Antiqua" w:hAnsi="Book Antiqua" w:cs="Arial"/>
        </w:rPr>
        <w:t xml:space="preserve">hs cited above that </w:t>
      </w:r>
      <w:r w:rsidRPr="00264302">
        <w:rPr>
          <w:rFonts w:ascii="Book Antiqua" w:hAnsi="Book Antiqua" w:cs="Arial"/>
        </w:rPr>
        <w:t xml:space="preserve">that </w:t>
      </w:r>
      <w:r w:rsidR="0014218B" w:rsidRPr="00264302">
        <w:rPr>
          <w:rFonts w:ascii="Book Antiqua" w:hAnsi="Book Antiqua" w:cs="Arial"/>
        </w:rPr>
        <w:t xml:space="preserve">whilst the judge had made a reference to paragraph 399(a) and a partial </w:t>
      </w:r>
      <w:r w:rsidR="0014218B" w:rsidRPr="00264302">
        <w:rPr>
          <w:rFonts w:ascii="Book Antiqua" w:hAnsi="Book Antiqua" w:cs="Arial"/>
        </w:rPr>
        <w:lastRenderedPageBreak/>
        <w:t>reference to 399(b) he did not carr</w:t>
      </w:r>
      <w:r w:rsidR="00300C52" w:rsidRPr="00264302">
        <w:rPr>
          <w:rFonts w:ascii="Book Antiqua" w:hAnsi="Book Antiqua" w:cs="Arial"/>
        </w:rPr>
        <w:t>y out any assessment or an</w:t>
      </w:r>
      <w:r w:rsidR="00793491" w:rsidRPr="00264302">
        <w:rPr>
          <w:rFonts w:ascii="Book Antiqua" w:hAnsi="Book Antiqua" w:cs="Arial"/>
        </w:rPr>
        <w:t>alysis</w:t>
      </w:r>
      <w:r w:rsidR="0014218B" w:rsidRPr="00264302">
        <w:rPr>
          <w:rFonts w:ascii="Book Antiqua" w:hAnsi="Book Antiqua" w:cs="Arial"/>
        </w:rPr>
        <w:t xml:space="preserve"> of wh</w:t>
      </w:r>
      <w:r w:rsidR="00793491" w:rsidRPr="00264302">
        <w:rPr>
          <w:rFonts w:ascii="Book Antiqua" w:hAnsi="Book Antiqua" w:cs="Arial"/>
        </w:rPr>
        <w:t>e</w:t>
      </w:r>
      <w:r w:rsidR="0014218B" w:rsidRPr="00264302">
        <w:rPr>
          <w:rFonts w:ascii="Book Antiqua" w:hAnsi="Book Antiqua" w:cs="Arial"/>
        </w:rPr>
        <w:t>th</w:t>
      </w:r>
      <w:r w:rsidR="00793491" w:rsidRPr="00264302">
        <w:rPr>
          <w:rFonts w:ascii="Book Antiqua" w:hAnsi="Book Antiqua" w:cs="Arial"/>
        </w:rPr>
        <w:t xml:space="preserve">er in fact </w:t>
      </w:r>
      <w:r w:rsidR="00A64638" w:rsidRPr="00264302">
        <w:rPr>
          <w:rFonts w:ascii="Book Antiqua" w:hAnsi="Book Antiqua" w:cs="Arial"/>
        </w:rPr>
        <w:t xml:space="preserve">the </w:t>
      </w:r>
      <w:r w:rsidR="000064E8" w:rsidRPr="00264302">
        <w:rPr>
          <w:rFonts w:ascii="Book Antiqua" w:hAnsi="Book Antiqua" w:cs="Arial"/>
        </w:rPr>
        <w:t>Appellant</w:t>
      </w:r>
      <w:r w:rsidR="0014218B" w:rsidRPr="00264302">
        <w:rPr>
          <w:rFonts w:ascii="Book Antiqua" w:hAnsi="Book Antiqua" w:cs="Arial"/>
        </w:rPr>
        <w:t xml:space="preserve"> could satisfy</w:t>
      </w:r>
      <w:r w:rsidRPr="00264302">
        <w:rPr>
          <w:rFonts w:ascii="Book Antiqua" w:hAnsi="Book Antiqua" w:cs="Arial"/>
        </w:rPr>
        <w:t xml:space="preserve"> them. </w:t>
      </w:r>
      <w:r w:rsidR="0014218B" w:rsidRPr="00264302">
        <w:rPr>
          <w:rFonts w:ascii="Book Antiqua" w:hAnsi="Book Antiqua" w:cs="Arial"/>
        </w:rPr>
        <w:t>I</w:t>
      </w:r>
      <w:r w:rsidRPr="00264302">
        <w:rPr>
          <w:rFonts w:ascii="Book Antiqua" w:hAnsi="Book Antiqua" w:cs="Arial"/>
        </w:rPr>
        <w:t>t has to be shown that it would be unduly harsh for the child to both live in the country that it is pr</w:t>
      </w:r>
      <w:r w:rsidR="0014218B" w:rsidRPr="00264302">
        <w:rPr>
          <w:rFonts w:ascii="Book Antiqua" w:hAnsi="Book Antiqua" w:cs="Arial"/>
        </w:rPr>
        <w:t>oposed to return the</w:t>
      </w:r>
      <w:r w:rsidRPr="00264302">
        <w:rPr>
          <w:rFonts w:ascii="Book Antiqua" w:hAnsi="Book Antiqua" w:cs="Arial"/>
        </w:rPr>
        <w:t xml:space="preserve"> </w:t>
      </w:r>
      <w:r w:rsidR="000064E8" w:rsidRPr="00264302">
        <w:rPr>
          <w:rFonts w:ascii="Book Antiqua" w:hAnsi="Book Antiqua" w:cs="Arial"/>
        </w:rPr>
        <w:t>Appellant</w:t>
      </w:r>
      <w:r w:rsidRPr="00264302">
        <w:rPr>
          <w:rFonts w:ascii="Book Antiqua" w:hAnsi="Book Antiqua" w:cs="Arial"/>
        </w:rPr>
        <w:t xml:space="preserve"> to, and for it to be unduly harsh for the child to remain in the Unite</w:t>
      </w:r>
      <w:r w:rsidR="00A64638" w:rsidRPr="00264302">
        <w:rPr>
          <w:rFonts w:ascii="Book Antiqua" w:hAnsi="Book Antiqua" w:cs="Arial"/>
        </w:rPr>
        <w:t xml:space="preserve">d Kingdom without the </w:t>
      </w:r>
      <w:r w:rsidR="000064E8" w:rsidRPr="00264302">
        <w:rPr>
          <w:rFonts w:ascii="Book Antiqua" w:hAnsi="Book Antiqua" w:cs="Arial"/>
        </w:rPr>
        <w:t>Appellant</w:t>
      </w:r>
      <w:r w:rsidRPr="00264302">
        <w:rPr>
          <w:rFonts w:ascii="Book Antiqua" w:hAnsi="Book Antiqua" w:cs="Arial"/>
        </w:rPr>
        <w:t>.</w:t>
      </w:r>
      <w:r w:rsidR="0014218B" w:rsidRPr="00264302">
        <w:rPr>
          <w:rFonts w:ascii="Book Antiqua" w:hAnsi="Book Antiqua" w:cs="Arial"/>
        </w:rPr>
        <w:t xml:space="preserve"> </w:t>
      </w:r>
      <w:r w:rsidRPr="00264302">
        <w:rPr>
          <w:rFonts w:ascii="Book Antiqua" w:hAnsi="Book Antiqua" w:cs="Arial"/>
        </w:rPr>
        <w:t xml:space="preserve">In relation to a partner the </w:t>
      </w:r>
      <w:r w:rsidR="000064E8" w:rsidRPr="00264302">
        <w:rPr>
          <w:rFonts w:ascii="Book Antiqua" w:hAnsi="Book Antiqua" w:cs="Arial"/>
        </w:rPr>
        <w:t>Respondent</w:t>
      </w:r>
      <w:r w:rsidR="00A35DC0" w:rsidRPr="00264302">
        <w:rPr>
          <w:rFonts w:ascii="Book Antiqua" w:hAnsi="Book Antiqua" w:cs="Arial"/>
        </w:rPr>
        <w:t xml:space="preserve"> took</w:t>
      </w:r>
      <w:r w:rsidRPr="00264302">
        <w:rPr>
          <w:rFonts w:ascii="Book Antiqua" w:hAnsi="Book Antiqua" w:cs="Arial"/>
        </w:rPr>
        <w:t xml:space="preserve"> the view that it has to be shown that the relationship was formed to time when</w:t>
      </w:r>
      <w:r w:rsidR="00A64638" w:rsidRPr="00264302">
        <w:rPr>
          <w:rFonts w:ascii="Book Antiqua" w:hAnsi="Book Antiqua" w:cs="Arial"/>
        </w:rPr>
        <w:t xml:space="preserve"> the </w:t>
      </w:r>
      <w:r w:rsidRPr="00264302">
        <w:rPr>
          <w:rFonts w:ascii="Book Antiqua" w:hAnsi="Book Antiqua" w:cs="Arial"/>
        </w:rPr>
        <w:t xml:space="preserve"> </w:t>
      </w:r>
      <w:r w:rsidR="000064E8" w:rsidRPr="00264302">
        <w:rPr>
          <w:rFonts w:ascii="Book Antiqua" w:hAnsi="Book Antiqua" w:cs="Arial"/>
        </w:rPr>
        <w:t>Appellant</w:t>
      </w:r>
      <w:r w:rsidRPr="00264302">
        <w:rPr>
          <w:rFonts w:ascii="Book Antiqua" w:hAnsi="Book Antiqua" w:cs="Arial"/>
        </w:rPr>
        <w:t xml:space="preserve"> was in this country lawfully and the immigration status was not precarious; that it would be unduly harsh that partner to live in the country to which deportation is proposed because of compelling circumstances over and above those described in paragraph EX 2 of Appendix FM to the Immigration Rules; and that it would be unduly harsh for that partner to remain in the United K</w:t>
      </w:r>
      <w:r w:rsidR="00A64638" w:rsidRPr="00264302">
        <w:rPr>
          <w:rFonts w:ascii="Book Antiqua" w:hAnsi="Book Antiqua" w:cs="Arial"/>
        </w:rPr>
        <w:t xml:space="preserve">ingdom without the </w:t>
      </w:r>
      <w:r w:rsidR="000064E8" w:rsidRPr="00264302">
        <w:rPr>
          <w:rFonts w:ascii="Book Antiqua" w:hAnsi="Book Antiqua" w:cs="Arial"/>
        </w:rPr>
        <w:t>Appellant</w:t>
      </w:r>
      <w:r w:rsidR="0014218B" w:rsidRPr="00264302">
        <w:rPr>
          <w:rFonts w:ascii="Book Antiqua" w:hAnsi="Book Antiqua" w:cs="Arial"/>
        </w:rPr>
        <w:t>.</w:t>
      </w:r>
    </w:p>
    <w:p w:rsidR="00C80BCF" w:rsidRPr="00264302" w:rsidRDefault="00793491" w:rsidP="00C94BD5">
      <w:pPr>
        <w:pStyle w:val="ListParagraph"/>
        <w:numPr>
          <w:ilvl w:val="0"/>
          <w:numId w:val="25"/>
        </w:numPr>
        <w:spacing w:before="160"/>
        <w:jc w:val="both"/>
        <w:rPr>
          <w:rFonts w:ascii="Book Antiqua" w:hAnsi="Book Antiqua" w:cs="Arial"/>
        </w:rPr>
      </w:pPr>
      <w:r w:rsidRPr="00264302">
        <w:rPr>
          <w:rFonts w:ascii="Book Antiqua" w:hAnsi="Book Antiqua" w:cs="Arial"/>
        </w:rPr>
        <w:t>The judge made no</w:t>
      </w:r>
      <w:r w:rsidR="00C80BCF" w:rsidRPr="00264302">
        <w:rPr>
          <w:rFonts w:ascii="Book Antiqua" w:hAnsi="Book Antiqua" w:cs="Arial"/>
        </w:rPr>
        <w:t xml:space="preserve"> reference to the decision in </w:t>
      </w:r>
      <w:r w:rsidR="00C80BCF" w:rsidRPr="00264302">
        <w:rPr>
          <w:rFonts w:ascii="Book Antiqua" w:hAnsi="Book Antiqua" w:cs="Arial"/>
          <w:u w:val="single"/>
        </w:rPr>
        <w:t>MM Uganda</w:t>
      </w:r>
      <w:r w:rsidR="00C80BCF" w:rsidRPr="00264302">
        <w:rPr>
          <w:rFonts w:ascii="Book Antiqua" w:hAnsi="Book Antiqua" w:cs="Arial"/>
        </w:rPr>
        <w:t xml:space="preserve"> and what was meant by “unduly   harsh</w:t>
      </w:r>
      <w:r w:rsidR="0065162B" w:rsidRPr="00264302">
        <w:rPr>
          <w:rFonts w:ascii="Book Antiqua" w:hAnsi="Book Antiqua" w:cs="Arial"/>
        </w:rPr>
        <w:t>”</w:t>
      </w:r>
      <w:r w:rsidR="00C80BCF" w:rsidRPr="00264302">
        <w:rPr>
          <w:rFonts w:ascii="Book Antiqua" w:hAnsi="Book Antiqua" w:cs="Arial"/>
        </w:rPr>
        <w:t xml:space="preserve"> in section 117C (2)</w:t>
      </w:r>
      <w:r w:rsidRPr="00264302">
        <w:rPr>
          <w:rFonts w:ascii="Book Antiqua" w:hAnsi="Book Antiqua" w:cs="Arial"/>
        </w:rPr>
        <w:t xml:space="preserve"> by way of form and more importantly in substance. Whi</w:t>
      </w:r>
      <w:r w:rsidR="00A64638" w:rsidRPr="00264302">
        <w:rPr>
          <w:rFonts w:ascii="Book Antiqua" w:hAnsi="Book Antiqua" w:cs="Arial"/>
        </w:rPr>
        <w:t>l</w:t>
      </w:r>
      <w:r w:rsidRPr="00264302">
        <w:rPr>
          <w:rFonts w:ascii="Book Antiqua" w:hAnsi="Book Antiqua" w:cs="Arial"/>
        </w:rPr>
        <w:t xml:space="preserve">st it is arguable that he reached a finding that the children had never been to Iraq and the </w:t>
      </w:r>
      <w:r w:rsidR="000064E8" w:rsidRPr="00264302">
        <w:rPr>
          <w:rFonts w:ascii="Book Antiqua" w:hAnsi="Book Antiqua" w:cs="Arial"/>
        </w:rPr>
        <w:t>Appellant’s</w:t>
      </w:r>
      <w:r w:rsidRPr="00264302">
        <w:rPr>
          <w:rFonts w:ascii="Book Antiqua" w:hAnsi="Book Antiqua" w:cs="Arial"/>
        </w:rPr>
        <w:t xml:space="preserve"> partner </w:t>
      </w:r>
      <w:r w:rsidR="00A35DC0" w:rsidRPr="00264302">
        <w:rPr>
          <w:rFonts w:ascii="Book Antiqua" w:hAnsi="Book Antiqua" w:cs="Arial"/>
        </w:rPr>
        <w:t>(although</w:t>
      </w:r>
      <w:r w:rsidRPr="00264302">
        <w:rPr>
          <w:rFonts w:ascii="Book Antiqua" w:hAnsi="Book Antiqua" w:cs="Arial"/>
        </w:rPr>
        <w:t xml:space="preserve"> he did not accept that they were </w:t>
      </w:r>
      <w:r w:rsidR="00A35DC0" w:rsidRPr="00264302">
        <w:rPr>
          <w:rFonts w:ascii="Book Antiqua" w:hAnsi="Book Antiqua" w:cs="Arial"/>
        </w:rPr>
        <w:t>in a</w:t>
      </w:r>
      <w:r w:rsidRPr="00264302">
        <w:rPr>
          <w:rFonts w:ascii="Book Antiqua" w:hAnsi="Book Antiqua" w:cs="Arial"/>
        </w:rPr>
        <w:t xml:space="preserve"> cohabiting relationship and had made no fin</w:t>
      </w:r>
      <w:r w:rsidR="00C842C7" w:rsidRPr="00264302">
        <w:rPr>
          <w:rFonts w:ascii="Book Antiqua" w:hAnsi="Book Antiqua" w:cs="Arial"/>
        </w:rPr>
        <w:t>din</w:t>
      </w:r>
      <w:r w:rsidRPr="00264302">
        <w:rPr>
          <w:rFonts w:ascii="Book Antiqua" w:hAnsi="Book Antiqua" w:cs="Arial"/>
        </w:rPr>
        <w:t>gs that their relationship wa</w:t>
      </w:r>
      <w:r w:rsidR="00C842C7" w:rsidRPr="00264302">
        <w:rPr>
          <w:rFonts w:ascii="Book Antiqua" w:hAnsi="Book Antiqua" w:cs="Arial"/>
        </w:rPr>
        <w:t xml:space="preserve">s formed at a time when the </w:t>
      </w:r>
      <w:r w:rsidR="000064E8" w:rsidRPr="00264302">
        <w:rPr>
          <w:rFonts w:ascii="Book Antiqua" w:hAnsi="Book Antiqua" w:cs="Arial"/>
        </w:rPr>
        <w:t>Appellant</w:t>
      </w:r>
      <w:r w:rsidRPr="00264302">
        <w:rPr>
          <w:rFonts w:ascii="Book Antiqua" w:hAnsi="Book Antiqua" w:cs="Arial"/>
        </w:rPr>
        <w:t xml:space="preserve"> was in the UK lawfully) had all her ties to the UK, he did not consider the other limb which was wh</w:t>
      </w:r>
      <w:r w:rsidR="00C842C7" w:rsidRPr="00264302">
        <w:rPr>
          <w:rFonts w:ascii="Book Antiqua" w:hAnsi="Book Antiqua" w:cs="Arial"/>
        </w:rPr>
        <w:t>e</w:t>
      </w:r>
      <w:r w:rsidRPr="00264302">
        <w:rPr>
          <w:rFonts w:ascii="Book Antiqua" w:hAnsi="Book Antiqua" w:cs="Arial"/>
        </w:rPr>
        <w:t xml:space="preserve">ther it was unduly harsh for the children to remain in the UK without the </w:t>
      </w:r>
      <w:r w:rsidR="000064E8" w:rsidRPr="00264302">
        <w:rPr>
          <w:rFonts w:ascii="Book Antiqua" w:hAnsi="Book Antiqua" w:cs="Arial"/>
        </w:rPr>
        <w:t>Appellant</w:t>
      </w:r>
      <w:r w:rsidRPr="00264302">
        <w:rPr>
          <w:rFonts w:ascii="Book Antiqua" w:hAnsi="Book Antiqua" w:cs="Arial"/>
        </w:rPr>
        <w:t xml:space="preserve">. There had been no assessment of the best interests of the children in the context of the </w:t>
      </w:r>
      <w:r w:rsidR="000064E8" w:rsidRPr="00264302">
        <w:rPr>
          <w:rFonts w:ascii="Book Antiqua" w:hAnsi="Book Antiqua" w:cs="Arial"/>
        </w:rPr>
        <w:t>Appellant’s</w:t>
      </w:r>
      <w:r w:rsidRPr="00264302">
        <w:rPr>
          <w:rFonts w:ascii="Book Antiqua" w:hAnsi="Book Antiqua" w:cs="Arial"/>
        </w:rPr>
        <w:t xml:space="preserve"> relationship with them nor had there been any assessment of whether it would be “unduly harsh” for the children to remain in the UK without the </w:t>
      </w:r>
      <w:r w:rsidR="000064E8" w:rsidRPr="00264302">
        <w:rPr>
          <w:rFonts w:ascii="Book Antiqua" w:hAnsi="Book Antiqua" w:cs="Arial"/>
        </w:rPr>
        <w:t>Appellant</w:t>
      </w:r>
      <w:r w:rsidRPr="00264302">
        <w:rPr>
          <w:rFonts w:ascii="Book Antiqua" w:hAnsi="Book Antiqua" w:cs="Arial"/>
        </w:rPr>
        <w:t xml:space="preserve"> and in the context of the public interest as required. At its highest he made a finding that he enjoyed a good r</w:t>
      </w:r>
      <w:r w:rsidR="00C842C7" w:rsidRPr="00264302">
        <w:rPr>
          <w:rFonts w:ascii="Book Antiqua" w:hAnsi="Book Antiqua" w:cs="Arial"/>
        </w:rPr>
        <w:t>elationship with the children (</w:t>
      </w:r>
      <w:r w:rsidRPr="00264302">
        <w:rPr>
          <w:rFonts w:ascii="Book Antiqua" w:hAnsi="Book Antiqua" w:cs="Arial"/>
        </w:rPr>
        <w:t xml:space="preserve">see [70]) but there was no consideration of whether any separation would be </w:t>
      </w:r>
      <w:r w:rsidR="00A35DC0" w:rsidRPr="00264302">
        <w:rPr>
          <w:rFonts w:ascii="Book Antiqua" w:hAnsi="Book Antiqua" w:cs="Arial"/>
        </w:rPr>
        <w:t>“unduly</w:t>
      </w:r>
      <w:r w:rsidRPr="00264302">
        <w:rPr>
          <w:rFonts w:ascii="Book Antiqua" w:hAnsi="Book Antiqua" w:cs="Arial"/>
        </w:rPr>
        <w:t xml:space="preserve"> harsh</w:t>
      </w:r>
      <w:r w:rsidR="00A35DC0" w:rsidRPr="00264302">
        <w:rPr>
          <w:rFonts w:ascii="Book Antiqua" w:hAnsi="Book Antiqua" w:cs="Arial"/>
        </w:rPr>
        <w:t>.”</w:t>
      </w:r>
    </w:p>
    <w:p w:rsidR="003C5526" w:rsidRPr="00264302" w:rsidRDefault="003C5526"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 also remind myself of what was said in the decision of </w:t>
      </w:r>
      <w:r w:rsidRPr="00264302">
        <w:rPr>
          <w:rFonts w:ascii="Book Antiqua" w:hAnsi="Book Antiqua" w:cs="Arial"/>
          <w:u w:val="single"/>
        </w:rPr>
        <w:t>SSHD v AJ</w:t>
      </w:r>
      <w:r w:rsidR="00B75F87">
        <w:rPr>
          <w:rFonts w:ascii="Book Antiqua" w:hAnsi="Book Antiqua" w:cs="Arial"/>
          <w:u w:val="single"/>
        </w:rPr>
        <w:t xml:space="preserve"> </w:t>
      </w:r>
      <w:r w:rsidRPr="00264302">
        <w:rPr>
          <w:rFonts w:ascii="Book Antiqua" w:hAnsi="Book Antiqua" w:cs="Arial"/>
          <w:u w:val="single"/>
        </w:rPr>
        <w:t>(Zimbabwe)</w:t>
      </w:r>
      <w:r w:rsidR="006F4ECD" w:rsidRPr="00264302">
        <w:rPr>
          <w:rFonts w:ascii="Book Antiqua" w:hAnsi="Book Antiqua" w:cs="Arial"/>
          <w:u w:val="single"/>
        </w:rPr>
        <w:t xml:space="preserve"> [2016] </w:t>
      </w:r>
      <w:r w:rsidR="006F4ECD" w:rsidRPr="00264302">
        <w:rPr>
          <w:rFonts w:ascii="Book Antiqua" w:hAnsi="Book Antiqua" w:cs="Arial"/>
        </w:rPr>
        <w:t>EWCA</w:t>
      </w:r>
      <w:r w:rsidR="00A35DC0" w:rsidRPr="00264302">
        <w:rPr>
          <w:rFonts w:ascii="Book Antiqua" w:hAnsi="Book Antiqua" w:cs="Arial"/>
        </w:rPr>
        <w:t xml:space="preserve"> </w:t>
      </w:r>
      <w:proofErr w:type="spellStart"/>
      <w:r w:rsidR="006F4ECD" w:rsidRPr="00264302">
        <w:rPr>
          <w:rFonts w:ascii="Book Antiqua" w:hAnsi="Book Antiqua" w:cs="Arial"/>
        </w:rPr>
        <w:t>Civ</w:t>
      </w:r>
      <w:proofErr w:type="spellEnd"/>
      <w:r w:rsidR="006F4ECD" w:rsidRPr="00264302">
        <w:rPr>
          <w:rFonts w:ascii="Book Antiqua" w:hAnsi="Book Antiqua" w:cs="Arial"/>
        </w:rPr>
        <w:t xml:space="preserve"> 1012</w:t>
      </w:r>
      <w:r w:rsidRPr="00264302">
        <w:rPr>
          <w:rFonts w:ascii="Book Antiqua" w:hAnsi="Book Antiqua" w:cs="Arial"/>
        </w:rPr>
        <w:t xml:space="preserve"> at [17] where it was stated:</w:t>
      </w:r>
    </w:p>
    <w:p w:rsidR="003C5526" w:rsidRPr="00B75F87" w:rsidRDefault="003C5526" w:rsidP="00B75F87">
      <w:pPr>
        <w:tabs>
          <w:tab w:val="left" w:pos="1701"/>
        </w:tabs>
        <w:spacing w:before="120"/>
        <w:ind w:left="1134" w:right="567"/>
        <w:jc w:val="both"/>
        <w:rPr>
          <w:rFonts w:ascii="Book Antiqua" w:hAnsi="Book Antiqua" w:cs="Arial"/>
          <w:sz w:val="22"/>
        </w:rPr>
      </w:pPr>
      <w:r w:rsidRPr="00B75F87">
        <w:rPr>
          <w:rFonts w:ascii="Book Antiqua" w:hAnsi="Book Antiqua" w:cs="Arial"/>
          <w:sz w:val="22"/>
        </w:rPr>
        <w:t>“17</w:t>
      </w:r>
      <w:r w:rsidR="00B75F87">
        <w:rPr>
          <w:rFonts w:ascii="Book Antiqua" w:hAnsi="Book Antiqua" w:cs="Arial"/>
          <w:sz w:val="22"/>
        </w:rPr>
        <w:tab/>
      </w:r>
      <w:r w:rsidRPr="00B75F87">
        <w:rPr>
          <w:rFonts w:ascii="Book Antiqua" w:hAnsi="Book Antiqua" w:cs="Arial"/>
          <w:sz w:val="22"/>
        </w:rPr>
        <w:t xml:space="preserve">… In many, if not most cases where this </w:t>
      </w:r>
      <w:r w:rsidR="0065162B" w:rsidRPr="00B75F87">
        <w:rPr>
          <w:rFonts w:ascii="Book Antiqua" w:hAnsi="Book Antiqua" w:cs="Arial"/>
          <w:sz w:val="22"/>
        </w:rPr>
        <w:t>Exception</w:t>
      </w:r>
      <w:r w:rsidRPr="00B75F87">
        <w:rPr>
          <w:rFonts w:ascii="Book Antiqua" w:hAnsi="Book Antiqua" w:cs="Arial"/>
          <w:sz w:val="22"/>
        </w:rPr>
        <w:t xml:space="preserve"> is potentially engaged there will be the normal relationship of love and affection between parent and child and it is virtually always in the best interests of the child that relationship to continue. If that were enough to render deportation a disproportionate interference of family life, it would </w:t>
      </w:r>
      <w:r w:rsidR="00F60BA1" w:rsidRPr="00B75F87">
        <w:rPr>
          <w:rFonts w:ascii="Book Antiqua" w:hAnsi="Book Antiqua" w:cs="Arial"/>
          <w:sz w:val="22"/>
        </w:rPr>
        <w:t>d</w:t>
      </w:r>
      <w:r w:rsidRPr="00B75F87">
        <w:rPr>
          <w:rFonts w:ascii="Book Antiqua" w:hAnsi="Book Antiqua" w:cs="Arial"/>
          <w:sz w:val="22"/>
        </w:rPr>
        <w:t>rain the rule of any practical significance. It would mean the deportation would constitute a disproportionate interference with private life in the ordinary run of cases where children are adverse affected and the carefully framed conditions in rule 399(a) would be largely otiose”.</w:t>
      </w:r>
    </w:p>
    <w:p w:rsidR="00C80BCF" w:rsidRPr="00264302" w:rsidRDefault="003C5526" w:rsidP="00C94BD5">
      <w:pPr>
        <w:pStyle w:val="ListParagraph"/>
        <w:numPr>
          <w:ilvl w:val="0"/>
          <w:numId w:val="25"/>
        </w:numPr>
        <w:spacing w:before="160"/>
        <w:jc w:val="both"/>
        <w:rPr>
          <w:rFonts w:ascii="Book Antiqua" w:hAnsi="Book Antiqua" w:cs="Arial"/>
        </w:rPr>
      </w:pPr>
      <w:r w:rsidRPr="00264302">
        <w:rPr>
          <w:rFonts w:ascii="Book Antiqua" w:hAnsi="Book Antiqua" w:cs="Arial"/>
        </w:rPr>
        <w:t>Whilst the court was dealing with the old rules, it seems to me that those observations are still applicable.</w:t>
      </w:r>
    </w:p>
    <w:p w:rsidR="00793491" w:rsidRPr="00264302" w:rsidRDefault="00793491"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As the grounds of the </w:t>
      </w:r>
      <w:r w:rsidR="000064E8" w:rsidRPr="00264302">
        <w:rPr>
          <w:rFonts w:ascii="Book Antiqua" w:hAnsi="Book Antiqua" w:cs="Arial"/>
        </w:rPr>
        <w:t>Respondent</w:t>
      </w:r>
      <w:r w:rsidRPr="00264302">
        <w:rPr>
          <w:rFonts w:ascii="Book Antiqua" w:hAnsi="Book Antiqua" w:cs="Arial"/>
        </w:rPr>
        <w:t xml:space="preserve"> set out, the decision displays a lack of reasoning with regard to the requirements of paragraph 39</w:t>
      </w:r>
      <w:r w:rsidR="00C842C7" w:rsidRPr="00264302">
        <w:rPr>
          <w:rFonts w:ascii="Book Antiqua" w:hAnsi="Book Antiqua" w:cs="Arial"/>
        </w:rPr>
        <w:t>9 and section 117C of the 2007 A</w:t>
      </w:r>
      <w:r w:rsidRPr="00264302">
        <w:rPr>
          <w:rFonts w:ascii="Book Antiqua" w:hAnsi="Book Antiqua" w:cs="Arial"/>
        </w:rPr>
        <w:t>ct and there is no reason pr</w:t>
      </w:r>
      <w:r w:rsidR="00C842C7" w:rsidRPr="00264302">
        <w:rPr>
          <w:rFonts w:ascii="Book Antiqua" w:hAnsi="Book Antiqua" w:cs="Arial"/>
        </w:rPr>
        <w:t>ovided as to whether his</w:t>
      </w:r>
      <w:r w:rsidRPr="00264302">
        <w:rPr>
          <w:rFonts w:ascii="Book Antiqua" w:hAnsi="Book Antiqua" w:cs="Arial"/>
        </w:rPr>
        <w:t xml:space="preserve"> deportation would be “unduly harsh” in the light of the circumstances in relation to the </w:t>
      </w:r>
      <w:r w:rsidR="000064E8" w:rsidRPr="00264302">
        <w:rPr>
          <w:rFonts w:ascii="Book Antiqua" w:hAnsi="Book Antiqua" w:cs="Arial"/>
        </w:rPr>
        <w:t>Appellant’s</w:t>
      </w:r>
      <w:r w:rsidRPr="00264302">
        <w:rPr>
          <w:rFonts w:ascii="Book Antiqua" w:hAnsi="Book Antiqua" w:cs="Arial"/>
        </w:rPr>
        <w:t xml:space="preserve"> children nor </w:t>
      </w:r>
      <w:r w:rsidR="00C842C7" w:rsidRPr="00264302">
        <w:rPr>
          <w:rFonts w:ascii="Book Antiqua" w:hAnsi="Book Antiqua" w:cs="Arial"/>
        </w:rPr>
        <w:t>had there been any proper</w:t>
      </w:r>
      <w:r w:rsidRPr="00264302">
        <w:rPr>
          <w:rFonts w:ascii="Book Antiqua" w:hAnsi="Book Antiqua" w:cs="Arial"/>
        </w:rPr>
        <w:t xml:space="preserve"> consideration of the public interest in this context. I cannot find as Mr Karnik submits that his fleeting reference at [67] properly addresses the issues and the substance of those issues that require</w:t>
      </w:r>
      <w:r w:rsidR="003756ED" w:rsidRPr="00264302">
        <w:rPr>
          <w:rFonts w:ascii="Book Antiqua" w:hAnsi="Book Antiqua" w:cs="Arial"/>
        </w:rPr>
        <w:t>d</w:t>
      </w:r>
      <w:r w:rsidRPr="00264302">
        <w:rPr>
          <w:rFonts w:ascii="Book Antiqua" w:hAnsi="Book Antiqua" w:cs="Arial"/>
        </w:rPr>
        <w:t xml:space="preserve"> determination.</w:t>
      </w:r>
    </w:p>
    <w:p w:rsidR="006C629F" w:rsidRPr="00264302" w:rsidRDefault="00793491" w:rsidP="00C94BD5">
      <w:pPr>
        <w:pStyle w:val="ListParagraph"/>
        <w:numPr>
          <w:ilvl w:val="0"/>
          <w:numId w:val="25"/>
        </w:numPr>
        <w:spacing w:before="160"/>
        <w:jc w:val="both"/>
        <w:rPr>
          <w:rFonts w:ascii="Book Antiqua" w:hAnsi="Book Antiqua" w:cs="Arial"/>
        </w:rPr>
      </w:pPr>
      <w:proofErr w:type="gramStart"/>
      <w:r w:rsidRPr="00264302">
        <w:rPr>
          <w:rFonts w:ascii="Book Antiqua" w:hAnsi="Book Antiqua" w:cs="Arial"/>
        </w:rPr>
        <w:lastRenderedPageBreak/>
        <w:t>Consequently</w:t>
      </w:r>
      <w:proofErr w:type="gramEnd"/>
      <w:r w:rsidRPr="00264302">
        <w:rPr>
          <w:rFonts w:ascii="Book Antiqua" w:hAnsi="Book Antiqua" w:cs="Arial"/>
        </w:rPr>
        <w:t xml:space="preserve"> </w:t>
      </w:r>
      <w:r w:rsidR="006C629F" w:rsidRPr="00264302">
        <w:rPr>
          <w:rFonts w:ascii="Book Antiqua" w:hAnsi="Book Antiqua" w:cs="Arial"/>
        </w:rPr>
        <w:t xml:space="preserve">I am satisfied that the judge did </w:t>
      </w:r>
      <w:r w:rsidRPr="00264302">
        <w:rPr>
          <w:rFonts w:ascii="Book Antiqua" w:hAnsi="Book Antiqua" w:cs="Arial"/>
        </w:rPr>
        <w:t xml:space="preserve">not </w:t>
      </w:r>
      <w:r w:rsidR="006C629F" w:rsidRPr="00264302">
        <w:rPr>
          <w:rFonts w:ascii="Book Antiqua" w:hAnsi="Book Antiqua" w:cs="Arial"/>
        </w:rPr>
        <w:t xml:space="preserve">take into account the correct legislative background and that the conclusions that were reached by the First-tier </w:t>
      </w:r>
      <w:r w:rsidR="000064E8" w:rsidRPr="00264302">
        <w:rPr>
          <w:rFonts w:ascii="Book Antiqua" w:hAnsi="Book Antiqua" w:cs="Arial"/>
        </w:rPr>
        <w:t>Tribunal</w:t>
      </w:r>
      <w:r w:rsidRPr="00264302">
        <w:rPr>
          <w:rFonts w:ascii="Book Antiqua" w:hAnsi="Book Antiqua" w:cs="Arial"/>
        </w:rPr>
        <w:t xml:space="preserve"> do demonstrate a legal error of materiality. </w:t>
      </w:r>
    </w:p>
    <w:p w:rsidR="00506C19" w:rsidRPr="00264302" w:rsidRDefault="00A530CB" w:rsidP="00C94BD5">
      <w:pPr>
        <w:pStyle w:val="ListParagraph"/>
        <w:numPr>
          <w:ilvl w:val="0"/>
          <w:numId w:val="25"/>
        </w:numPr>
        <w:spacing w:before="160"/>
        <w:jc w:val="both"/>
        <w:rPr>
          <w:rFonts w:ascii="Book Antiqua" w:hAnsi="Book Antiqua" w:cs="Arial"/>
        </w:rPr>
      </w:pPr>
      <w:r w:rsidRPr="00264302">
        <w:rPr>
          <w:rFonts w:ascii="Book Antiqua" w:hAnsi="Book Antiqua" w:cs="Arial"/>
        </w:rPr>
        <w:t>However, if the judges</w:t>
      </w:r>
      <w:r w:rsidR="00506C19" w:rsidRPr="00264302">
        <w:rPr>
          <w:rFonts w:ascii="Book Antiqua" w:hAnsi="Book Antiqua" w:cs="Arial"/>
        </w:rPr>
        <w:t>’</w:t>
      </w:r>
      <w:r w:rsidRPr="00264302">
        <w:rPr>
          <w:rFonts w:ascii="Book Antiqua" w:hAnsi="Book Antiqua" w:cs="Arial"/>
        </w:rPr>
        <w:t xml:space="preserve"> conclusions on the protection claim</w:t>
      </w:r>
      <w:r w:rsidR="00506C19" w:rsidRPr="00264302">
        <w:rPr>
          <w:rFonts w:ascii="Book Antiqua" w:hAnsi="Book Antiqua" w:cs="Arial"/>
        </w:rPr>
        <w:t xml:space="preserve"> aspect of the appeal are free from any legal error then any error of law as has been found in the preceding paragraphs would be immaterial to the outcome as he would be entitled to succeed on that basis alone.</w:t>
      </w:r>
    </w:p>
    <w:p w:rsidR="00A530CB" w:rsidRPr="00264302" w:rsidRDefault="00506C19"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 therefore turn to that aspect of the appeal and the grounds advanced on behalf of the </w:t>
      </w:r>
      <w:r w:rsidR="000064E8" w:rsidRPr="00264302">
        <w:rPr>
          <w:rFonts w:ascii="Book Antiqua" w:hAnsi="Book Antiqua" w:cs="Arial"/>
        </w:rPr>
        <w:t>Respondent</w:t>
      </w:r>
      <w:r w:rsidRPr="00264302">
        <w:rPr>
          <w:rFonts w:ascii="Book Antiqua" w:hAnsi="Book Antiqua" w:cs="Arial"/>
        </w:rPr>
        <w:t xml:space="preserve"> in the context of the determination of the FtT Judge.</w:t>
      </w:r>
      <w:r w:rsidR="000001AD" w:rsidRPr="00264302">
        <w:rPr>
          <w:rFonts w:ascii="Book Antiqua" w:hAnsi="Book Antiqua" w:cs="Arial"/>
        </w:rPr>
        <w:t xml:space="preserve"> </w:t>
      </w:r>
    </w:p>
    <w:p w:rsidR="00C842C7" w:rsidRPr="00264302" w:rsidRDefault="00C842C7" w:rsidP="00C94BD5">
      <w:pPr>
        <w:spacing w:before="160"/>
        <w:jc w:val="both"/>
        <w:rPr>
          <w:rFonts w:ascii="Book Antiqua" w:hAnsi="Book Antiqua" w:cs="Arial"/>
          <w:u w:val="single"/>
        </w:rPr>
      </w:pPr>
      <w:r w:rsidRPr="00264302">
        <w:rPr>
          <w:rFonts w:ascii="Book Antiqua" w:hAnsi="Book Antiqua" w:cs="Arial"/>
          <w:u w:val="single"/>
        </w:rPr>
        <w:t>The protection claim:</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determination records the issues at [28]; it was agreed that there was no asylum claim advanced on behalf the </w:t>
      </w:r>
      <w:r w:rsidR="000064E8" w:rsidRPr="00264302">
        <w:rPr>
          <w:rFonts w:ascii="Book Antiqua" w:hAnsi="Book Antiqua" w:cs="Arial"/>
        </w:rPr>
        <w:t>Appellant</w:t>
      </w:r>
      <w:r w:rsidRPr="00264302">
        <w:rPr>
          <w:rFonts w:ascii="Book Antiqua" w:hAnsi="Book Antiqua" w:cs="Arial"/>
        </w:rPr>
        <w:t xml:space="preserve"> and that his only claim related to humanitarian protection, </w:t>
      </w:r>
      <w:r w:rsidR="000064E8" w:rsidRPr="00264302">
        <w:rPr>
          <w:rFonts w:ascii="Book Antiqua" w:hAnsi="Book Antiqua" w:cs="Arial"/>
        </w:rPr>
        <w:t>Article</w:t>
      </w:r>
      <w:r w:rsidRPr="00264302">
        <w:rPr>
          <w:rFonts w:ascii="Book Antiqua" w:hAnsi="Book Antiqua" w:cs="Arial"/>
        </w:rPr>
        <w:t xml:space="preserve"> 3 and </w:t>
      </w:r>
      <w:r w:rsidR="000064E8" w:rsidRPr="00264302">
        <w:rPr>
          <w:rFonts w:ascii="Book Antiqua" w:hAnsi="Book Antiqua" w:cs="Arial"/>
        </w:rPr>
        <w:t>Article</w:t>
      </w:r>
      <w:r w:rsidRPr="00264302">
        <w:rPr>
          <w:rFonts w:ascii="Book Antiqua" w:hAnsi="Book Antiqua" w:cs="Arial"/>
        </w:rPr>
        <w:t xml:space="preserve"> 15 (c) and </w:t>
      </w:r>
      <w:r w:rsidR="000064E8" w:rsidRPr="00264302">
        <w:rPr>
          <w:rFonts w:ascii="Book Antiqua" w:hAnsi="Book Antiqua" w:cs="Arial"/>
        </w:rPr>
        <w:t>Article</w:t>
      </w:r>
      <w:r w:rsidRPr="00264302">
        <w:rPr>
          <w:rFonts w:ascii="Book Antiqua" w:hAnsi="Book Antiqua" w:cs="Arial"/>
        </w:rPr>
        <w:t xml:space="preserve"> 8.</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judge set out his findings at paragraphs 51 – 75 of the determination. As to the </w:t>
      </w:r>
      <w:r w:rsidR="000064E8" w:rsidRPr="00264302">
        <w:rPr>
          <w:rFonts w:ascii="Book Antiqua" w:hAnsi="Book Antiqua" w:cs="Arial"/>
        </w:rPr>
        <w:t>Appellant</w:t>
      </w:r>
      <w:r w:rsidR="008D23FB" w:rsidRPr="00264302">
        <w:rPr>
          <w:rFonts w:ascii="Book Antiqua" w:hAnsi="Book Antiqua" w:cs="Arial"/>
        </w:rPr>
        <w:t>’s</w:t>
      </w:r>
      <w:r w:rsidRPr="00264302">
        <w:rPr>
          <w:rFonts w:ascii="Book Antiqua" w:hAnsi="Book Antiqua" w:cs="Arial"/>
        </w:rPr>
        <w:t xml:space="preserve"> factual claim, he stated that he took as his starting point the previous asylum and humanitarian “appeal” which had previously been dismissed. At [53] the judge considered his recent claim that he feared a revenge attack upon him by the family of the murderer of his relative whose body had repatriated to Iraq. The judge at [53 – 54] rejected that claim noting that the </w:t>
      </w:r>
      <w:r w:rsidR="000064E8" w:rsidRPr="00264302">
        <w:rPr>
          <w:rFonts w:ascii="Book Antiqua" w:hAnsi="Book Antiqua" w:cs="Arial"/>
        </w:rPr>
        <w:t>Appellant</w:t>
      </w:r>
      <w:r w:rsidRPr="00264302">
        <w:rPr>
          <w:rFonts w:ascii="Book Antiqua" w:hAnsi="Book Antiqua" w:cs="Arial"/>
        </w:rPr>
        <w:t xml:space="preserve"> had returned to Iraq on three occasions; the last occasion from 29 March to 5 August 2013 and that if he was genuinely in fear he would not have stayed for f</w:t>
      </w:r>
      <w:r w:rsidR="008D23FB" w:rsidRPr="00264302">
        <w:rPr>
          <w:rFonts w:ascii="Book Antiqua" w:hAnsi="Book Antiqua" w:cs="Arial"/>
        </w:rPr>
        <w:t>ive months. Furthermore [</w:t>
      </w:r>
      <w:r w:rsidRPr="00264302">
        <w:rPr>
          <w:rFonts w:ascii="Book Antiqua" w:hAnsi="Book Antiqua" w:cs="Arial"/>
        </w:rPr>
        <w:t xml:space="preserve">54] the next-of-kin consultation form did not refer to the </w:t>
      </w:r>
      <w:r w:rsidR="000064E8" w:rsidRPr="00264302">
        <w:rPr>
          <w:rFonts w:ascii="Book Antiqua" w:hAnsi="Book Antiqua" w:cs="Arial"/>
        </w:rPr>
        <w:t>Appellant</w:t>
      </w:r>
      <w:r w:rsidRPr="00264302">
        <w:rPr>
          <w:rFonts w:ascii="Book Antiqua" w:hAnsi="Book Antiqua" w:cs="Arial"/>
        </w:rPr>
        <w:t xml:space="preserve"> thus </w:t>
      </w:r>
      <w:r w:rsidR="008D23FB" w:rsidRPr="00264302">
        <w:rPr>
          <w:rFonts w:ascii="Book Antiqua" w:hAnsi="Book Antiqua" w:cs="Arial"/>
        </w:rPr>
        <w:t xml:space="preserve">he </w:t>
      </w:r>
      <w:r w:rsidRPr="00264302">
        <w:rPr>
          <w:rFonts w:ascii="Book Antiqua" w:hAnsi="Book Antiqua" w:cs="Arial"/>
        </w:rPr>
        <w:t>placed no weight on that document.</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A further finding that he made at [58] was as </w:t>
      </w:r>
      <w:proofErr w:type="gramStart"/>
      <w:r w:rsidRPr="00264302">
        <w:rPr>
          <w:rFonts w:ascii="Book Antiqua" w:hAnsi="Book Antiqua" w:cs="Arial"/>
        </w:rPr>
        <w:t>follows:-</w:t>
      </w:r>
      <w:proofErr w:type="gramEnd"/>
    </w:p>
    <w:p w:rsidR="00C21EC0" w:rsidRPr="00B75F87" w:rsidRDefault="00B75F87" w:rsidP="00B75F87">
      <w:pPr>
        <w:tabs>
          <w:tab w:val="left" w:pos="1701"/>
        </w:tabs>
        <w:spacing w:before="120"/>
        <w:ind w:left="1134" w:right="567"/>
        <w:jc w:val="both"/>
        <w:rPr>
          <w:rFonts w:ascii="Book Antiqua" w:hAnsi="Book Antiqua" w:cs="Arial"/>
          <w:sz w:val="22"/>
        </w:rPr>
      </w:pPr>
      <w:r>
        <w:rPr>
          <w:rFonts w:ascii="Book Antiqua" w:hAnsi="Book Antiqua" w:cs="Arial"/>
          <w:sz w:val="22"/>
        </w:rPr>
        <w:t>“58.</w:t>
      </w:r>
      <w:r>
        <w:rPr>
          <w:rFonts w:ascii="Book Antiqua" w:hAnsi="Book Antiqua" w:cs="Arial"/>
          <w:sz w:val="22"/>
        </w:rPr>
        <w:tab/>
      </w:r>
      <w:r w:rsidR="00C21EC0" w:rsidRPr="00B75F87">
        <w:rPr>
          <w:rFonts w:ascii="Book Antiqua" w:hAnsi="Book Antiqua" w:cs="Arial"/>
          <w:sz w:val="22"/>
        </w:rPr>
        <w:t xml:space="preserve">It is the case at the </w:t>
      </w:r>
      <w:r w:rsidR="000064E8" w:rsidRPr="00B75F87">
        <w:rPr>
          <w:rFonts w:ascii="Book Antiqua" w:hAnsi="Book Antiqua" w:cs="Arial"/>
          <w:sz w:val="22"/>
        </w:rPr>
        <w:t>Appellant</w:t>
      </w:r>
      <w:r w:rsidR="00C21EC0" w:rsidRPr="00B75F87">
        <w:rPr>
          <w:rFonts w:ascii="Book Antiqua" w:hAnsi="Book Antiqua" w:cs="Arial"/>
          <w:sz w:val="22"/>
        </w:rPr>
        <w:t xml:space="preserve"> did have a passport, since I have seen evidence of the same and, indeed, his passport enabled him to travel to Iraq previously. The </w:t>
      </w:r>
      <w:r w:rsidR="000064E8" w:rsidRPr="00B75F87">
        <w:rPr>
          <w:rFonts w:ascii="Book Antiqua" w:hAnsi="Book Antiqua" w:cs="Arial"/>
          <w:sz w:val="22"/>
        </w:rPr>
        <w:t>Appellant</w:t>
      </w:r>
      <w:r w:rsidR="00C21EC0" w:rsidRPr="00B75F87">
        <w:rPr>
          <w:rFonts w:ascii="Book Antiqua" w:hAnsi="Book Antiqua" w:cs="Arial"/>
          <w:sz w:val="22"/>
        </w:rPr>
        <w:t xml:space="preserve"> had said that he had lost his passport during removal from his previous home to his present home and therefore has no identity document himself.”</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judge then turned to the issue of return to Iraq and/or relocation at paragraphs [59 – 65]. He took into account that the </w:t>
      </w:r>
      <w:r w:rsidR="000064E8" w:rsidRPr="00264302">
        <w:rPr>
          <w:rFonts w:ascii="Book Antiqua" w:hAnsi="Book Antiqua" w:cs="Arial"/>
        </w:rPr>
        <w:t>Appellant</w:t>
      </w:r>
      <w:r w:rsidRPr="00264302">
        <w:rPr>
          <w:rFonts w:ascii="Book Antiqua" w:hAnsi="Book Antiqua" w:cs="Arial"/>
        </w:rPr>
        <w:t xml:space="preserve"> had been in Iraq in 2013 (as evidenced by his passport) but had not returned since that time. At paragraph [60] the judge made reference to the guidance in </w:t>
      </w:r>
      <w:r w:rsidRPr="00264302">
        <w:rPr>
          <w:rFonts w:ascii="Book Antiqua" w:hAnsi="Book Antiqua" w:cs="Arial"/>
          <w:u w:val="single"/>
        </w:rPr>
        <w:t>AA (Iraq) v SSHD</w:t>
      </w:r>
      <w:r w:rsidRPr="00264302">
        <w:rPr>
          <w:rFonts w:ascii="Book Antiqua" w:hAnsi="Book Antiqua" w:cs="Arial"/>
        </w:rPr>
        <w:t xml:space="preserve"> [2017] EWCA</w:t>
      </w:r>
      <w:r w:rsidR="00A35DC0" w:rsidRPr="00264302">
        <w:rPr>
          <w:rFonts w:ascii="Book Antiqua" w:hAnsi="Book Antiqua" w:cs="Arial"/>
        </w:rPr>
        <w:t xml:space="preserve"> </w:t>
      </w:r>
      <w:r w:rsidRPr="00264302">
        <w:rPr>
          <w:rFonts w:ascii="Book Antiqua" w:hAnsi="Book Antiqua" w:cs="Arial"/>
        </w:rPr>
        <w:t xml:space="preserve">Civ paragraph 40 in which reference was made to decision-makers “must take decisions on entitlement protection within a reasonable period of time and must not decline to </w:t>
      </w:r>
      <w:r w:rsidR="008D23FB" w:rsidRPr="00264302">
        <w:rPr>
          <w:rFonts w:ascii="Book Antiqua" w:hAnsi="Book Antiqua" w:cs="Arial"/>
        </w:rPr>
        <w:t xml:space="preserve">address a material element of a </w:t>
      </w:r>
      <w:r w:rsidRPr="00264302">
        <w:rPr>
          <w:rFonts w:ascii="Book Antiqua" w:hAnsi="Book Antiqua" w:cs="Arial"/>
        </w:rPr>
        <w:t xml:space="preserve">claim such as this… Hence it will be wrong indefinitely to postpone the enquiry.” After quoting that paragraph, he stated “I therefore bear in mind the acceptance by the </w:t>
      </w:r>
      <w:r w:rsidR="000064E8" w:rsidRPr="00264302">
        <w:rPr>
          <w:rFonts w:ascii="Book Antiqua" w:hAnsi="Book Antiqua" w:cs="Arial"/>
        </w:rPr>
        <w:t>Respondent</w:t>
      </w:r>
      <w:r w:rsidRPr="00264302">
        <w:rPr>
          <w:rFonts w:ascii="Book Antiqua" w:hAnsi="Book Antiqua" w:cs="Arial"/>
        </w:rPr>
        <w:t xml:space="preserve"> that return is currently not feasible”. He had earlier set out at [40] the following “I note that it was agre</w:t>
      </w:r>
      <w:r w:rsidR="008D23FB" w:rsidRPr="00264302">
        <w:rPr>
          <w:rFonts w:ascii="Book Antiqua" w:hAnsi="Book Antiqua" w:cs="Arial"/>
        </w:rPr>
        <w:t>ed by the presenting officer that</w:t>
      </w:r>
      <w:r w:rsidRPr="00264302">
        <w:rPr>
          <w:rFonts w:ascii="Book Antiqua" w:hAnsi="Book Antiqua" w:cs="Arial"/>
        </w:rPr>
        <w:t xml:space="preserve"> return to Iraq was currently not feasible.”</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At [61] he made reference to the argument that Diyala, Kirkuk, and Salah al –Din no longer met the threshold of </w:t>
      </w:r>
      <w:r w:rsidR="000064E8" w:rsidRPr="00264302">
        <w:rPr>
          <w:rFonts w:ascii="Book Antiqua" w:hAnsi="Book Antiqua" w:cs="Arial"/>
        </w:rPr>
        <w:t>Article</w:t>
      </w:r>
      <w:r w:rsidRPr="00264302">
        <w:rPr>
          <w:rFonts w:ascii="Book Antiqua" w:hAnsi="Book Antiqua" w:cs="Arial"/>
        </w:rPr>
        <w:t xml:space="preserve"> 15 (c) and that the security situation had changed the contested areas and that it</w:t>
      </w:r>
      <w:r w:rsidR="009A376A" w:rsidRPr="00264302">
        <w:rPr>
          <w:rFonts w:ascii="Book Antiqua" w:hAnsi="Book Antiqua" w:cs="Arial"/>
        </w:rPr>
        <w:t xml:space="preserve"> had</w:t>
      </w:r>
      <w:r w:rsidRPr="00264302">
        <w:rPr>
          <w:rFonts w:ascii="Book Antiqua" w:hAnsi="Book Antiqua" w:cs="Arial"/>
        </w:rPr>
        <w:t xml:space="preserve"> been argued that he could relocate and return to </w:t>
      </w:r>
      <w:r w:rsidRPr="00264302">
        <w:rPr>
          <w:rFonts w:ascii="Book Antiqua" w:hAnsi="Book Antiqua" w:cs="Arial"/>
        </w:rPr>
        <w:lastRenderedPageBreak/>
        <w:t>Erbil and then regularise his position (in light of the IDI internal flight (and technical obstacles) 24</w:t>
      </w:r>
      <w:r w:rsidRPr="00264302">
        <w:rPr>
          <w:rFonts w:ascii="Book Antiqua" w:hAnsi="Book Antiqua" w:cs="Arial"/>
          <w:vertAlign w:val="superscript"/>
        </w:rPr>
        <w:t>th</w:t>
      </w:r>
      <w:r w:rsidRPr="00264302">
        <w:rPr>
          <w:rFonts w:ascii="Book Antiqua" w:hAnsi="Book Antiqua" w:cs="Arial"/>
        </w:rPr>
        <w:t xml:space="preserve"> of December 2014” pre</w:t>
      </w:r>
      <w:r w:rsidR="008D23FB" w:rsidRPr="00264302">
        <w:rPr>
          <w:rFonts w:ascii="Book Antiqua" w:hAnsi="Book Antiqua" w:cs="Arial"/>
        </w:rPr>
        <w:t>-</w:t>
      </w:r>
      <w:r w:rsidRPr="00264302">
        <w:rPr>
          <w:rFonts w:ascii="Book Antiqua" w:hAnsi="Book Antiqua" w:cs="Arial"/>
        </w:rPr>
        <w:t>clearance is necessary.”</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judge then stated at [62] that he accepted the submission that whilst the </w:t>
      </w:r>
      <w:r w:rsidR="000064E8" w:rsidRPr="00264302">
        <w:rPr>
          <w:rFonts w:ascii="Book Antiqua" w:hAnsi="Book Antiqua" w:cs="Arial"/>
        </w:rPr>
        <w:t>Appellant</w:t>
      </w:r>
      <w:r w:rsidRPr="00264302">
        <w:rPr>
          <w:rFonts w:ascii="Book Antiqua" w:hAnsi="Book Antiqua" w:cs="Arial"/>
        </w:rPr>
        <w:t xml:space="preserve"> did h</w:t>
      </w:r>
      <w:r w:rsidR="008D23FB" w:rsidRPr="00264302">
        <w:rPr>
          <w:rFonts w:ascii="Book Antiqua" w:hAnsi="Book Antiqua" w:cs="Arial"/>
        </w:rPr>
        <w:t>ave a passport previously, it had</w:t>
      </w:r>
      <w:r w:rsidRPr="00264302">
        <w:rPr>
          <w:rFonts w:ascii="Book Antiqua" w:hAnsi="Book Antiqua" w:cs="Arial"/>
        </w:rPr>
        <w:t xml:space="preserve"> now expired and had been lost. Thus he </w:t>
      </w:r>
      <w:proofErr w:type="gramStart"/>
      <w:r w:rsidRPr="00264302">
        <w:rPr>
          <w:rFonts w:ascii="Book Antiqua" w:hAnsi="Book Antiqua" w:cs="Arial"/>
        </w:rPr>
        <w:t>stated</w:t>
      </w:r>
      <w:proofErr w:type="gramEnd"/>
      <w:r w:rsidRPr="00264302">
        <w:rPr>
          <w:rFonts w:ascii="Book Antiqua" w:hAnsi="Book Antiqua" w:cs="Arial"/>
        </w:rPr>
        <w:t xml:space="preserve"> “I find that return would not be possible at the present time.” At [63] he further stated “there is also the question of a reasonable period of time, a matter I have referred to above. As I have said above, return is not feasible to Erbil at the current time and delay is certainly a factor which weigh</w:t>
      </w:r>
      <w:r w:rsidR="008D23FB" w:rsidRPr="00264302">
        <w:rPr>
          <w:rFonts w:ascii="Book Antiqua" w:hAnsi="Book Antiqua" w:cs="Arial"/>
        </w:rPr>
        <w:t>s</w:t>
      </w:r>
      <w:r w:rsidRPr="00264302">
        <w:rPr>
          <w:rFonts w:ascii="Book Antiqua" w:hAnsi="Book Antiqua" w:cs="Arial"/>
        </w:rPr>
        <w:t xml:space="preserve"> in favour of the </w:t>
      </w:r>
      <w:r w:rsidR="000064E8" w:rsidRPr="00264302">
        <w:rPr>
          <w:rFonts w:ascii="Book Antiqua" w:hAnsi="Book Antiqua" w:cs="Arial"/>
        </w:rPr>
        <w:t>Appellant</w:t>
      </w:r>
      <w:r w:rsidRPr="00264302">
        <w:rPr>
          <w:rFonts w:ascii="Book Antiqua" w:hAnsi="Book Antiqua" w:cs="Arial"/>
        </w:rPr>
        <w:t>.”</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At [64] he sets out that it been argued on behalf of the </w:t>
      </w:r>
      <w:r w:rsidR="000064E8" w:rsidRPr="00264302">
        <w:rPr>
          <w:rFonts w:ascii="Book Antiqua" w:hAnsi="Book Antiqua" w:cs="Arial"/>
        </w:rPr>
        <w:t>Appellant</w:t>
      </w:r>
      <w:r w:rsidRPr="00264302">
        <w:rPr>
          <w:rFonts w:ascii="Book Antiqua" w:hAnsi="Book Antiqua" w:cs="Arial"/>
        </w:rPr>
        <w:t xml:space="preserve"> that he could not settle lawfully and permanently </w:t>
      </w:r>
      <w:r w:rsidR="008D23FB" w:rsidRPr="00264302">
        <w:rPr>
          <w:rFonts w:ascii="Book Antiqua" w:hAnsi="Book Antiqua" w:cs="Arial"/>
        </w:rPr>
        <w:t xml:space="preserve">in the </w:t>
      </w:r>
      <w:r w:rsidRPr="00264302">
        <w:rPr>
          <w:rFonts w:ascii="Book Antiqua" w:hAnsi="Book Antiqua" w:cs="Arial"/>
        </w:rPr>
        <w:t xml:space="preserve">IKR and cited part of the IDI dated August 2016; 8.1.4 relating to IDP’s and then at [65] he referred himself to the decision of the Upper </w:t>
      </w:r>
      <w:r w:rsidR="000064E8" w:rsidRPr="00264302">
        <w:rPr>
          <w:rFonts w:ascii="Book Antiqua" w:hAnsi="Book Antiqua" w:cs="Arial"/>
        </w:rPr>
        <w:t>Tribunal</w:t>
      </w:r>
      <w:r w:rsidRPr="00264302">
        <w:rPr>
          <w:rFonts w:ascii="Book Antiqua" w:hAnsi="Book Antiqua" w:cs="Arial"/>
        </w:rPr>
        <w:t xml:space="preserve"> in AA (Iraq) and concludes as follows:</w:t>
      </w:r>
    </w:p>
    <w:p w:rsidR="00C21EC0" w:rsidRPr="00B75F87" w:rsidRDefault="00B75F87" w:rsidP="00B75F87">
      <w:pPr>
        <w:tabs>
          <w:tab w:val="left" w:pos="1701"/>
        </w:tabs>
        <w:spacing w:before="120"/>
        <w:ind w:left="1134" w:right="567"/>
        <w:jc w:val="both"/>
        <w:rPr>
          <w:rFonts w:ascii="Book Antiqua" w:hAnsi="Book Antiqua" w:cs="Arial"/>
          <w:sz w:val="22"/>
        </w:rPr>
      </w:pPr>
      <w:r>
        <w:rPr>
          <w:rFonts w:ascii="Book Antiqua" w:hAnsi="Book Antiqua" w:cs="Arial"/>
          <w:sz w:val="22"/>
        </w:rPr>
        <w:t>“65.</w:t>
      </w:r>
      <w:r>
        <w:rPr>
          <w:rFonts w:ascii="Book Antiqua" w:hAnsi="Book Antiqua" w:cs="Arial"/>
          <w:sz w:val="22"/>
        </w:rPr>
        <w:tab/>
      </w:r>
      <w:r w:rsidR="00C21EC0" w:rsidRPr="00B75F87">
        <w:rPr>
          <w:rFonts w:ascii="Book Antiqua" w:hAnsi="Book Antiqua" w:cs="Arial"/>
          <w:sz w:val="22"/>
        </w:rPr>
        <w:t xml:space="preserve">I have then been referred to </w:t>
      </w:r>
      <w:r w:rsidR="00C21EC0" w:rsidRPr="00B75F87">
        <w:rPr>
          <w:rFonts w:ascii="Book Antiqua" w:hAnsi="Book Antiqua" w:cs="Arial"/>
          <w:sz w:val="22"/>
          <w:u w:val="single"/>
        </w:rPr>
        <w:t>AA (</w:t>
      </w:r>
      <w:r w:rsidR="000064E8" w:rsidRPr="00B75F87">
        <w:rPr>
          <w:rFonts w:ascii="Book Antiqua" w:hAnsi="Book Antiqua" w:cs="Arial"/>
          <w:sz w:val="22"/>
          <w:u w:val="single"/>
        </w:rPr>
        <w:t>Article</w:t>
      </w:r>
      <w:r w:rsidR="008D23FB" w:rsidRPr="00B75F87">
        <w:rPr>
          <w:rFonts w:ascii="Book Antiqua" w:hAnsi="Book Antiqua" w:cs="Arial"/>
          <w:sz w:val="22"/>
          <w:u w:val="single"/>
        </w:rPr>
        <w:t xml:space="preserve"> 15 (c) rev 1</w:t>
      </w:r>
      <w:r w:rsidR="00C21EC0" w:rsidRPr="00B75F87">
        <w:rPr>
          <w:rFonts w:ascii="Book Antiqua" w:hAnsi="Book Antiqua" w:cs="Arial"/>
          <w:sz w:val="22"/>
          <w:u w:val="single"/>
        </w:rPr>
        <w:t xml:space="preserve"> CG</w:t>
      </w:r>
      <w:r w:rsidR="00C21EC0" w:rsidRPr="00B75F87">
        <w:rPr>
          <w:rFonts w:ascii="Book Antiqua" w:hAnsi="Book Antiqua" w:cs="Arial"/>
          <w:sz w:val="22"/>
        </w:rPr>
        <w:t xml:space="preserve"> [2015] UK UT544 where it is clear that entry into the IKR was only viable for a person who originates in the IK are and has been pre-cleared, as has been referred to in paragraph 17 of that decision. I therefore look at the decision in the light of </w:t>
      </w:r>
      <w:r w:rsidR="008D23FB" w:rsidRPr="00B75F87">
        <w:rPr>
          <w:rFonts w:ascii="Book Antiqua" w:hAnsi="Book Antiqua" w:cs="Arial"/>
          <w:sz w:val="22"/>
          <w:u w:val="single"/>
        </w:rPr>
        <w:t>AA Iraq</w:t>
      </w:r>
      <w:r w:rsidR="00C21EC0" w:rsidRPr="00B75F87">
        <w:rPr>
          <w:rFonts w:ascii="Book Antiqua" w:hAnsi="Book Antiqua" w:cs="Arial"/>
          <w:sz w:val="22"/>
          <w:u w:val="single"/>
        </w:rPr>
        <w:t xml:space="preserve"> </w:t>
      </w:r>
      <w:r w:rsidR="00C21EC0" w:rsidRPr="00B75F87">
        <w:rPr>
          <w:rFonts w:ascii="Book Antiqua" w:hAnsi="Book Antiqua" w:cs="Arial"/>
          <w:sz w:val="22"/>
        </w:rPr>
        <w:t>[2017</w:t>
      </w:r>
      <w:r w:rsidR="008D23FB" w:rsidRPr="00B75F87">
        <w:rPr>
          <w:rFonts w:ascii="Book Antiqua" w:hAnsi="Book Antiqua" w:cs="Arial"/>
          <w:sz w:val="22"/>
        </w:rPr>
        <w:t>] at paragraph 40, to which I have</w:t>
      </w:r>
      <w:r w:rsidR="00C21EC0" w:rsidRPr="00B75F87">
        <w:rPr>
          <w:rFonts w:ascii="Book Antiqua" w:hAnsi="Book Antiqua" w:cs="Arial"/>
          <w:sz w:val="22"/>
        </w:rPr>
        <w:t xml:space="preserve"> made reference above. Not only is return not reasonable currently, it is not clear how long a formal decision by the </w:t>
      </w:r>
      <w:r w:rsidR="000064E8" w:rsidRPr="00B75F87">
        <w:rPr>
          <w:rFonts w:ascii="Book Antiqua" w:hAnsi="Book Antiqua" w:cs="Arial"/>
          <w:sz w:val="22"/>
        </w:rPr>
        <w:t>Respondent</w:t>
      </w:r>
      <w:r w:rsidR="00C21EC0" w:rsidRPr="00B75F87">
        <w:rPr>
          <w:rFonts w:ascii="Book Antiqua" w:hAnsi="Book Antiqua" w:cs="Arial"/>
          <w:sz w:val="22"/>
        </w:rPr>
        <w:t xml:space="preserve"> could be delayed: certainly, delays not approved of by the Court of Appeal. Overall I consider therefore that </w:t>
      </w:r>
      <w:r w:rsidR="000064E8" w:rsidRPr="00B75F87">
        <w:rPr>
          <w:rFonts w:ascii="Book Antiqua" w:hAnsi="Book Antiqua" w:cs="Arial"/>
          <w:sz w:val="22"/>
        </w:rPr>
        <w:t>Article</w:t>
      </w:r>
      <w:r w:rsidR="00C21EC0" w:rsidRPr="00B75F87">
        <w:rPr>
          <w:rFonts w:ascii="Book Antiqua" w:hAnsi="Book Antiqua" w:cs="Arial"/>
          <w:sz w:val="22"/>
        </w:rPr>
        <w:t xml:space="preserve"> 15 (c) will be breached.”</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The grounds advanced on behalf of the Secretary of State submit that paragraph [65] as recorded above fail</w:t>
      </w:r>
      <w:r w:rsidR="008D23FB" w:rsidRPr="00264302">
        <w:rPr>
          <w:rFonts w:ascii="Book Antiqua" w:hAnsi="Book Antiqua" w:cs="Arial"/>
        </w:rPr>
        <w:t>s</w:t>
      </w:r>
      <w:r w:rsidRPr="00264302">
        <w:rPr>
          <w:rFonts w:ascii="Book Antiqua" w:hAnsi="Book Antiqua" w:cs="Arial"/>
        </w:rPr>
        <w:t xml:space="preserve"> to take into account the guidance given in </w:t>
      </w:r>
      <w:r w:rsidRPr="00264302">
        <w:rPr>
          <w:rFonts w:ascii="Book Antiqua" w:hAnsi="Book Antiqua" w:cs="Arial"/>
          <w:u w:val="single"/>
        </w:rPr>
        <w:t>AA (Iraq) v SSHD</w:t>
      </w:r>
      <w:r w:rsidRPr="00264302">
        <w:rPr>
          <w:rFonts w:ascii="Book Antiqua" w:hAnsi="Book Antiqua" w:cs="Arial"/>
        </w:rPr>
        <w:t xml:space="preserve"> [2017) EWCA</w:t>
      </w:r>
      <w:r w:rsidR="00A35DC0" w:rsidRPr="00264302">
        <w:rPr>
          <w:rFonts w:ascii="Book Antiqua" w:hAnsi="Book Antiqua" w:cs="Arial"/>
        </w:rPr>
        <w:t xml:space="preserve"> </w:t>
      </w:r>
      <w:r w:rsidRPr="00264302">
        <w:rPr>
          <w:rFonts w:ascii="Book Antiqua" w:hAnsi="Book Antiqua" w:cs="Arial"/>
        </w:rPr>
        <w:t>Civ 944 in which amended country guidance was provided</w:t>
      </w:r>
      <w:r w:rsidRPr="00264302">
        <w:rPr>
          <w:rFonts w:ascii="Book Antiqua" w:hAnsi="Book Antiqua" w:cs="Arial"/>
          <w:b/>
          <w:u w:val="single"/>
        </w:rPr>
        <w:t xml:space="preserve">. </w:t>
      </w:r>
      <w:r w:rsidRPr="00264302">
        <w:rPr>
          <w:rFonts w:ascii="Book Antiqua" w:hAnsi="Book Antiqua" w:cs="Arial"/>
        </w:rPr>
        <w:t xml:space="preserve">The Court of Appeal reaffirmed the guidance provided by the Upper </w:t>
      </w:r>
      <w:r w:rsidR="000064E8" w:rsidRPr="00264302">
        <w:rPr>
          <w:rFonts w:ascii="Book Antiqua" w:hAnsi="Book Antiqua" w:cs="Arial"/>
        </w:rPr>
        <w:t>Tribunal</w:t>
      </w:r>
      <w:r w:rsidRPr="00264302">
        <w:rPr>
          <w:rFonts w:ascii="Book Antiqua" w:hAnsi="Book Antiqua" w:cs="Arial"/>
        </w:rPr>
        <w:t xml:space="preserve"> at paragraph 18 </w:t>
      </w:r>
      <w:r w:rsidR="008D23FB" w:rsidRPr="00264302">
        <w:rPr>
          <w:rFonts w:ascii="Book Antiqua" w:hAnsi="Book Antiqua" w:cs="Arial"/>
        </w:rPr>
        <w:t>of the annex stating “the IKR</w:t>
      </w:r>
      <w:r w:rsidRPr="00264302">
        <w:rPr>
          <w:rFonts w:ascii="Book Antiqua" w:hAnsi="Book Antiqua" w:cs="Arial"/>
        </w:rPr>
        <w:t xml:space="preserve"> is virtually violence free. There is no </w:t>
      </w:r>
      <w:r w:rsidR="000064E8" w:rsidRPr="00264302">
        <w:rPr>
          <w:rFonts w:ascii="Book Antiqua" w:hAnsi="Book Antiqua" w:cs="Arial"/>
        </w:rPr>
        <w:t>Article</w:t>
      </w:r>
      <w:r w:rsidRPr="00264302">
        <w:rPr>
          <w:rFonts w:ascii="Book Antiqua" w:hAnsi="Book Antiqua" w:cs="Arial"/>
        </w:rPr>
        <w:t xml:space="preserve"> 15 (c) risk to an ordinary civilian in the IKR. The grounds and refer to the judge being incorrect when concluding that the inability to currently remove the </w:t>
      </w:r>
      <w:r w:rsidR="000064E8" w:rsidRPr="00264302">
        <w:rPr>
          <w:rFonts w:ascii="Book Antiqua" w:hAnsi="Book Antiqua" w:cs="Arial"/>
        </w:rPr>
        <w:t>Appellant</w:t>
      </w:r>
      <w:r w:rsidRPr="00264302">
        <w:rPr>
          <w:rFonts w:ascii="Book Antiqua" w:hAnsi="Book Antiqua" w:cs="Arial"/>
        </w:rPr>
        <w:t xml:space="preserve"> created a risk for him on return to his home area because the f</w:t>
      </w:r>
      <w:r w:rsidR="008D23FB" w:rsidRPr="00264302">
        <w:rPr>
          <w:rFonts w:ascii="Book Antiqua" w:hAnsi="Book Antiqua" w:cs="Arial"/>
        </w:rPr>
        <w:t>indings of fact at [53] and</w:t>
      </w:r>
      <w:r w:rsidR="00B75F87">
        <w:rPr>
          <w:rFonts w:ascii="Book Antiqua" w:hAnsi="Book Antiqua" w:cs="Arial"/>
        </w:rPr>
        <w:t xml:space="preserve"> </w:t>
      </w:r>
      <w:r w:rsidR="008D23FB" w:rsidRPr="00264302">
        <w:rPr>
          <w:rFonts w:ascii="Book Antiqua" w:hAnsi="Book Antiqua" w:cs="Arial"/>
        </w:rPr>
        <w:t>[50] in</w:t>
      </w:r>
      <w:r w:rsidRPr="00264302">
        <w:rPr>
          <w:rFonts w:ascii="Book Antiqua" w:hAnsi="Book Antiqua" w:cs="Arial"/>
        </w:rPr>
        <w:t xml:space="preserve"> the determination were to the effect that he was not at risk of his home area. </w:t>
      </w:r>
      <w:proofErr w:type="gramStart"/>
      <w:r w:rsidRPr="00264302">
        <w:rPr>
          <w:rFonts w:ascii="Book Antiqua" w:hAnsi="Book Antiqua" w:cs="Arial"/>
        </w:rPr>
        <w:t>Therefore</w:t>
      </w:r>
      <w:proofErr w:type="gramEnd"/>
      <w:r w:rsidRPr="00264302">
        <w:rPr>
          <w:rFonts w:ascii="Book Antiqua" w:hAnsi="Book Antiqua" w:cs="Arial"/>
        </w:rPr>
        <w:t xml:space="preserve"> there was no requirement to relocate.</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grounds further assert by reference to note 7 of the amended guidance provided by the Court of Appeal that the lack of documentation cannot create any risk to the </w:t>
      </w:r>
      <w:r w:rsidR="000064E8" w:rsidRPr="00264302">
        <w:rPr>
          <w:rFonts w:ascii="Book Antiqua" w:hAnsi="Book Antiqua" w:cs="Arial"/>
        </w:rPr>
        <w:t>Appellant</w:t>
      </w:r>
      <w:r w:rsidRPr="00264302">
        <w:rPr>
          <w:rFonts w:ascii="Book Antiqua" w:hAnsi="Book Antiqua" w:cs="Arial"/>
        </w:rPr>
        <w:t xml:space="preserve"> on the basis of </w:t>
      </w:r>
      <w:r w:rsidR="000064E8" w:rsidRPr="00264302">
        <w:rPr>
          <w:rFonts w:ascii="Book Antiqua" w:hAnsi="Book Antiqua" w:cs="Arial"/>
        </w:rPr>
        <w:t>Article</w:t>
      </w:r>
      <w:r w:rsidR="00AF57CF" w:rsidRPr="00264302">
        <w:rPr>
          <w:rFonts w:ascii="Book Antiqua" w:hAnsi="Book Antiqua" w:cs="Arial"/>
        </w:rPr>
        <w:t xml:space="preserve"> 15 (c) </w:t>
      </w:r>
      <w:r w:rsidRPr="00264302">
        <w:rPr>
          <w:rFonts w:ascii="Book Antiqua" w:hAnsi="Book Antiqua" w:cs="Arial"/>
        </w:rPr>
        <w:t xml:space="preserve">unless there is a risk to the </w:t>
      </w:r>
      <w:r w:rsidR="000064E8" w:rsidRPr="00264302">
        <w:rPr>
          <w:rFonts w:ascii="Book Antiqua" w:hAnsi="Book Antiqua" w:cs="Arial"/>
        </w:rPr>
        <w:t>Appellant</w:t>
      </w:r>
      <w:r w:rsidRPr="00264302">
        <w:rPr>
          <w:rFonts w:ascii="Book Antiqua" w:hAnsi="Book Antiqua" w:cs="Arial"/>
        </w:rPr>
        <w:t xml:space="preserve"> on return to Iraq. </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It is further asserted that the judge had failed to make any findings in respect of the </w:t>
      </w:r>
      <w:r w:rsidR="000064E8" w:rsidRPr="00264302">
        <w:rPr>
          <w:rFonts w:ascii="Book Antiqua" w:hAnsi="Book Antiqua" w:cs="Arial"/>
        </w:rPr>
        <w:t>Appellant’s</w:t>
      </w:r>
      <w:r w:rsidRPr="00264302">
        <w:rPr>
          <w:rFonts w:ascii="Book Antiqua" w:hAnsi="Book Antiqua" w:cs="Arial"/>
        </w:rPr>
        <w:t xml:space="preserve"> ability to obtain a new passport, having accepted that he previously held a passport in 2013 or whether the </w:t>
      </w:r>
      <w:r w:rsidR="000064E8" w:rsidRPr="00264302">
        <w:rPr>
          <w:rFonts w:ascii="Book Antiqua" w:hAnsi="Book Antiqua" w:cs="Arial"/>
        </w:rPr>
        <w:t>Appellant</w:t>
      </w:r>
      <w:r w:rsidRPr="00264302">
        <w:rPr>
          <w:rFonts w:ascii="Book Antiqua" w:hAnsi="Book Antiqua" w:cs="Arial"/>
        </w:rPr>
        <w:t xml:space="preserve"> has done anything to obtain preclearanc</w:t>
      </w:r>
      <w:r w:rsidR="008D23FB" w:rsidRPr="00264302">
        <w:rPr>
          <w:rFonts w:ascii="Book Antiqua" w:hAnsi="Book Antiqua" w:cs="Arial"/>
        </w:rPr>
        <w:t>e the authorities and the IKR</w:t>
      </w:r>
      <w:r w:rsidRPr="00264302">
        <w:rPr>
          <w:rFonts w:ascii="Book Antiqua" w:hAnsi="Book Antiqua" w:cs="Arial"/>
        </w:rPr>
        <w:t xml:space="preserve">. It is therefore submitted that the findings in respect of </w:t>
      </w:r>
      <w:r w:rsidR="000064E8" w:rsidRPr="00264302">
        <w:rPr>
          <w:rFonts w:ascii="Book Antiqua" w:hAnsi="Book Antiqua" w:cs="Arial"/>
        </w:rPr>
        <w:t>Article</w:t>
      </w:r>
      <w:r w:rsidR="008D23FB" w:rsidRPr="00264302">
        <w:rPr>
          <w:rFonts w:ascii="Book Antiqua" w:hAnsi="Book Antiqua" w:cs="Arial"/>
        </w:rPr>
        <w:t xml:space="preserve"> 15(c)</w:t>
      </w:r>
      <w:r w:rsidRPr="00264302">
        <w:rPr>
          <w:rFonts w:ascii="Book Antiqua" w:hAnsi="Book Antiqua" w:cs="Arial"/>
        </w:rPr>
        <w:t xml:space="preserve"> on return to Erbil are flawed. </w:t>
      </w:r>
    </w:p>
    <w:p w:rsidR="00C21EC0" w:rsidRPr="00264302" w:rsidRDefault="00C21EC0"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Mr Diwnyzc in his oral submissions made reference to the issue of where the </w:t>
      </w:r>
      <w:r w:rsidR="000064E8" w:rsidRPr="00264302">
        <w:rPr>
          <w:rFonts w:ascii="Book Antiqua" w:hAnsi="Book Antiqua" w:cs="Arial"/>
        </w:rPr>
        <w:t>Appellant</w:t>
      </w:r>
      <w:r w:rsidRPr="00264302">
        <w:rPr>
          <w:rFonts w:ascii="Book Antiqua" w:hAnsi="Book Antiqua" w:cs="Arial"/>
        </w:rPr>
        <w:t xml:space="preserve"> had resided in Iraq. The </w:t>
      </w:r>
      <w:r w:rsidR="000064E8" w:rsidRPr="00264302">
        <w:rPr>
          <w:rFonts w:ascii="Book Antiqua" w:hAnsi="Book Antiqua" w:cs="Arial"/>
        </w:rPr>
        <w:t>Respondent</w:t>
      </w:r>
      <w:r w:rsidRPr="00264302">
        <w:rPr>
          <w:rFonts w:ascii="Book Antiqua" w:hAnsi="Book Antiqua" w:cs="Arial"/>
        </w:rPr>
        <w:t>’s decision letter was based on his residence in Erbil. His passport gave the place of birth as Erbil and whilst the determination at [34] stated that he used to live in Erb</w:t>
      </w:r>
      <w:r w:rsidR="008D23FB" w:rsidRPr="00264302">
        <w:rPr>
          <w:rFonts w:ascii="Book Antiqua" w:hAnsi="Book Antiqua" w:cs="Arial"/>
        </w:rPr>
        <w:t>il but had moved to Kirkuk and C</w:t>
      </w:r>
      <w:r w:rsidRPr="00264302">
        <w:rPr>
          <w:rFonts w:ascii="Book Antiqua" w:hAnsi="Book Antiqua" w:cs="Arial"/>
        </w:rPr>
        <w:t xml:space="preserve">ounsel’s note that he had “moved to Kirkuk when he was very young” was not consistent with the </w:t>
      </w:r>
      <w:r w:rsidRPr="00264302">
        <w:rPr>
          <w:rFonts w:ascii="Book Antiqua" w:hAnsi="Book Antiqua" w:cs="Arial"/>
        </w:rPr>
        <w:lastRenderedPageBreak/>
        <w:t xml:space="preserve">previous determination in 2004 at paragraph 27 where he was still in Erbil. He submitted that the judge had not made a finding as to fact where the </w:t>
      </w:r>
      <w:r w:rsidR="000064E8" w:rsidRPr="00264302">
        <w:rPr>
          <w:rFonts w:ascii="Book Antiqua" w:hAnsi="Book Antiqua" w:cs="Arial"/>
        </w:rPr>
        <w:t>Appellant</w:t>
      </w:r>
      <w:r w:rsidRPr="00264302">
        <w:rPr>
          <w:rFonts w:ascii="Book Antiqua" w:hAnsi="Book Antiqua" w:cs="Arial"/>
        </w:rPr>
        <w:t xml:space="preserve"> was living.</w:t>
      </w:r>
    </w:p>
    <w:p w:rsidR="003F49F5" w:rsidRPr="00264302" w:rsidRDefault="003F49F5"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Mr Karnik, Counsel and behalf of the </w:t>
      </w:r>
      <w:r w:rsidR="000064E8" w:rsidRPr="00264302">
        <w:rPr>
          <w:rFonts w:ascii="Book Antiqua" w:hAnsi="Book Antiqua" w:cs="Arial"/>
        </w:rPr>
        <w:t>Appellant</w:t>
      </w:r>
      <w:r w:rsidRPr="00264302">
        <w:rPr>
          <w:rFonts w:ascii="Book Antiqua" w:hAnsi="Book Antiqua" w:cs="Arial"/>
        </w:rPr>
        <w:t xml:space="preserve"> submits that the decision contains no error of law. In his oral submissions he stated that the reasoning given by the judge may not have been in the clearest terms but that it was open to the judge to find that it would be a breach of </w:t>
      </w:r>
      <w:r w:rsidR="000064E8" w:rsidRPr="00264302">
        <w:rPr>
          <w:rFonts w:ascii="Book Antiqua" w:hAnsi="Book Antiqua" w:cs="Arial"/>
        </w:rPr>
        <w:t>Article</w:t>
      </w:r>
      <w:r w:rsidR="008D23FB" w:rsidRPr="00264302">
        <w:rPr>
          <w:rFonts w:ascii="Book Antiqua" w:hAnsi="Book Antiqua" w:cs="Arial"/>
        </w:rPr>
        <w:t xml:space="preserve"> 15 (c)</w:t>
      </w:r>
      <w:r w:rsidRPr="00264302">
        <w:rPr>
          <w:rFonts w:ascii="Book Antiqua" w:hAnsi="Book Antiqua" w:cs="Arial"/>
        </w:rPr>
        <w:t xml:space="preserve"> to return him to Iraq.</w:t>
      </w:r>
    </w:p>
    <w:p w:rsidR="003F49F5" w:rsidRPr="00264302" w:rsidRDefault="003F49F5" w:rsidP="00C94BD5">
      <w:pPr>
        <w:pStyle w:val="ListParagraph"/>
        <w:numPr>
          <w:ilvl w:val="0"/>
          <w:numId w:val="25"/>
        </w:numPr>
        <w:spacing w:before="160"/>
        <w:jc w:val="both"/>
        <w:rPr>
          <w:rFonts w:ascii="Book Antiqua" w:hAnsi="Book Antiqua" w:cs="Arial"/>
        </w:rPr>
      </w:pPr>
      <w:r w:rsidRPr="00264302">
        <w:rPr>
          <w:rFonts w:ascii="Book Antiqua" w:hAnsi="Book Antiqua" w:cs="Arial"/>
        </w:rPr>
        <w:t>He submitted that</w:t>
      </w:r>
      <w:r w:rsidR="00867494" w:rsidRPr="00264302">
        <w:rPr>
          <w:rFonts w:ascii="Book Antiqua" w:hAnsi="Book Antiqua" w:cs="Arial"/>
        </w:rPr>
        <w:t xml:space="preserve"> the judge began by noting that it was agreed by the presenting officer the return to Iraq was “currently not feasible” (see [40] and [60]). He made reference to previous Counsel’s note in which he recalled that had been the position and that it</w:t>
      </w:r>
      <w:r w:rsidR="008D23FB" w:rsidRPr="00264302">
        <w:rPr>
          <w:rFonts w:ascii="Book Antiqua" w:hAnsi="Book Antiqua" w:cs="Arial"/>
        </w:rPr>
        <w:t xml:space="preserve"> was based on [170] of AA (Iraq</w:t>
      </w:r>
      <w:r w:rsidR="00867494" w:rsidRPr="00264302">
        <w:rPr>
          <w:rFonts w:ascii="Book Antiqua" w:hAnsi="Book Antiqua" w:cs="Arial"/>
        </w:rPr>
        <w:t>) CG [2015]. As there was an acceptance that return was not fe</w:t>
      </w:r>
      <w:r w:rsidR="008D23FB" w:rsidRPr="00264302">
        <w:rPr>
          <w:rFonts w:ascii="Book Antiqua" w:hAnsi="Book Antiqua" w:cs="Arial"/>
        </w:rPr>
        <w:t>asible based on AA (Iraq</w:t>
      </w:r>
      <w:r w:rsidR="00867494" w:rsidRPr="00264302">
        <w:rPr>
          <w:rFonts w:ascii="Book Antiqua" w:hAnsi="Book Antiqua" w:cs="Arial"/>
        </w:rPr>
        <w:t xml:space="preserve">) [2015] and in particular paragraph [170] of that decision he was entitled to allow the appeal under </w:t>
      </w:r>
      <w:r w:rsidR="000064E8" w:rsidRPr="00264302">
        <w:rPr>
          <w:rFonts w:ascii="Book Antiqua" w:hAnsi="Book Antiqua" w:cs="Arial"/>
        </w:rPr>
        <w:t>Article</w:t>
      </w:r>
      <w:r w:rsidR="008D23FB" w:rsidRPr="00264302">
        <w:rPr>
          <w:rFonts w:ascii="Book Antiqua" w:hAnsi="Book Antiqua" w:cs="Arial"/>
        </w:rPr>
        <w:t xml:space="preserve"> 15 (c)</w:t>
      </w:r>
      <w:r w:rsidR="00867494" w:rsidRPr="00264302">
        <w:rPr>
          <w:rFonts w:ascii="Book Antiqua" w:hAnsi="Book Antiqua" w:cs="Arial"/>
        </w:rPr>
        <w:t>.</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When asked to explain the context in which the judge found that return was not feasible, Mr Karnik submitted that the context was that</w:t>
      </w:r>
      <w:r w:rsidR="008D23FB" w:rsidRPr="00264302">
        <w:rPr>
          <w:rFonts w:ascii="Book Antiqua" w:hAnsi="Book Antiqua" w:cs="Arial"/>
        </w:rPr>
        <w:t xml:space="preserve"> set out in [170] of the UT ‘s decision AA (Iraq) [</w:t>
      </w:r>
      <w:r w:rsidRPr="00264302">
        <w:rPr>
          <w:rFonts w:ascii="Book Antiqua" w:hAnsi="Book Antiqua" w:cs="Arial"/>
        </w:rPr>
        <w:t>2015]. As he did not have a passport then he could not be r</w:t>
      </w:r>
      <w:r w:rsidR="008D23FB" w:rsidRPr="00264302">
        <w:rPr>
          <w:rFonts w:ascii="Book Antiqua" w:hAnsi="Book Antiqua" w:cs="Arial"/>
        </w:rPr>
        <w:t>eturned. As he was someone who had</w:t>
      </w:r>
      <w:r w:rsidRPr="00264302">
        <w:rPr>
          <w:rFonts w:ascii="Book Antiqua" w:hAnsi="Book Antiqua" w:cs="Arial"/>
        </w:rPr>
        <w:t xml:space="preserve"> been in the UK since 2004 and is of Kurdish ethnicity and had no family in Iraq he would be at risk of being destitute. He would not be able to obtain a CS ID. Consequently, he submitted here is an undocumented Kurdish man who did not live in Erbil but Kirkuk.</w:t>
      </w:r>
    </w:p>
    <w:p w:rsidR="00867494" w:rsidRPr="00264302" w:rsidRDefault="00867494" w:rsidP="00C94BD5">
      <w:pPr>
        <w:pStyle w:val="ListParagraph"/>
        <w:numPr>
          <w:ilvl w:val="0"/>
          <w:numId w:val="25"/>
        </w:numPr>
        <w:spacing w:before="160"/>
        <w:jc w:val="both"/>
        <w:rPr>
          <w:rFonts w:ascii="Book Antiqua" w:hAnsi="Book Antiqua" w:cs="Arial"/>
        </w:rPr>
      </w:pPr>
      <w:proofErr w:type="gramStart"/>
      <w:r w:rsidRPr="00264302">
        <w:rPr>
          <w:rFonts w:ascii="Book Antiqua" w:hAnsi="Book Antiqua" w:cs="Arial"/>
        </w:rPr>
        <w:t>Thus</w:t>
      </w:r>
      <w:proofErr w:type="gramEnd"/>
      <w:r w:rsidRPr="00264302">
        <w:rPr>
          <w:rFonts w:ascii="Book Antiqua" w:hAnsi="Book Antiqua" w:cs="Arial"/>
        </w:rPr>
        <w:t xml:space="preserve"> he submitted the judge did not find that his return to Erbil would breach </w:t>
      </w:r>
      <w:r w:rsidR="000064E8" w:rsidRPr="00264302">
        <w:rPr>
          <w:rFonts w:ascii="Book Antiqua" w:hAnsi="Book Antiqua" w:cs="Arial"/>
        </w:rPr>
        <w:t>Article</w:t>
      </w:r>
      <w:r w:rsidR="008D23FB" w:rsidRPr="00264302">
        <w:rPr>
          <w:rFonts w:ascii="Book Antiqua" w:hAnsi="Book Antiqua" w:cs="Arial"/>
        </w:rPr>
        <w:t xml:space="preserve"> 15 (c</w:t>
      </w:r>
      <w:r w:rsidRPr="00264302">
        <w:rPr>
          <w:rFonts w:ascii="Book Antiqua" w:hAnsi="Book Antiqua" w:cs="Arial"/>
        </w:rPr>
        <w:t xml:space="preserve">) but that he found it [62] that return would not be possible. </w:t>
      </w:r>
      <w:proofErr w:type="gramStart"/>
      <w:r w:rsidRPr="00264302">
        <w:rPr>
          <w:rFonts w:ascii="Book Antiqua" w:hAnsi="Book Antiqua" w:cs="Arial"/>
        </w:rPr>
        <w:t>Therefore</w:t>
      </w:r>
      <w:proofErr w:type="gramEnd"/>
      <w:r w:rsidRPr="00264302">
        <w:rPr>
          <w:rFonts w:ascii="Book Antiqua" w:hAnsi="Book Antiqua" w:cs="Arial"/>
        </w:rPr>
        <w:t xml:space="preserve"> his finding that overall he considered that </w:t>
      </w:r>
      <w:r w:rsidR="000064E8" w:rsidRPr="00264302">
        <w:rPr>
          <w:rFonts w:ascii="Book Antiqua" w:hAnsi="Book Antiqua" w:cs="Arial"/>
        </w:rPr>
        <w:t>Article</w:t>
      </w:r>
      <w:r w:rsidR="008D23FB" w:rsidRPr="00264302">
        <w:rPr>
          <w:rFonts w:ascii="Book Antiqua" w:hAnsi="Book Antiqua" w:cs="Arial"/>
        </w:rPr>
        <w:t xml:space="preserve"> 15 (c) was</w:t>
      </w:r>
      <w:r w:rsidRPr="00264302">
        <w:rPr>
          <w:rFonts w:ascii="Book Antiqua" w:hAnsi="Book Antiqua" w:cs="Arial"/>
        </w:rPr>
        <w:t xml:space="preserve"> breach</w:t>
      </w:r>
      <w:r w:rsidR="008D23FB" w:rsidRPr="00264302">
        <w:rPr>
          <w:rFonts w:ascii="Book Antiqua" w:hAnsi="Book Antiqua" w:cs="Arial"/>
        </w:rPr>
        <w:t>ed</w:t>
      </w:r>
      <w:r w:rsidRPr="00264302">
        <w:rPr>
          <w:rFonts w:ascii="Book Antiqua" w:hAnsi="Book Antiqua" w:cs="Arial"/>
        </w:rPr>
        <w:t xml:space="preserve"> was a finding arrived at applying the circumstances of the </w:t>
      </w:r>
      <w:r w:rsidR="000064E8" w:rsidRPr="00264302">
        <w:rPr>
          <w:rFonts w:ascii="Book Antiqua" w:hAnsi="Book Antiqua" w:cs="Arial"/>
        </w:rPr>
        <w:t>Appellant</w:t>
      </w:r>
      <w:r w:rsidRPr="00264302">
        <w:rPr>
          <w:rFonts w:ascii="Book Antiqua" w:hAnsi="Book Antiqua" w:cs="Arial"/>
        </w:rPr>
        <w:t xml:space="preserve">. As the </w:t>
      </w:r>
      <w:r w:rsidR="000064E8" w:rsidRPr="00264302">
        <w:rPr>
          <w:rFonts w:ascii="Book Antiqua" w:hAnsi="Book Antiqua" w:cs="Arial"/>
        </w:rPr>
        <w:t>Appellant’s</w:t>
      </w:r>
      <w:r w:rsidRPr="00264302">
        <w:rPr>
          <w:rFonts w:ascii="Book Antiqua" w:hAnsi="Book Antiqua" w:cs="Arial"/>
        </w:rPr>
        <w:t xml:space="preserve"> home area was Kirkuk, it was therefore an area where </w:t>
      </w:r>
      <w:r w:rsidR="008D23FB" w:rsidRPr="00264302">
        <w:rPr>
          <w:rFonts w:ascii="Book Antiqua" w:hAnsi="Book Antiqua" w:cs="Arial"/>
        </w:rPr>
        <w:t>an Article 15 (c)</w:t>
      </w:r>
      <w:r w:rsidRPr="00264302">
        <w:rPr>
          <w:rFonts w:ascii="Book Antiqua" w:hAnsi="Book Antiqua" w:cs="Arial"/>
        </w:rPr>
        <w:t xml:space="preserve"> risk remained. </w:t>
      </w:r>
      <w:proofErr w:type="gramStart"/>
      <w:r w:rsidRPr="00264302">
        <w:rPr>
          <w:rFonts w:ascii="Book Antiqua" w:hAnsi="Book Antiqua" w:cs="Arial"/>
        </w:rPr>
        <w:t>Therefore</w:t>
      </w:r>
      <w:proofErr w:type="gramEnd"/>
      <w:r w:rsidRPr="00264302">
        <w:rPr>
          <w:rFonts w:ascii="Book Antiqua" w:hAnsi="Book Antiqua" w:cs="Arial"/>
        </w:rPr>
        <w:t xml:space="preserve"> following the logic of the country guidance without pre-clearance his return would be to Baghdad and therefore would fall within the conditions would breach </w:t>
      </w:r>
      <w:r w:rsidR="000064E8" w:rsidRPr="00264302">
        <w:rPr>
          <w:rFonts w:ascii="Book Antiqua" w:hAnsi="Book Antiqua" w:cs="Arial"/>
        </w:rPr>
        <w:t>Article</w:t>
      </w:r>
      <w:r w:rsidR="008D23FB" w:rsidRPr="00264302">
        <w:rPr>
          <w:rFonts w:ascii="Book Antiqua" w:hAnsi="Book Antiqua" w:cs="Arial"/>
        </w:rPr>
        <w:t xml:space="preserve"> 15</w:t>
      </w:r>
      <w:r w:rsidRPr="00264302">
        <w:rPr>
          <w:rFonts w:ascii="Book Antiqua" w:hAnsi="Book Antiqua" w:cs="Arial"/>
        </w:rPr>
        <w:t xml:space="preserve"> in Baghdad as a result of violence and/or destitution.</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 have considered care the submissions made by each of the advocates. The issue raised by Mr Karnik relates to that of feasibility of return. The judge recorded [40] that “I note it was agreed by the presenting officer at the return to Iraq was not currently feasible.” There is a similar reference to that at [60]. </w:t>
      </w:r>
      <w:proofErr w:type="gramStart"/>
      <w:r w:rsidRPr="00264302">
        <w:rPr>
          <w:rFonts w:ascii="Book Antiqua" w:hAnsi="Book Antiqua" w:cs="Arial"/>
        </w:rPr>
        <w:t>However</w:t>
      </w:r>
      <w:proofErr w:type="gramEnd"/>
      <w:r w:rsidRPr="00264302">
        <w:rPr>
          <w:rFonts w:ascii="Book Antiqua" w:hAnsi="Book Antiqua" w:cs="Arial"/>
        </w:rPr>
        <w:t xml:space="preserve"> in the body of the determination, the judge makes no reference to the basis upon which that concession, if it was a concession, was made or in the light of what particular factors or by reliance on the amended country guidance reflected in the decision of the Court of Appeal in </w:t>
      </w:r>
      <w:r w:rsidRPr="00264302">
        <w:rPr>
          <w:rFonts w:ascii="Book Antiqua" w:hAnsi="Book Antiqua" w:cs="Arial"/>
          <w:u w:val="single"/>
        </w:rPr>
        <w:t>AA (Iraq)</w:t>
      </w:r>
      <w:r w:rsidRPr="00264302">
        <w:rPr>
          <w:rFonts w:ascii="Book Antiqua" w:hAnsi="Book Antiqua" w:cs="Arial"/>
        </w:rPr>
        <w:t xml:space="preserve"> (2017].</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grounds relied on by the Secretary of State make reference to the FtTJ’s failure to make findings in respect of his ability to obtain documentation and in particular a passport and therefore expressly makes reference to the feasibility of return. </w:t>
      </w:r>
      <w:proofErr w:type="gramStart"/>
      <w:r w:rsidRPr="00264302">
        <w:rPr>
          <w:rFonts w:ascii="Book Antiqua" w:hAnsi="Book Antiqua" w:cs="Arial"/>
        </w:rPr>
        <w:t>However</w:t>
      </w:r>
      <w:proofErr w:type="gramEnd"/>
      <w:r w:rsidRPr="00264302">
        <w:rPr>
          <w:rFonts w:ascii="Book Antiqua" w:hAnsi="Book Antiqua" w:cs="Arial"/>
        </w:rPr>
        <w:t xml:space="preserve"> Mr Karnik submits as the </w:t>
      </w:r>
      <w:r w:rsidR="000064E8" w:rsidRPr="00264302">
        <w:rPr>
          <w:rFonts w:ascii="Book Antiqua" w:hAnsi="Book Antiqua" w:cs="Arial"/>
        </w:rPr>
        <w:t>Respondent</w:t>
      </w:r>
      <w:r w:rsidRPr="00264302">
        <w:rPr>
          <w:rFonts w:ascii="Book Antiqua" w:hAnsi="Book Antiqua" w:cs="Arial"/>
        </w:rPr>
        <w:t xml:space="preserve"> made a concession at [40] the return was currently not feasible, that ground must fail. He relies upon a note from counsel that states that he recalls the Secretary of State presenting officer accepted return to Iraq was currently not feasible. The presenting officer’s note obtained on behalf of the Secretary of State stated that he had no recollection of the hearing itself but that “I </w:t>
      </w:r>
      <w:r w:rsidRPr="00264302">
        <w:rPr>
          <w:rFonts w:ascii="Book Antiqua" w:hAnsi="Book Antiqua" w:cs="Arial"/>
        </w:rPr>
        <w:lastRenderedPageBreak/>
        <w:t>relied on the refusal letter 10</w:t>
      </w:r>
      <w:r w:rsidRPr="00264302">
        <w:rPr>
          <w:rFonts w:ascii="Book Antiqua" w:hAnsi="Book Antiqua" w:cs="Arial"/>
          <w:vertAlign w:val="superscript"/>
        </w:rPr>
        <w:t>th</w:t>
      </w:r>
      <w:r w:rsidRPr="00264302">
        <w:rPr>
          <w:rFonts w:ascii="Book Antiqua" w:hAnsi="Book Antiqua" w:cs="Arial"/>
        </w:rPr>
        <w:t xml:space="preserve"> of January 2017 where it page 6 (Annex K6 of the Home Office bundle) a full consideration of feasibility is carried out, with reference to the existence of an expired passport which can be used to procure a CS ID. This is what I relied upon hence no concession was made on this point.”</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As I have stated the judge makes no reference to the basis upon which he considered the issue of feasibility of return particularly in light of the decision letter which did set out and seek to apply the issues identified in the country guidance. When asked to explain how it was the judge reach</w:t>
      </w:r>
      <w:r w:rsidR="008D23FB" w:rsidRPr="00264302">
        <w:rPr>
          <w:rFonts w:ascii="Book Antiqua" w:hAnsi="Book Antiqua" w:cs="Arial"/>
        </w:rPr>
        <w:t>ed</w:t>
      </w:r>
      <w:r w:rsidRPr="00264302">
        <w:rPr>
          <w:rFonts w:ascii="Book Antiqua" w:hAnsi="Book Antiqua" w:cs="Arial"/>
        </w:rPr>
        <w:t xml:space="preserve"> that conclusion, Mr Karnik submitted that the concession was made in light of paragraph 170 of AA (Iraqi) 2015] and that the judge specifically found at [62] return could not be possible.</w:t>
      </w:r>
    </w:p>
    <w:p w:rsidR="00867494" w:rsidRPr="00264302" w:rsidRDefault="00867494" w:rsidP="00C94BD5">
      <w:pPr>
        <w:pStyle w:val="ListParagraph"/>
        <w:numPr>
          <w:ilvl w:val="0"/>
          <w:numId w:val="25"/>
        </w:numPr>
        <w:spacing w:before="160"/>
        <w:jc w:val="both"/>
        <w:rPr>
          <w:rFonts w:ascii="Book Antiqua" w:hAnsi="Book Antiqua" w:cs="Arial"/>
        </w:rPr>
      </w:pPr>
      <w:proofErr w:type="gramStart"/>
      <w:r w:rsidRPr="00264302">
        <w:rPr>
          <w:rFonts w:ascii="Book Antiqua" w:hAnsi="Book Antiqua" w:cs="Arial"/>
        </w:rPr>
        <w:t>However</w:t>
      </w:r>
      <w:proofErr w:type="gramEnd"/>
      <w:r w:rsidRPr="00264302">
        <w:rPr>
          <w:rFonts w:ascii="Book Antiqua" w:hAnsi="Book Antiqua" w:cs="Arial"/>
        </w:rPr>
        <w:t xml:space="preserve"> it is important to place that finding in th</w:t>
      </w:r>
      <w:r w:rsidR="008D23FB" w:rsidRPr="00264302">
        <w:rPr>
          <w:rFonts w:ascii="Book Antiqua" w:hAnsi="Book Antiqua" w:cs="Arial"/>
        </w:rPr>
        <w:t>e context of paragraph 170 and hi</w:t>
      </w:r>
      <w:r w:rsidRPr="00264302">
        <w:rPr>
          <w:rFonts w:ascii="Book Antiqua" w:hAnsi="Book Antiqua" w:cs="Arial"/>
        </w:rPr>
        <w:t>s later finding at paragraph [63]. T</w:t>
      </w:r>
      <w:r w:rsidR="008D23FB" w:rsidRPr="00264302">
        <w:rPr>
          <w:rFonts w:ascii="Book Antiqua" w:hAnsi="Book Antiqua" w:cs="Arial"/>
        </w:rPr>
        <w:t>he judge appears to be premising his finding (that</w:t>
      </w:r>
      <w:r w:rsidRPr="00264302">
        <w:rPr>
          <w:rFonts w:ascii="Book Antiqua" w:hAnsi="Book Antiqua" w:cs="Arial"/>
        </w:rPr>
        <w:t xml:space="preserve"> return was not possible at the present time) on the basis that the </w:t>
      </w:r>
      <w:r w:rsidR="000064E8" w:rsidRPr="00264302">
        <w:rPr>
          <w:rFonts w:ascii="Book Antiqua" w:hAnsi="Book Antiqua" w:cs="Arial"/>
        </w:rPr>
        <w:t>Appellant</w:t>
      </w:r>
      <w:r w:rsidRPr="00264302">
        <w:rPr>
          <w:rFonts w:ascii="Book Antiqua" w:hAnsi="Book Antiqua" w:cs="Arial"/>
        </w:rPr>
        <w:t xml:space="preserve"> has no documentation of any kind and therefore there was no prospect in a reasonable time of being removed. At [62-63] he gave the reasons as follows: –</w:t>
      </w:r>
    </w:p>
    <w:p w:rsidR="00867494" w:rsidRPr="00B75F87" w:rsidRDefault="00867494" w:rsidP="00D34F7F">
      <w:pPr>
        <w:tabs>
          <w:tab w:val="left" w:pos="1701"/>
        </w:tabs>
        <w:spacing w:before="120"/>
        <w:ind w:left="1134" w:right="567"/>
        <w:jc w:val="both"/>
        <w:rPr>
          <w:rFonts w:ascii="Book Antiqua" w:hAnsi="Book Antiqua" w:cs="Arial"/>
          <w:sz w:val="22"/>
        </w:rPr>
      </w:pPr>
      <w:r w:rsidRPr="00B75F87">
        <w:rPr>
          <w:rFonts w:ascii="Book Antiqua" w:hAnsi="Book Antiqua" w:cs="Arial"/>
          <w:sz w:val="22"/>
        </w:rPr>
        <w:t>“62.</w:t>
      </w:r>
      <w:r w:rsidR="00D34F7F">
        <w:rPr>
          <w:rFonts w:ascii="Book Antiqua" w:hAnsi="Book Antiqua" w:cs="Arial"/>
          <w:sz w:val="22"/>
        </w:rPr>
        <w:tab/>
      </w:r>
      <w:r w:rsidRPr="00B75F87">
        <w:rPr>
          <w:rFonts w:ascii="Book Antiqua" w:hAnsi="Book Antiqua" w:cs="Arial"/>
          <w:sz w:val="22"/>
        </w:rPr>
        <w:t xml:space="preserve">I accept the submission that whilst the </w:t>
      </w:r>
      <w:r w:rsidR="000064E8" w:rsidRPr="00B75F87">
        <w:rPr>
          <w:rFonts w:ascii="Book Antiqua" w:hAnsi="Book Antiqua" w:cs="Arial"/>
          <w:sz w:val="22"/>
        </w:rPr>
        <w:t>Appellant</w:t>
      </w:r>
      <w:r w:rsidRPr="00B75F87">
        <w:rPr>
          <w:rFonts w:ascii="Book Antiqua" w:hAnsi="Book Antiqua" w:cs="Arial"/>
          <w:sz w:val="22"/>
        </w:rPr>
        <w:t xml:space="preserve"> did have a passport previously, that is now expired and, further has been lost. Thus, I find that return would not be possible at the present time. </w:t>
      </w:r>
    </w:p>
    <w:p w:rsidR="00867494" w:rsidRPr="00B75F87" w:rsidRDefault="00867494" w:rsidP="00D34F7F">
      <w:pPr>
        <w:tabs>
          <w:tab w:val="left" w:pos="1701"/>
        </w:tabs>
        <w:spacing w:before="120"/>
        <w:ind w:left="1134" w:right="567"/>
        <w:jc w:val="both"/>
        <w:rPr>
          <w:rFonts w:ascii="Book Antiqua" w:hAnsi="Book Antiqua" w:cs="Arial"/>
          <w:sz w:val="22"/>
        </w:rPr>
      </w:pPr>
      <w:r w:rsidRPr="00B75F87">
        <w:rPr>
          <w:rFonts w:ascii="Book Antiqua" w:hAnsi="Book Antiqua" w:cs="Arial"/>
          <w:sz w:val="22"/>
        </w:rPr>
        <w:t>63.</w:t>
      </w:r>
      <w:r w:rsidR="00D34F7F">
        <w:rPr>
          <w:rFonts w:ascii="Book Antiqua" w:hAnsi="Book Antiqua" w:cs="Arial"/>
          <w:sz w:val="22"/>
        </w:rPr>
        <w:tab/>
      </w:r>
      <w:r w:rsidRPr="00B75F87">
        <w:rPr>
          <w:rFonts w:ascii="Book Antiqua" w:hAnsi="Book Antiqua" w:cs="Arial"/>
          <w:sz w:val="22"/>
        </w:rPr>
        <w:t xml:space="preserve">There is also the question of a reasonable period of time, a matter I have referred to above. As I have said above, return is not feasible to Erbil at the current time and delay is certainly a factor which would weigh in favour of the </w:t>
      </w:r>
      <w:r w:rsidR="000064E8" w:rsidRPr="00B75F87">
        <w:rPr>
          <w:rFonts w:ascii="Book Antiqua" w:hAnsi="Book Antiqua" w:cs="Arial"/>
          <w:sz w:val="22"/>
        </w:rPr>
        <w:t>Appellant</w:t>
      </w:r>
      <w:r w:rsidRPr="00B75F87">
        <w:rPr>
          <w:rFonts w:ascii="Book Antiqua" w:hAnsi="Book Antiqua" w:cs="Arial"/>
          <w:sz w:val="22"/>
        </w:rPr>
        <w:t>.”</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That, in my judgement is inconsistent with the submission made that the judge had considered the possibility of return in accordance with paragraph [170] of AA (Iraq) [2015] because that paragraph expressly makes reference to the evidence of Dr Fatah who had made reference to a “expired or current Iraqi passport” or a “photocopy of the previous Iraqi passport and a police report noting that it had been lost or stolen…” The </w:t>
      </w:r>
      <w:r w:rsidR="000064E8" w:rsidRPr="00264302">
        <w:rPr>
          <w:rFonts w:ascii="Book Antiqua" w:hAnsi="Book Antiqua" w:cs="Arial"/>
        </w:rPr>
        <w:t>Tribunal</w:t>
      </w:r>
      <w:r w:rsidRPr="00264302">
        <w:rPr>
          <w:rFonts w:ascii="Book Antiqua" w:hAnsi="Book Antiqua" w:cs="Arial"/>
        </w:rPr>
        <w:t xml:space="preserve"> went on to state “if the position is that the secretary of state can feasibly remove an Iraqi national, then she will be expected to tell the </w:t>
      </w:r>
      <w:r w:rsidR="000064E8" w:rsidRPr="00264302">
        <w:rPr>
          <w:rFonts w:ascii="Book Antiqua" w:hAnsi="Book Antiqua" w:cs="Arial"/>
        </w:rPr>
        <w:t>Tribunal</w:t>
      </w:r>
      <w:r w:rsidRPr="00264302">
        <w:rPr>
          <w:rFonts w:ascii="Book Antiqua" w:hAnsi="Book Antiqua" w:cs="Arial"/>
        </w:rPr>
        <w:t xml:space="preserve"> whether and if so what</w:t>
      </w:r>
      <w:r w:rsidR="008D23FB" w:rsidRPr="00264302">
        <w:rPr>
          <w:rFonts w:ascii="Book Antiqua" w:hAnsi="Book Antiqua" w:cs="Arial"/>
        </w:rPr>
        <w:t xml:space="preserve"> documentation has led the Iraqi</w:t>
      </w:r>
      <w:r w:rsidRPr="00264302">
        <w:rPr>
          <w:rFonts w:ascii="Book Antiqua" w:hAnsi="Book Antiqua" w:cs="Arial"/>
        </w:rPr>
        <w:t xml:space="preserve"> authorities to issue the national with the passport or laissez passer (or signal their intention to do so). The </w:t>
      </w:r>
      <w:r w:rsidR="000064E8" w:rsidRPr="00264302">
        <w:rPr>
          <w:rFonts w:ascii="Book Antiqua" w:hAnsi="Book Antiqua" w:cs="Arial"/>
        </w:rPr>
        <w:t>Tribunal</w:t>
      </w:r>
      <w:r w:rsidRPr="00264302">
        <w:rPr>
          <w:rFonts w:ascii="Book Antiqua" w:hAnsi="Book Antiqua" w:cs="Arial"/>
        </w:rPr>
        <w:t xml:space="preserve"> will need to know, in particular, whether the person concerned has a CSID. It is only where return is feasible but the individual concerned does not have a CSID the consequences of not having one come into play.”</w:t>
      </w:r>
    </w:p>
    <w:p w:rsidR="00867494" w:rsidRPr="00264302" w:rsidRDefault="00867494" w:rsidP="00C94BD5">
      <w:pPr>
        <w:pStyle w:val="ListParagraph"/>
        <w:numPr>
          <w:ilvl w:val="0"/>
          <w:numId w:val="25"/>
        </w:numPr>
        <w:spacing w:before="160"/>
        <w:jc w:val="both"/>
        <w:rPr>
          <w:rFonts w:ascii="Book Antiqua" w:hAnsi="Book Antiqua" w:cs="Arial"/>
        </w:rPr>
      </w:pPr>
      <w:proofErr w:type="gramStart"/>
      <w:r w:rsidRPr="00264302">
        <w:rPr>
          <w:rFonts w:ascii="Book Antiqua" w:hAnsi="Book Antiqua" w:cs="Arial"/>
        </w:rPr>
        <w:t>Therefore</w:t>
      </w:r>
      <w:proofErr w:type="gramEnd"/>
      <w:r w:rsidRPr="00264302">
        <w:rPr>
          <w:rFonts w:ascii="Book Antiqua" w:hAnsi="Book Antiqua" w:cs="Arial"/>
        </w:rPr>
        <w:t xml:space="preserve"> contrary to the submission made by Mr Karnik paragraph [170] expressly makes reference to someone who had a photo copy of a previous Iraqi passport. Mr Diwncyz, on behalf of the Secretary of State referred to his file and was able to identify a copy of the passport which was issued in Baghdad on the xxx 2007 and after the </w:t>
      </w:r>
      <w:r w:rsidR="000064E8" w:rsidRPr="00264302">
        <w:rPr>
          <w:rFonts w:ascii="Book Antiqua" w:hAnsi="Book Antiqua" w:cs="Arial"/>
        </w:rPr>
        <w:t>Appellant</w:t>
      </w:r>
      <w:r w:rsidRPr="00264302">
        <w:rPr>
          <w:rFonts w:ascii="Book Antiqua" w:hAnsi="Book Antiqua" w:cs="Arial"/>
        </w:rPr>
        <w:t xml:space="preserve"> had entered the United Kingdom and was also able to identify that it had been used to enter Erbil on a number of occasions between 2010 – 2013; the latest being March – August 2013.</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As paragraph 170 states, the secretary of state would be expected to tell the </w:t>
      </w:r>
      <w:r w:rsidR="000064E8" w:rsidRPr="00264302">
        <w:rPr>
          <w:rFonts w:ascii="Book Antiqua" w:hAnsi="Book Antiqua" w:cs="Arial"/>
        </w:rPr>
        <w:t>Tribunal</w:t>
      </w:r>
      <w:r w:rsidRPr="00264302">
        <w:rPr>
          <w:rFonts w:ascii="Book Antiqua" w:hAnsi="Book Antiqua" w:cs="Arial"/>
        </w:rPr>
        <w:t xml:space="preserve"> whether and if so on what documentation would lead the Iraqi authoritie</w:t>
      </w:r>
      <w:r w:rsidR="00A35DC0" w:rsidRPr="00264302">
        <w:rPr>
          <w:rFonts w:ascii="Book Antiqua" w:hAnsi="Book Antiqua" w:cs="Arial"/>
        </w:rPr>
        <w:t>s to issue a passport or laisser</w:t>
      </w:r>
      <w:r w:rsidRPr="00264302">
        <w:rPr>
          <w:rFonts w:ascii="Book Antiqua" w:hAnsi="Book Antiqua" w:cs="Arial"/>
        </w:rPr>
        <w:t xml:space="preserve"> passer or signal their intention to do so. The decision letter set out that process relying on the </w:t>
      </w:r>
      <w:r w:rsidR="000064E8" w:rsidRPr="00264302">
        <w:rPr>
          <w:rFonts w:ascii="Book Antiqua" w:hAnsi="Book Antiqua" w:cs="Arial"/>
        </w:rPr>
        <w:t>Appellant</w:t>
      </w:r>
      <w:r w:rsidRPr="00264302">
        <w:rPr>
          <w:rFonts w:ascii="Book Antiqua" w:hAnsi="Book Antiqua" w:cs="Arial"/>
        </w:rPr>
        <w:t xml:space="preserve"> having the available (see K6 of the </w:t>
      </w:r>
      <w:r w:rsidR="000064E8" w:rsidRPr="00264302">
        <w:rPr>
          <w:rFonts w:ascii="Book Antiqua" w:hAnsi="Book Antiqua" w:cs="Arial"/>
        </w:rPr>
        <w:t>Respondent</w:t>
      </w:r>
      <w:r w:rsidRPr="00264302">
        <w:rPr>
          <w:rFonts w:ascii="Book Antiqua" w:hAnsi="Book Antiqua" w:cs="Arial"/>
        </w:rPr>
        <w:t xml:space="preserve">’s </w:t>
      </w:r>
      <w:r w:rsidRPr="00264302">
        <w:rPr>
          <w:rFonts w:ascii="Book Antiqua" w:hAnsi="Book Antiqua" w:cs="Arial"/>
        </w:rPr>
        <w:lastRenderedPageBreak/>
        <w:t xml:space="preserve">bundle). </w:t>
      </w:r>
      <w:proofErr w:type="gramStart"/>
      <w:r w:rsidRPr="00264302">
        <w:rPr>
          <w:rFonts w:ascii="Book Antiqua" w:hAnsi="Book Antiqua" w:cs="Arial"/>
        </w:rPr>
        <w:t>Therefore</w:t>
      </w:r>
      <w:proofErr w:type="gramEnd"/>
      <w:r w:rsidRPr="00264302">
        <w:rPr>
          <w:rFonts w:ascii="Book Antiqua" w:hAnsi="Book Antiqua" w:cs="Arial"/>
        </w:rPr>
        <w:t xml:space="preserve"> the judge did not consider paragraph 170 of </w:t>
      </w:r>
      <w:r w:rsidR="00A35DC0" w:rsidRPr="00264302">
        <w:rPr>
          <w:rFonts w:ascii="Book Antiqua" w:hAnsi="Book Antiqua" w:cs="Arial"/>
        </w:rPr>
        <w:t>AA (</w:t>
      </w:r>
      <w:r w:rsidRPr="00264302">
        <w:rPr>
          <w:rFonts w:ascii="Book Antiqua" w:hAnsi="Book Antiqua" w:cs="Arial"/>
        </w:rPr>
        <w:t>Iraq</w:t>
      </w:r>
      <w:r w:rsidR="00A35DC0" w:rsidRPr="00264302">
        <w:rPr>
          <w:rFonts w:ascii="Book Antiqua" w:hAnsi="Book Antiqua" w:cs="Arial"/>
        </w:rPr>
        <w:t>) in</w:t>
      </w:r>
      <w:r w:rsidRPr="00264302">
        <w:rPr>
          <w:rFonts w:ascii="Book Antiqua" w:hAnsi="Book Antiqua" w:cs="Arial"/>
        </w:rPr>
        <w:t xml:space="preserve"> the context of his findings at [62 or 63] </w:t>
      </w:r>
      <w:r w:rsidR="008D23FB" w:rsidRPr="00264302">
        <w:rPr>
          <w:rFonts w:ascii="Book Antiqua" w:hAnsi="Book Antiqua" w:cs="Arial"/>
        </w:rPr>
        <w:t xml:space="preserve">as </w:t>
      </w:r>
      <w:r w:rsidRPr="00264302">
        <w:rPr>
          <w:rFonts w:ascii="Book Antiqua" w:hAnsi="Book Antiqua" w:cs="Arial"/>
        </w:rPr>
        <w:t xml:space="preserve">submitted on behalf of the </w:t>
      </w:r>
      <w:r w:rsidR="000064E8" w:rsidRPr="00264302">
        <w:rPr>
          <w:rFonts w:ascii="Book Antiqua" w:hAnsi="Book Antiqua" w:cs="Arial"/>
        </w:rPr>
        <w:t>Appellant</w:t>
      </w:r>
      <w:r w:rsidRPr="00264302">
        <w:rPr>
          <w:rFonts w:ascii="Book Antiqua" w:hAnsi="Book Antiqua" w:cs="Arial"/>
        </w:rPr>
        <w:t>.</w:t>
      </w:r>
    </w:p>
    <w:p w:rsidR="00867494" w:rsidRPr="00264302" w:rsidRDefault="00867494" w:rsidP="00C94BD5">
      <w:pPr>
        <w:pStyle w:val="ListParagraph"/>
        <w:numPr>
          <w:ilvl w:val="0"/>
          <w:numId w:val="25"/>
        </w:numPr>
        <w:spacing w:before="160"/>
        <w:jc w:val="both"/>
        <w:rPr>
          <w:rFonts w:ascii="Book Antiqua" w:hAnsi="Book Antiqua" w:cs="Arial"/>
        </w:rPr>
      </w:pPr>
      <w:proofErr w:type="gramStart"/>
      <w:r w:rsidRPr="00264302">
        <w:rPr>
          <w:rFonts w:ascii="Book Antiqua" w:hAnsi="Book Antiqua" w:cs="Arial"/>
        </w:rPr>
        <w:t>Furthermore</w:t>
      </w:r>
      <w:proofErr w:type="gramEnd"/>
      <w:r w:rsidRPr="00264302">
        <w:rPr>
          <w:rFonts w:ascii="Book Antiqua" w:hAnsi="Book Antiqua" w:cs="Arial"/>
        </w:rPr>
        <w:t xml:space="preserve"> I do not consider that his finding at [65] did take into account the </w:t>
      </w:r>
      <w:r w:rsidR="000064E8" w:rsidRPr="00264302">
        <w:rPr>
          <w:rFonts w:ascii="Book Antiqua" w:hAnsi="Book Antiqua" w:cs="Arial"/>
        </w:rPr>
        <w:t>Appellant’s</w:t>
      </w:r>
      <w:r w:rsidRPr="00264302">
        <w:rPr>
          <w:rFonts w:ascii="Book Antiqua" w:hAnsi="Book Antiqua" w:cs="Arial"/>
        </w:rPr>
        <w:t xml:space="preserve"> circumstances. He stated there;</w:t>
      </w:r>
    </w:p>
    <w:p w:rsidR="00867494" w:rsidRPr="00264302" w:rsidRDefault="00867494" w:rsidP="00B75F87">
      <w:pPr>
        <w:tabs>
          <w:tab w:val="left" w:pos="1701"/>
        </w:tabs>
        <w:spacing w:before="120"/>
        <w:ind w:left="1134" w:right="567"/>
        <w:jc w:val="both"/>
        <w:rPr>
          <w:rFonts w:ascii="Book Antiqua" w:hAnsi="Book Antiqua" w:cs="Arial"/>
        </w:rPr>
      </w:pPr>
      <w:r w:rsidRPr="00264302">
        <w:rPr>
          <w:rFonts w:ascii="Book Antiqua" w:hAnsi="Book Antiqua" w:cs="Arial"/>
        </w:rPr>
        <w:t>“65.</w:t>
      </w:r>
      <w:r w:rsidR="00B75F87">
        <w:rPr>
          <w:rFonts w:ascii="Book Antiqua" w:hAnsi="Book Antiqua" w:cs="Arial"/>
        </w:rPr>
        <w:tab/>
      </w:r>
      <w:r w:rsidRPr="00264302">
        <w:rPr>
          <w:rFonts w:ascii="Book Antiqua" w:hAnsi="Book Antiqua" w:cs="Arial"/>
        </w:rPr>
        <w:t>I then have been referred to AA (</w:t>
      </w:r>
      <w:r w:rsidR="000064E8" w:rsidRPr="00264302">
        <w:rPr>
          <w:rFonts w:ascii="Book Antiqua" w:hAnsi="Book Antiqua" w:cs="Arial"/>
        </w:rPr>
        <w:t>Article</w:t>
      </w:r>
      <w:r w:rsidR="008D23FB" w:rsidRPr="00264302">
        <w:rPr>
          <w:rFonts w:ascii="Book Antiqua" w:hAnsi="Book Antiqua" w:cs="Arial"/>
        </w:rPr>
        <w:t xml:space="preserve"> 15 (c)</w:t>
      </w:r>
      <w:r w:rsidRPr="00264302">
        <w:rPr>
          <w:rFonts w:ascii="Book Antiqua" w:hAnsi="Book Antiqua" w:cs="Arial"/>
        </w:rPr>
        <w:t xml:space="preserve"> rev1) </w:t>
      </w:r>
      <w:proofErr w:type="gramStart"/>
      <w:r w:rsidRPr="00264302">
        <w:rPr>
          <w:rFonts w:ascii="Book Antiqua" w:hAnsi="Book Antiqua" w:cs="Arial"/>
        </w:rPr>
        <w:t>GC[</w:t>
      </w:r>
      <w:proofErr w:type="gramEnd"/>
      <w:r w:rsidRPr="00264302">
        <w:rPr>
          <w:rFonts w:ascii="Book Antiqua" w:hAnsi="Book Antiqua" w:cs="Arial"/>
        </w:rPr>
        <w:t>2015] UK UT544, where it is clear that entry into the IKR was only viable for a person who originates from the IKR and has been pre-cleared, as has been referred to in paragraph 17 that decision. I therefore look at the de</w:t>
      </w:r>
      <w:r w:rsidR="008D23FB" w:rsidRPr="00264302">
        <w:rPr>
          <w:rFonts w:ascii="Book Antiqua" w:hAnsi="Book Antiqua" w:cs="Arial"/>
        </w:rPr>
        <w:t>cision in the light of AA (Iraq</w:t>
      </w:r>
      <w:r w:rsidRPr="00264302">
        <w:rPr>
          <w:rFonts w:ascii="Book Antiqua" w:hAnsi="Book Antiqua" w:cs="Arial"/>
        </w:rPr>
        <w:t xml:space="preserve">) [2017] at paragraph 40, to which I’ve made reference above. Not only is return not reasonable currently, it is not clear how long a formal decision by the </w:t>
      </w:r>
      <w:r w:rsidR="000064E8" w:rsidRPr="00264302">
        <w:rPr>
          <w:rFonts w:ascii="Book Antiqua" w:hAnsi="Book Antiqua" w:cs="Arial"/>
        </w:rPr>
        <w:t>Respondent</w:t>
      </w:r>
      <w:r w:rsidRPr="00264302">
        <w:rPr>
          <w:rFonts w:ascii="Book Antiqua" w:hAnsi="Book Antiqua" w:cs="Arial"/>
        </w:rPr>
        <w:t xml:space="preserve"> could be delayed: certainly, delay is not approved by the Court of Appeal. Overall, I consider therefore that </w:t>
      </w:r>
      <w:r w:rsidR="000064E8" w:rsidRPr="00264302">
        <w:rPr>
          <w:rFonts w:ascii="Book Antiqua" w:hAnsi="Book Antiqua" w:cs="Arial"/>
        </w:rPr>
        <w:t>Article</w:t>
      </w:r>
      <w:r w:rsidR="008D23FB" w:rsidRPr="00264302">
        <w:rPr>
          <w:rFonts w:ascii="Book Antiqua" w:hAnsi="Book Antiqua" w:cs="Arial"/>
        </w:rPr>
        <w:t xml:space="preserve"> 15 (c)</w:t>
      </w:r>
      <w:r w:rsidRPr="00264302">
        <w:rPr>
          <w:rFonts w:ascii="Book Antiqua" w:hAnsi="Book Antiqua" w:cs="Arial"/>
        </w:rPr>
        <w:t xml:space="preserve"> will be breached.”</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judge again makes reference to the delay of a formal decision and it was on this basis that he found that </w:t>
      </w:r>
      <w:r w:rsidR="000064E8" w:rsidRPr="00264302">
        <w:rPr>
          <w:rFonts w:ascii="Book Antiqua" w:hAnsi="Book Antiqua" w:cs="Arial"/>
        </w:rPr>
        <w:t>Article</w:t>
      </w:r>
      <w:r w:rsidR="008D23FB" w:rsidRPr="00264302">
        <w:rPr>
          <w:rFonts w:ascii="Book Antiqua" w:hAnsi="Book Antiqua" w:cs="Arial"/>
        </w:rPr>
        <w:t xml:space="preserve"> 15 (c)</w:t>
      </w:r>
      <w:r w:rsidRPr="00264302">
        <w:rPr>
          <w:rFonts w:ascii="Book Antiqua" w:hAnsi="Book Antiqua" w:cs="Arial"/>
        </w:rPr>
        <w:t xml:space="preserve"> “will be breached”. That again is erroneous as it failed to take into account that the </w:t>
      </w:r>
      <w:r w:rsidR="000064E8" w:rsidRPr="00264302">
        <w:rPr>
          <w:rFonts w:ascii="Book Antiqua" w:hAnsi="Book Antiqua" w:cs="Arial"/>
        </w:rPr>
        <w:t>Appellant</w:t>
      </w:r>
      <w:r w:rsidRPr="00264302">
        <w:rPr>
          <w:rFonts w:ascii="Book Antiqua" w:hAnsi="Book Antiqua" w:cs="Arial"/>
        </w:rPr>
        <w:t xml:space="preserve"> did have access to documentation referred to in paragraph 170.</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There was also no reference in the determination as to the amended CG set out in AA (Iraq) [2017] and the only reference that was made related to paragraph 40 where the Court of Appeal made reference to decision-makers making decisions on entitlement to protection within a reasonable period of time (see determination at [60] and again at [40]).</w:t>
      </w:r>
      <w:r w:rsidR="00612635" w:rsidRPr="00264302">
        <w:rPr>
          <w:rFonts w:ascii="Book Antiqua" w:hAnsi="Book Antiqua" w:cs="Arial"/>
        </w:rPr>
        <w:t xml:space="preserve"> The guidance, which is reproduced below, recognises that a full factual analysis is necessary to properly consider whether return can be undertaken and in the context of access to </w:t>
      </w:r>
      <w:r w:rsidR="008D23FB" w:rsidRPr="00264302">
        <w:rPr>
          <w:rFonts w:ascii="Book Antiqua" w:hAnsi="Book Antiqua" w:cs="Arial"/>
        </w:rPr>
        <w:t xml:space="preserve">documentation, including a CSID, </w:t>
      </w:r>
      <w:r w:rsidR="00B75F87" w:rsidRPr="00264302">
        <w:rPr>
          <w:rFonts w:ascii="Book Antiqua" w:hAnsi="Book Antiqua" w:cs="Arial"/>
        </w:rPr>
        <w:t>whether</w:t>
      </w:r>
      <w:r w:rsidR="008D23FB" w:rsidRPr="00264302">
        <w:rPr>
          <w:rFonts w:ascii="Book Antiqua" w:hAnsi="Book Antiqua" w:cs="Arial"/>
        </w:rPr>
        <w:t xml:space="preserve"> return is feasible or not.</w:t>
      </w:r>
      <w:r w:rsidR="00612635" w:rsidRPr="00264302">
        <w:rPr>
          <w:rFonts w:ascii="Book Antiqua" w:hAnsi="Book Antiqua" w:cs="Arial"/>
        </w:rPr>
        <w:t xml:space="preserve"> There was no discussion or analysis in that context or findings of fact necessary to begin that analysis. </w:t>
      </w:r>
      <w:r w:rsidR="00A35DC0" w:rsidRPr="00264302">
        <w:rPr>
          <w:rFonts w:ascii="Book Antiqua" w:hAnsi="Book Antiqua" w:cs="Arial"/>
        </w:rPr>
        <w:t>There</w:t>
      </w:r>
      <w:r w:rsidR="00612635" w:rsidRPr="00264302">
        <w:rPr>
          <w:rFonts w:ascii="Book Antiqua" w:hAnsi="Book Antiqua" w:cs="Arial"/>
        </w:rPr>
        <w:t xml:space="preserve"> was no reference at all to the possibility or otherwise of obtaining a CSID.</w:t>
      </w:r>
    </w:p>
    <w:p w:rsidR="00B75F87" w:rsidRDefault="00612635" w:rsidP="00C94BD5">
      <w:pPr>
        <w:pStyle w:val="ListParagraph"/>
        <w:numPr>
          <w:ilvl w:val="0"/>
          <w:numId w:val="25"/>
        </w:numPr>
        <w:spacing w:before="160"/>
        <w:jc w:val="both"/>
        <w:rPr>
          <w:rFonts w:ascii="Book Antiqua" w:hAnsi="Book Antiqua"/>
        </w:rPr>
      </w:pPr>
      <w:r w:rsidRPr="00264302">
        <w:rPr>
          <w:rFonts w:ascii="Book Antiqua" w:hAnsi="Book Antiqua"/>
        </w:rPr>
        <w:t xml:space="preserve">The guidance in </w:t>
      </w:r>
      <w:r w:rsidR="00A35DC0" w:rsidRPr="00B75F87">
        <w:rPr>
          <w:rFonts w:ascii="Book Antiqua" w:hAnsi="Book Antiqua"/>
          <w:u w:val="single"/>
        </w:rPr>
        <w:t>AA (</w:t>
      </w:r>
      <w:r w:rsidRPr="00B75F87">
        <w:rPr>
          <w:rFonts w:ascii="Book Antiqua" w:hAnsi="Book Antiqua"/>
          <w:u w:val="single"/>
        </w:rPr>
        <w:t>Iraq) CG</w:t>
      </w:r>
      <w:r w:rsidRPr="00264302">
        <w:rPr>
          <w:rFonts w:ascii="Book Antiqua" w:hAnsi="Book Antiqua"/>
        </w:rPr>
        <w:t xml:space="preserve"> was </w:t>
      </w:r>
      <w:r w:rsidR="00A35DC0" w:rsidRPr="00264302">
        <w:rPr>
          <w:rFonts w:ascii="Book Antiqua" w:hAnsi="Book Antiqua"/>
        </w:rPr>
        <w:t>amended by</w:t>
      </w:r>
      <w:r w:rsidRPr="00264302">
        <w:rPr>
          <w:rFonts w:ascii="Book Antiqua" w:hAnsi="Book Antiqua"/>
        </w:rPr>
        <w:t xml:space="preserve"> the Court of Appeal in </w:t>
      </w:r>
      <w:r w:rsidR="00A35DC0" w:rsidRPr="00B75F87">
        <w:rPr>
          <w:rFonts w:ascii="Book Antiqua" w:hAnsi="Book Antiqua"/>
          <w:u w:val="single"/>
        </w:rPr>
        <w:t>AA (</w:t>
      </w:r>
      <w:r w:rsidRPr="00B75F87">
        <w:rPr>
          <w:rFonts w:ascii="Book Antiqua" w:hAnsi="Book Antiqua"/>
          <w:u w:val="single"/>
        </w:rPr>
        <w:t>Iraq) v SSHD</w:t>
      </w:r>
      <w:r w:rsidRPr="00264302">
        <w:rPr>
          <w:rFonts w:ascii="Book Antiqua" w:hAnsi="Book Antiqua"/>
        </w:rPr>
        <w:t xml:space="preserve"> [2017] EWCA Civ 944. </w:t>
      </w:r>
      <w:r w:rsidR="00A35DC0" w:rsidRPr="00264302">
        <w:rPr>
          <w:rFonts w:ascii="Book Antiqua" w:hAnsi="Book Antiqua"/>
        </w:rPr>
        <w:t>It reads:</w:t>
      </w:r>
    </w:p>
    <w:p w:rsidR="00B75F87" w:rsidRPr="00D34F7F" w:rsidRDefault="00612635" w:rsidP="00D34F7F">
      <w:pPr>
        <w:pStyle w:val="ListParagraph"/>
        <w:tabs>
          <w:tab w:val="left" w:pos="1701"/>
        </w:tabs>
        <w:spacing w:before="120"/>
        <w:ind w:left="1134" w:right="567"/>
        <w:jc w:val="both"/>
        <w:rPr>
          <w:rFonts w:ascii="Book Antiqua" w:hAnsi="Book Antiqua"/>
          <w:b/>
          <w:sz w:val="22"/>
        </w:rPr>
      </w:pPr>
      <w:r w:rsidRPr="00D34F7F">
        <w:rPr>
          <w:rFonts w:ascii="Book Antiqua" w:hAnsi="Book Antiqua"/>
          <w:b/>
          <w:sz w:val="22"/>
        </w:rPr>
        <w:t>B.</w:t>
      </w:r>
      <w:r w:rsidR="00D34F7F" w:rsidRPr="00D34F7F">
        <w:rPr>
          <w:rFonts w:ascii="Book Antiqua" w:hAnsi="Book Antiqua"/>
          <w:b/>
          <w:sz w:val="22"/>
        </w:rPr>
        <w:tab/>
      </w:r>
      <w:r w:rsidRPr="00D34F7F">
        <w:rPr>
          <w:rFonts w:ascii="Book Antiqua" w:hAnsi="Book Antiqua"/>
          <w:b/>
          <w:sz w:val="22"/>
        </w:rPr>
        <w:t>DOCUMENTATION AND FEASIBILITY OF RETURN (EXCLUDING IKR</w:t>
      </w:r>
      <w:r w:rsidR="00A35DC0" w:rsidRPr="00D34F7F">
        <w:rPr>
          <w:rFonts w:ascii="Book Antiqua" w:hAnsi="Book Antiqua"/>
          <w:b/>
          <w:sz w:val="22"/>
        </w:rPr>
        <w:t>)</w:t>
      </w:r>
    </w:p>
    <w:p w:rsidR="00B75F87" w:rsidRDefault="00612635" w:rsidP="00B30F11">
      <w:pPr>
        <w:pStyle w:val="ListParagraph"/>
        <w:tabs>
          <w:tab w:val="left" w:pos="1701"/>
        </w:tabs>
        <w:spacing w:before="120"/>
        <w:ind w:left="1134" w:right="567"/>
        <w:jc w:val="both"/>
        <w:rPr>
          <w:rFonts w:ascii="Book Antiqua" w:hAnsi="Book Antiqua"/>
          <w:sz w:val="22"/>
        </w:rPr>
      </w:pPr>
      <w:r w:rsidRPr="00B75F87">
        <w:rPr>
          <w:rFonts w:ascii="Book Antiqua" w:hAnsi="Book Antiqua"/>
          <w:sz w:val="22"/>
        </w:rPr>
        <w:t>5.</w:t>
      </w:r>
      <w:r w:rsidR="00B30F11">
        <w:rPr>
          <w:rFonts w:ascii="Book Antiqua" w:hAnsi="Book Antiqua"/>
          <w:sz w:val="22"/>
        </w:rPr>
        <w:tab/>
      </w:r>
      <w:r w:rsidRPr="00B75F87">
        <w:rPr>
          <w:rFonts w:ascii="Book Antiqua" w:hAnsi="Book Antiqua"/>
          <w:sz w:val="22"/>
        </w:rPr>
        <w:t>Return of former residents of the Iraqi Kurdish Region (IKR) will be to the IKR and all other Iraqis will be to Baghdad. The Iraqi authorities will allow an Iraqi national (P) in the United Kingdom to enter Iraq only if P is in possession of a current or expired Iraqi passport relating to P, or a laissez passer.</w:t>
      </w:r>
    </w:p>
    <w:p w:rsidR="00B75F87" w:rsidRDefault="00612635" w:rsidP="00B30F11">
      <w:pPr>
        <w:pStyle w:val="ListParagraph"/>
        <w:tabs>
          <w:tab w:val="left" w:pos="1701"/>
        </w:tabs>
        <w:spacing w:before="120"/>
        <w:ind w:left="1134" w:right="567"/>
        <w:jc w:val="both"/>
        <w:rPr>
          <w:rFonts w:ascii="Book Antiqua" w:hAnsi="Book Antiqua"/>
          <w:sz w:val="22"/>
        </w:rPr>
      </w:pPr>
      <w:r w:rsidRPr="00B75F87">
        <w:rPr>
          <w:rFonts w:ascii="Book Antiqua" w:hAnsi="Book Antiqua"/>
          <w:sz w:val="22"/>
        </w:rPr>
        <w:t>6.</w:t>
      </w:r>
      <w:r w:rsidR="00B30F11">
        <w:rPr>
          <w:rFonts w:ascii="Book Antiqua" w:hAnsi="Book Antiqua"/>
          <w:sz w:val="22"/>
        </w:rPr>
        <w:tab/>
      </w:r>
      <w:r w:rsidRPr="00B75F87">
        <w:rPr>
          <w:rFonts w:ascii="Book Antiqua" w:hAnsi="Book Antiqua"/>
          <w:sz w:val="22"/>
        </w:rPr>
        <w:t xml:space="preserve">No Iraqi national will be returnable to Baghdad if not in possession of one of these documents. </w:t>
      </w:r>
    </w:p>
    <w:p w:rsidR="00B75F87" w:rsidRDefault="00612635" w:rsidP="00B30F11">
      <w:pPr>
        <w:pStyle w:val="ListParagraph"/>
        <w:tabs>
          <w:tab w:val="left" w:pos="1701"/>
        </w:tabs>
        <w:spacing w:before="120"/>
        <w:ind w:left="1134" w:right="567"/>
        <w:jc w:val="both"/>
        <w:rPr>
          <w:rFonts w:ascii="Book Antiqua" w:hAnsi="Book Antiqua"/>
          <w:sz w:val="22"/>
        </w:rPr>
      </w:pPr>
      <w:r w:rsidRPr="00B75F87">
        <w:rPr>
          <w:rFonts w:ascii="Book Antiqua" w:hAnsi="Book Antiqua"/>
          <w:sz w:val="22"/>
        </w:rPr>
        <w:t>7.</w:t>
      </w:r>
      <w:r w:rsidR="00B30F11">
        <w:rPr>
          <w:rFonts w:ascii="Book Antiqua" w:hAnsi="Book Antiqua"/>
          <w:sz w:val="22"/>
        </w:rPr>
        <w:tab/>
      </w:r>
      <w:r w:rsidRPr="00B75F87">
        <w:rPr>
          <w:rFonts w:ascii="Book Antiqua" w:hAnsi="Book Antiqua"/>
          <w:sz w:val="22"/>
        </w:rPr>
        <w:t xml:space="preserve">In the light of the Court of Appeal's judgment in HF (Iraq) and Others v Secretary of State for the Home Department [2013] EWCA Civ 1276, an international protection claim made by P cannot succeed by reference to any alleged risk of harm arising from an absence of a current or expired Iraqi passport or a laissez passer, if the Tribunal finds that P's return is not currently feasible on account of a lack of any of those documents. </w:t>
      </w:r>
    </w:p>
    <w:p w:rsidR="00B75F87" w:rsidRDefault="00612635" w:rsidP="00B30F11">
      <w:pPr>
        <w:pStyle w:val="ListParagraph"/>
        <w:tabs>
          <w:tab w:val="left" w:pos="1701"/>
        </w:tabs>
        <w:spacing w:before="120"/>
        <w:ind w:left="1134" w:right="567"/>
        <w:jc w:val="both"/>
        <w:rPr>
          <w:rFonts w:ascii="Book Antiqua" w:hAnsi="Book Antiqua"/>
          <w:sz w:val="22"/>
        </w:rPr>
      </w:pPr>
      <w:r w:rsidRPr="00B75F87">
        <w:rPr>
          <w:rFonts w:ascii="Book Antiqua" w:hAnsi="Book Antiqua"/>
          <w:sz w:val="22"/>
        </w:rPr>
        <w:lastRenderedPageBreak/>
        <w:t>8.</w:t>
      </w:r>
      <w:r w:rsidR="00B30F11">
        <w:rPr>
          <w:rFonts w:ascii="Book Antiqua" w:hAnsi="Book Antiqua"/>
          <w:sz w:val="22"/>
        </w:rPr>
        <w:tab/>
      </w:r>
      <w:r w:rsidRPr="00B75F87">
        <w:rPr>
          <w:rFonts w:ascii="Book Antiqua" w:hAnsi="Book Antiqua"/>
          <w:sz w:val="22"/>
        </w:rPr>
        <w:t xml:space="preserve">Where P is returned to Iraq on a laissez passer or expired passport, P will be at no risk of serious harm at the point of return by reason of not having a current passport. </w:t>
      </w:r>
    </w:p>
    <w:p w:rsidR="00B75F87" w:rsidRPr="00D34F7F" w:rsidRDefault="00612635" w:rsidP="00D34F7F">
      <w:pPr>
        <w:pStyle w:val="ListParagraph"/>
        <w:tabs>
          <w:tab w:val="left" w:pos="1701"/>
        </w:tabs>
        <w:spacing w:before="120"/>
        <w:ind w:left="1134" w:right="567"/>
        <w:jc w:val="both"/>
        <w:rPr>
          <w:rFonts w:ascii="Book Antiqua" w:hAnsi="Book Antiqua"/>
          <w:b/>
          <w:sz w:val="22"/>
        </w:rPr>
      </w:pPr>
      <w:r w:rsidRPr="00D34F7F">
        <w:rPr>
          <w:rFonts w:ascii="Book Antiqua" w:hAnsi="Book Antiqua"/>
          <w:b/>
          <w:sz w:val="22"/>
        </w:rPr>
        <w:t>C.</w:t>
      </w:r>
      <w:r w:rsidR="00D34F7F" w:rsidRPr="00D34F7F">
        <w:rPr>
          <w:rFonts w:ascii="Book Antiqua" w:hAnsi="Book Antiqua"/>
          <w:b/>
          <w:sz w:val="22"/>
        </w:rPr>
        <w:tab/>
      </w:r>
      <w:r w:rsidRPr="00D34F7F">
        <w:rPr>
          <w:rFonts w:ascii="Book Antiqua" w:hAnsi="Book Antiqua"/>
          <w:b/>
          <w:sz w:val="22"/>
        </w:rPr>
        <w:t xml:space="preserve">The CSID </w:t>
      </w:r>
    </w:p>
    <w:p w:rsidR="00B75F87" w:rsidRDefault="00612635" w:rsidP="00B30F11">
      <w:pPr>
        <w:pStyle w:val="ListParagraph"/>
        <w:tabs>
          <w:tab w:val="left" w:pos="1701"/>
        </w:tabs>
        <w:spacing w:before="120"/>
        <w:ind w:left="1134" w:right="567"/>
        <w:jc w:val="both"/>
        <w:rPr>
          <w:rFonts w:ascii="Book Antiqua" w:hAnsi="Book Antiqua"/>
          <w:sz w:val="22"/>
        </w:rPr>
      </w:pPr>
      <w:r w:rsidRPr="00B75F87">
        <w:rPr>
          <w:rFonts w:ascii="Book Antiqua" w:hAnsi="Book Antiqua"/>
          <w:sz w:val="22"/>
        </w:rPr>
        <w:t>9.</w:t>
      </w:r>
      <w:r w:rsidR="00B30F11">
        <w:rPr>
          <w:rFonts w:ascii="Book Antiqua" w:hAnsi="Book Antiqua"/>
          <w:sz w:val="22"/>
        </w:rPr>
        <w:tab/>
      </w:r>
      <w:r w:rsidRPr="00B75F87">
        <w:rPr>
          <w:rFonts w:ascii="Book Antiqua" w:hAnsi="Book Antiqua"/>
          <w:sz w:val="22"/>
        </w:rPr>
        <w:t xml:space="preserve">Regardless of the feasibility of P's return, it will be necessary to decide whether P has a CSID, or will be able to obtain one, reasonably soon after arrival in Iraq. A CSID is generally required in order for an Iraqi to access financial assistance from the authorities; employment; education; housing; and medical treatment. If P shows there are no family or other members likely to be able to provide means of support, P is in general likely to face a real risk of destitution, amounting to serious harm, if, by the time any funds provided to P by the Secretary of State or her agents to assist P's return have been exhausted, it is reasonably likely that P will still have no CSID. </w:t>
      </w:r>
    </w:p>
    <w:p w:rsidR="00B75F87" w:rsidRDefault="00612635" w:rsidP="00B30F11">
      <w:pPr>
        <w:pStyle w:val="ListParagraph"/>
        <w:tabs>
          <w:tab w:val="left" w:pos="1701"/>
        </w:tabs>
        <w:spacing w:before="120"/>
        <w:ind w:left="1134" w:right="567"/>
        <w:jc w:val="both"/>
        <w:rPr>
          <w:rFonts w:ascii="Book Antiqua" w:hAnsi="Book Antiqua"/>
          <w:sz w:val="22"/>
        </w:rPr>
      </w:pPr>
      <w:r w:rsidRPr="00B75F87">
        <w:rPr>
          <w:rFonts w:ascii="Book Antiqua" w:hAnsi="Book Antiqua"/>
          <w:sz w:val="22"/>
        </w:rPr>
        <w:t>10.</w:t>
      </w:r>
      <w:r w:rsidR="00B30F11">
        <w:rPr>
          <w:rFonts w:ascii="Book Antiqua" w:hAnsi="Book Antiqua"/>
          <w:sz w:val="22"/>
        </w:rPr>
        <w:tab/>
      </w:r>
      <w:r w:rsidRPr="00B75F87">
        <w:rPr>
          <w:rFonts w:ascii="Book Antiqua" w:hAnsi="Book Antiqua"/>
          <w:sz w:val="22"/>
        </w:rPr>
        <w:t xml:space="preserve">Where return is feasible but P does not have a CSID, P should as a general matter be able to obtain one from the Civil Status Affairs Office for P's home Governorate, using an Iraqi passport (whether current or expired), if P has one. If P does not have such a passport, P's ability to obtain a CSID may depend on whether P knows the page and volume number of the book holding P's information (and that of P's family). P's ability to persuade the officials that P is the person named on the relevant page is likely to depend on whether P has family members or other individuals who are prepared to vouch for P. </w:t>
      </w:r>
    </w:p>
    <w:p w:rsidR="00612635" w:rsidRPr="00B75F87" w:rsidRDefault="00612635" w:rsidP="00B30F11">
      <w:pPr>
        <w:pStyle w:val="ListParagraph"/>
        <w:tabs>
          <w:tab w:val="left" w:pos="1701"/>
        </w:tabs>
        <w:spacing w:before="120"/>
        <w:ind w:left="1134" w:right="567"/>
        <w:jc w:val="both"/>
        <w:rPr>
          <w:rFonts w:ascii="Book Antiqua" w:hAnsi="Book Antiqua"/>
          <w:sz w:val="22"/>
        </w:rPr>
      </w:pPr>
      <w:r w:rsidRPr="00B75F87">
        <w:rPr>
          <w:rFonts w:ascii="Book Antiqua" w:hAnsi="Book Antiqua"/>
          <w:sz w:val="22"/>
        </w:rPr>
        <w:t>11.</w:t>
      </w:r>
      <w:r w:rsidR="00B30F11">
        <w:rPr>
          <w:rFonts w:ascii="Book Antiqua" w:hAnsi="Book Antiqua"/>
          <w:sz w:val="22"/>
        </w:rPr>
        <w:tab/>
      </w:r>
      <w:r w:rsidRPr="00B75F87">
        <w:rPr>
          <w:rFonts w:ascii="Book Antiqua" w:hAnsi="Book Antiqua"/>
          <w:sz w:val="22"/>
        </w:rPr>
        <w:t>P's ability to obtain a CSID is likely to be severely hampered if P is unable to go to the Civil Status Affairs Office of P's Governorate because it is in an area where Article 15(c) serious harm is occurring. As a result of the violence, alternative CSA Offices for Mosul, Anbar and Saluhaddin have been established in Baghdad and Kerbala. The evidence does not demonstrate that the "Central Archive", which exists in Baghdad, is in practice able to provide CSIDs to those in need of them. There is, however, a National Status Court in Baghdad, to which P could apply for formal recognition of identity. The precise operation of this court is, however, unclear.</w:t>
      </w:r>
    </w:p>
    <w:p w:rsidR="00B75F87" w:rsidRDefault="00612635" w:rsidP="00C94BD5">
      <w:pPr>
        <w:pStyle w:val="ListParagraph"/>
        <w:numPr>
          <w:ilvl w:val="0"/>
          <w:numId w:val="25"/>
        </w:numPr>
        <w:spacing w:before="160"/>
        <w:jc w:val="both"/>
        <w:rPr>
          <w:rFonts w:ascii="Book Antiqua" w:hAnsi="Book Antiqua"/>
        </w:rPr>
      </w:pPr>
      <w:r w:rsidRPr="00B75F87">
        <w:rPr>
          <w:rFonts w:ascii="Book Antiqua" w:hAnsi="Book Antiqua"/>
        </w:rPr>
        <w:t xml:space="preserve">Internal relocation within </w:t>
      </w:r>
      <w:r w:rsidR="00A35DC0" w:rsidRPr="00B75F87">
        <w:rPr>
          <w:rFonts w:ascii="Book Antiqua" w:hAnsi="Book Antiqua"/>
        </w:rPr>
        <w:t>Iraq (other</w:t>
      </w:r>
      <w:r w:rsidRPr="00B75F87">
        <w:rPr>
          <w:rFonts w:ascii="Book Antiqua" w:hAnsi="Book Antiqua"/>
        </w:rPr>
        <w:t xml:space="preserve"> than the IKR).  In AA (Article 15(c)) Iraq CG [2015] UKUT 544 (IAC) (unchanged by the Court of Appeal) it was held that (i) As a general matter, it will not be unreasonable or unduly harsh for a person from a contested area to relocate to Baghdad City or (subject to comments in this case on humanitarian protection and areas of the country where there is an internal armed conflict) the Baghdad Belts; (ii) In assessing whether it would be unreasonable/unduly harsh for and Iraqi national (P)to relocate to Baghdad, the following factors are, however, likely to be relevant:(a) whether P has a CSID or will be able to obtain one; (b) whether P can speak Arabic (those who cannot are less likely to find employment); (c) whether P has family members or friends in Baghdad able to accommodate him; (d) whether P is a lone female (women face greater difficulties than men in finding employment); (e) whether P can find a sponsor to access a hotel room or rent accommodation; (f) whether P is from a minority community; (g) whether there is support available for P bearing in mind there is some evidence that returned failed asylum seekers are provided with the support generally given to IDPs. (iii) there is not a real risk of an ordinary civilian travelling from Baghdad airport to the southern governorates, suffering serious harm en route to such governorates so as engage Article 15(c).</w:t>
      </w:r>
    </w:p>
    <w:p w:rsidR="00612635" w:rsidRPr="00B75F87" w:rsidRDefault="00612635" w:rsidP="00C94BD5">
      <w:pPr>
        <w:pStyle w:val="ListParagraph"/>
        <w:numPr>
          <w:ilvl w:val="0"/>
          <w:numId w:val="25"/>
        </w:numPr>
        <w:spacing w:before="160"/>
        <w:jc w:val="both"/>
        <w:rPr>
          <w:rFonts w:ascii="Book Antiqua" w:hAnsi="Book Antiqua"/>
        </w:rPr>
      </w:pPr>
      <w:r w:rsidRPr="00B75F87">
        <w:rPr>
          <w:rFonts w:ascii="Book Antiqua" w:hAnsi="Book Antiqua"/>
        </w:rPr>
        <w:lastRenderedPageBreak/>
        <w:t>The Iraqi Kurdish Region; In AA (unchanged by the Court of Appeal) it was held that (i) the Respondent will only return an Iraqi national (P) to the IKR if P originates from the IKR and P's identity has been "pre-cleared" with the IKR authorities. The authorities in the IKR do not require P to have an expired or current passport, or laissez passer; (ii) the IKR is virtually violence free. There is no Article 15(c) risk to an ordinary civilian in the IKR; (iii) A Kurd (K) who does not originate from the IKR can obtain entry for 10 days as a visitor and then renew this entry permission for a further 10 days. If K finds employment, K can remain for longer, although K will need to register with the authorities and provide details of the employer. There is no evidence that the IKR authorities pro-actively remove Kurds from the IKR whose permits have come to an end; (iv) whether K, if returned to Baghdad, can reasonably be expected to avoid any potential undue harshness in that city by travelling to the IKR, will be fact sensitive; and is likely to involve an assessment of (a)the practicality of travel from Baghdad to the IKR (such as to Irbil by air - there is not a real risk of an ordinary civilian travelling from Baghdad airport to the southern governorates, suffering serious harm en route to such governorates so as engage Article 15(c).); (b)the likelihood of K's securing employment in the IKR; and (c) the availability of assistance from family and friends in the IKR; (v) As a general matter, a non-Kurd who is at real risk in a home area in Iraq is unlikely to be able to relocate to the IKR.</w:t>
      </w:r>
    </w:p>
    <w:p w:rsidR="00867494" w:rsidRPr="00264302" w:rsidRDefault="00867494"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Whilst Mr </w:t>
      </w:r>
      <w:proofErr w:type="spellStart"/>
      <w:r w:rsidRPr="00264302">
        <w:rPr>
          <w:rFonts w:ascii="Book Antiqua" w:hAnsi="Book Antiqua" w:cs="Arial"/>
        </w:rPr>
        <w:t>Karnik</w:t>
      </w:r>
      <w:proofErr w:type="spellEnd"/>
      <w:r w:rsidRPr="00264302">
        <w:rPr>
          <w:rFonts w:ascii="Book Antiqua" w:hAnsi="Book Antiqua" w:cs="Arial"/>
        </w:rPr>
        <w:t xml:space="preserve"> submits that the </w:t>
      </w:r>
      <w:r w:rsidR="000064E8" w:rsidRPr="00264302">
        <w:rPr>
          <w:rFonts w:ascii="Book Antiqua" w:hAnsi="Book Antiqua" w:cs="Arial"/>
        </w:rPr>
        <w:t>Appellant’s</w:t>
      </w:r>
      <w:r w:rsidRPr="00264302">
        <w:rPr>
          <w:rFonts w:ascii="Book Antiqua" w:hAnsi="Book Antiqua" w:cs="Arial"/>
        </w:rPr>
        <w:t xml:space="preserve"> evidence was not disputed that his home area was in Kirkuk citing paragraph [34], in fact that paragraph is simply a recital of the </w:t>
      </w:r>
      <w:r w:rsidR="000064E8" w:rsidRPr="00264302">
        <w:rPr>
          <w:rFonts w:ascii="Book Antiqua" w:hAnsi="Book Antiqua" w:cs="Arial"/>
        </w:rPr>
        <w:t>Appellant’s</w:t>
      </w:r>
      <w:r w:rsidRPr="00264302">
        <w:rPr>
          <w:rFonts w:ascii="Book Antiqua" w:hAnsi="Book Antiqua" w:cs="Arial"/>
        </w:rPr>
        <w:t xml:space="preserve"> evidence. Nowhere in the decision letter is it accepted that he was born in Erbil but lived in Kirkuk. </w:t>
      </w:r>
      <w:proofErr w:type="gramStart"/>
      <w:r w:rsidRPr="00264302">
        <w:rPr>
          <w:rFonts w:ascii="Book Antiqua" w:hAnsi="Book Antiqua" w:cs="Arial"/>
        </w:rPr>
        <w:t>Indeed</w:t>
      </w:r>
      <w:proofErr w:type="gramEnd"/>
      <w:r w:rsidRPr="00264302">
        <w:rPr>
          <w:rFonts w:ascii="Book Antiqua" w:hAnsi="Book Antiqua" w:cs="Arial"/>
        </w:rPr>
        <w:t xml:space="preserve"> the opposite is set out in the decision letter. </w:t>
      </w:r>
      <w:proofErr w:type="gramStart"/>
      <w:r w:rsidRPr="00264302">
        <w:rPr>
          <w:rFonts w:ascii="Book Antiqua" w:hAnsi="Book Antiqua" w:cs="Arial"/>
        </w:rPr>
        <w:t>Furthermore</w:t>
      </w:r>
      <w:proofErr w:type="gramEnd"/>
      <w:r w:rsidRPr="00264302">
        <w:rPr>
          <w:rFonts w:ascii="Book Antiqua" w:hAnsi="Book Antiqua" w:cs="Arial"/>
        </w:rPr>
        <w:t xml:space="preserve"> as Mr Diwnicyz submits there were no findings of fact as to when he left Erbil to live in Kirkuk or at what date. The previous findings made by the judge in 2004 clearly stated that he lived in Erbil. </w:t>
      </w:r>
      <w:proofErr w:type="gramStart"/>
      <w:r w:rsidRPr="00264302">
        <w:rPr>
          <w:rFonts w:ascii="Book Antiqua" w:hAnsi="Book Antiqua" w:cs="Arial"/>
        </w:rPr>
        <w:t>Therefore</w:t>
      </w:r>
      <w:proofErr w:type="gramEnd"/>
      <w:r w:rsidRPr="00264302">
        <w:rPr>
          <w:rFonts w:ascii="Book Antiqua" w:hAnsi="Book Antiqua" w:cs="Arial"/>
        </w:rPr>
        <w:t xml:space="preserve"> the recollection of Counsel that he had moved to Kirkuk when he was very young and lived there prior to leaving Iraq was not consistent with the decision of the judge in 2004. If his evidence was different to that set out in the decision of Judge Andrews, then fresh findings were necessary. As they were no findings as to his ability to obtain any form of documentary evidence based on the fact that he did have access to a certified photo copy of his passport held by the </w:t>
      </w:r>
      <w:r w:rsidR="000064E8" w:rsidRPr="00264302">
        <w:rPr>
          <w:rFonts w:ascii="Book Antiqua" w:hAnsi="Book Antiqua" w:cs="Arial"/>
        </w:rPr>
        <w:t>Respondent</w:t>
      </w:r>
      <w:r w:rsidRPr="00264302">
        <w:rPr>
          <w:rFonts w:ascii="Book Antiqua" w:hAnsi="Book Antiqua" w:cs="Arial"/>
        </w:rPr>
        <w:t>, and no findings either which were fundamental to his claim as to the place of his residence, there was a lacuna in the evidence which was not resolved and was necessary to begin with as a starting poin</w:t>
      </w:r>
      <w:r w:rsidR="00752EB4" w:rsidRPr="00264302">
        <w:rPr>
          <w:rFonts w:ascii="Book Antiqua" w:hAnsi="Book Antiqua" w:cs="Arial"/>
        </w:rPr>
        <w:t>t for any assessment of return irrespective of any concession made. The terms of which were not explained or set against the context of the amended CG.</w:t>
      </w:r>
    </w:p>
    <w:p w:rsidR="00D40BED" w:rsidRPr="00264302" w:rsidRDefault="00D40BED"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The judge did not believe his account of the circumstances of his return to Iraq [see paragraphs 53 – 44 of the determination) and whilst the judge recorded [71] “there is no evidence to contradict the claim by the </w:t>
      </w:r>
      <w:r w:rsidR="000064E8" w:rsidRPr="00264302">
        <w:rPr>
          <w:rFonts w:ascii="Book Antiqua" w:hAnsi="Book Antiqua" w:cs="Arial"/>
        </w:rPr>
        <w:t>Appellant</w:t>
      </w:r>
      <w:r w:rsidRPr="00264302">
        <w:rPr>
          <w:rFonts w:ascii="Book Antiqua" w:hAnsi="Book Antiqua" w:cs="Arial"/>
        </w:rPr>
        <w:t xml:space="preserve"> both his parents have died and he has no remaining ties in Iraq” no findings are made as to the whereabouts of other family members, including his uncle who was referred to in 2004 and the circumsta</w:t>
      </w:r>
      <w:r w:rsidR="00752EB4" w:rsidRPr="00264302">
        <w:rPr>
          <w:rFonts w:ascii="Book Antiqua" w:hAnsi="Book Antiqua" w:cs="Arial"/>
        </w:rPr>
        <w:t>nces of the visits made to Iraq</w:t>
      </w:r>
      <w:r w:rsidRPr="00264302">
        <w:rPr>
          <w:rFonts w:ascii="Book Antiqua" w:hAnsi="Book Antiqua" w:cs="Arial"/>
        </w:rPr>
        <w:t xml:space="preserve"> between 2010 – 2013 and any other extended family o</w:t>
      </w:r>
      <w:r w:rsidR="00752EB4" w:rsidRPr="00264302">
        <w:rPr>
          <w:rFonts w:ascii="Book Antiqua" w:hAnsi="Book Antiqua" w:cs="Arial"/>
        </w:rPr>
        <w:t>r friends in light of that factual background who may be able to offer assistance.</w:t>
      </w:r>
    </w:p>
    <w:p w:rsidR="00D40BED" w:rsidRPr="00264302" w:rsidRDefault="00D40BED" w:rsidP="00C94BD5">
      <w:pPr>
        <w:pStyle w:val="ListParagraph"/>
        <w:numPr>
          <w:ilvl w:val="0"/>
          <w:numId w:val="25"/>
        </w:numPr>
        <w:spacing w:before="160"/>
        <w:jc w:val="both"/>
        <w:rPr>
          <w:rFonts w:ascii="Book Antiqua" w:hAnsi="Book Antiqua" w:cs="Arial"/>
        </w:rPr>
      </w:pPr>
      <w:r w:rsidRPr="00264302">
        <w:rPr>
          <w:rFonts w:ascii="Book Antiqua" w:hAnsi="Book Antiqua" w:cs="Arial"/>
        </w:rPr>
        <w:t xml:space="preserve">I am therefore satisfied that the judge did err in law in reaching his decision on </w:t>
      </w:r>
      <w:r w:rsidR="000064E8" w:rsidRPr="00264302">
        <w:rPr>
          <w:rFonts w:ascii="Book Antiqua" w:hAnsi="Book Antiqua" w:cs="Arial"/>
        </w:rPr>
        <w:t>Article</w:t>
      </w:r>
      <w:r w:rsidR="00752EB4" w:rsidRPr="00264302">
        <w:rPr>
          <w:rFonts w:ascii="Book Antiqua" w:hAnsi="Book Antiqua" w:cs="Arial"/>
        </w:rPr>
        <w:t xml:space="preserve"> 15(c)</w:t>
      </w:r>
      <w:r w:rsidRPr="00264302">
        <w:rPr>
          <w:rFonts w:ascii="Book Antiqua" w:hAnsi="Book Antiqua" w:cs="Arial"/>
        </w:rPr>
        <w:t xml:space="preserve">. Whilst Mr Karnik submits the judge could have better expressed the </w:t>
      </w:r>
      <w:r w:rsidRPr="00264302">
        <w:rPr>
          <w:rFonts w:ascii="Book Antiqua" w:hAnsi="Book Antiqua" w:cs="Arial"/>
        </w:rPr>
        <w:lastRenderedPageBreak/>
        <w:t xml:space="preserve">determination (see paragraph 10 of his skeleton argument) and that as he has no CSID the </w:t>
      </w:r>
      <w:r w:rsidR="000064E8" w:rsidRPr="00264302">
        <w:rPr>
          <w:rFonts w:ascii="Book Antiqua" w:hAnsi="Book Antiqua" w:cs="Arial"/>
        </w:rPr>
        <w:t>Appellant</w:t>
      </w:r>
      <w:r w:rsidRPr="00264302">
        <w:rPr>
          <w:rFonts w:ascii="Book Antiqua" w:hAnsi="Book Antiqua" w:cs="Arial"/>
        </w:rPr>
        <w:t xml:space="preserve"> should succeed in his claim, I do not consider that that changes the position. There were fundamental issues that required findings of fact as set out above, which were necessary before carrying out the analysis referred to </w:t>
      </w:r>
      <w:r w:rsidR="00752EB4" w:rsidRPr="00264302">
        <w:rPr>
          <w:rFonts w:ascii="Book Antiqua" w:hAnsi="Book Antiqua" w:cs="Arial"/>
        </w:rPr>
        <w:t>in AA (Iraq) as amended by the Court of A</w:t>
      </w:r>
      <w:r w:rsidRPr="00264302">
        <w:rPr>
          <w:rFonts w:ascii="Book Antiqua" w:hAnsi="Book Antiqua" w:cs="Arial"/>
        </w:rPr>
        <w:t xml:space="preserve">ppeal </w:t>
      </w:r>
      <w:proofErr w:type="gramStart"/>
      <w:r w:rsidRPr="00264302">
        <w:rPr>
          <w:rFonts w:ascii="Book Antiqua" w:hAnsi="Book Antiqua" w:cs="Arial"/>
        </w:rPr>
        <w:t>and also</w:t>
      </w:r>
      <w:proofErr w:type="gramEnd"/>
      <w:r w:rsidRPr="00264302">
        <w:rPr>
          <w:rFonts w:ascii="Book Antiqua" w:hAnsi="Book Antiqua" w:cs="Arial"/>
        </w:rPr>
        <w:t xml:space="preserve"> made clear in the new country guidance case of </w:t>
      </w:r>
      <w:r w:rsidRPr="00264302">
        <w:rPr>
          <w:rFonts w:ascii="Book Antiqua" w:hAnsi="Book Antiqua" w:cs="Arial"/>
          <w:u w:val="single"/>
        </w:rPr>
        <w:t>AAH</w:t>
      </w:r>
      <w:r w:rsidR="00D436D3">
        <w:rPr>
          <w:rFonts w:ascii="Book Antiqua" w:hAnsi="Book Antiqua" w:cs="Arial"/>
          <w:u w:val="single"/>
        </w:rPr>
        <w:t xml:space="preserve"> </w:t>
      </w:r>
      <w:r w:rsidR="00752EB4" w:rsidRPr="00264302">
        <w:rPr>
          <w:rFonts w:ascii="Book Antiqua" w:hAnsi="Book Antiqua" w:cs="Arial"/>
          <w:u w:val="single"/>
        </w:rPr>
        <w:t>(Iraqi Kurds-internal relocation) Iraq CG</w:t>
      </w:r>
      <w:r w:rsidR="00752EB4" w:rsidRPr="00264302">
        <w:rPr>
          <w:rFonts w:ascii="Book Antiqua" w:hAnsi="Book Antiqua" w:cs="Arial"/>
        </w:rPr>
        <w:t xml:space="preserve"> [2018] UKUT 00212</w:t>
      </w:r>
      <w:r w:rsidRPr="00264302">
        <w:rPr>
          <w:rFonts w:ascii="Book Antiqua" w:hAnsi="Book Antiqua" w:cs="Arial"/>
        </w:rPr>
        <w:t xml:space="preserve">. The difficulty with the decision is that the judge did not begin his assessment by properly taking into account the documentation that he did have access to and making findings of fact relevant to past and present history in the context of any ability to return to Iraq. Furthermore, Mr Diwncyz has located in the bundle of documents that was before the FtTJ a document that he states has the appearance of being a CSID. The </w:t>
      </w:r>
      <w:r w:rsidR="000064E8" w:rsidRPr="00264302">
        <w:rPr>
          <w:rFonts w:ascii="Book Antiqua" w:hAnsi="Book Antiqua" w:cs="Arial"/>
        </w:rPr>
        <w:t>Appellant</w:t>
      </w:r>
      <w:r w:rsidRPr="00264302">
        <w:rPr>
          <w:rFonts w:ascii="Book Antiqua" w:hAnsi="Book Antiqua" w:cs="Arial"/>
        </w:rPr>
        <w:t xml:space="preserve"> for his part states that it is possibly an ID card. The document has not been translated and will require further consideration at a further hearing.</w:t>
      </w:r>
    </w:p>
    <w:p w:rsidR="00954B3F" w:rsidRPr="00264302" w:rsidRDefault="005855C9" w:rsidP="00C94BD5">
      <w:pPr>
        <w:pStyle w:val="ListParagraph"/>
        <w:numPr>
          <w:ilvl w:val="0"/>
          <w:numId w:val="25"/>
        </w:numPr>
        <w:spacing w:before="160"/>
        <w:jc w:val="both"/>
        <w:rPr>
          <w:rFonts w:ascii="Book Antiqua" w:hAnsi="Book Antiqua"/>
        </w:rPr>
      </w:pPr>
      <w:r w:rsidRPr="00264302">
        <w:rPr>
          <w:rFonts w:ascii="Book Antiqua" w:hAnsi="Book Antiqua" w:cs="Arial"/>
        </w:rPr>
        <w:t>I am therefore satisfied that the decision of the FtTJ discloses the making of an error on a point of law and shall be set aside. As to the remaking of the decision,</w:t>
      </w:r>
      <w:r w:rsidRPr="00264302">
        <w:rPr>
          <w:rFonts w:ascii="Book Antiqua" w:hAnsi="Book Antiqua"/>
        </w:rPr>
        <w:t xml:space="preserve"> I have given careful consideration to the Joint Practice Statement of the First-tier </w:t>
      </w:r>
      <w:r w:rsidR="000064E8" w:rsidRPr="00264302">
        <w:rPr>
          <w:rFonts w:ascii="Book Antiqua" w:hAnsi="Book Antiqua"/>
        </w:rPr>
        <w:t>Tribunal</w:t>
      </w:r>
      <w:r w:rsidRPr="00264302">
        <w:rPr>
          <w:rFonts w:ascii="Book Antiqua" w:hAnsi="Book Antiqua"/>
        </w:rPr>
        <w:t xml:space="preserve"> and Upper </w:t>
      </w:r>
      <w:r w:rsidR="000064E8" w:rsidRPr="00264302">
        <w:rPr>
          <w:rFonts w:ascii="Book Antiqua" w:hAnsi="Book Antiqua"/>
        </w:rPr>
        <w:t>Tribunal</w:t>
      </w:r>
      <w:r w:rsidRPr="00264302">
        <w:rPr>
          <w:rFonts w:ascii="Book Antiqua" w:hAnsi="Book Antiqua"/>
        </w:rPr>
        <w:t xml:space="preserve"> concerning the disposal of appeals in this </w:t>
      </w:r>
      <w:r w:rsidR="000064E8" w:rsidRPr="00264302">
        <w:rPr>
          <w:rFonts w:ascii="Book Antiqua" w:hAnsi="Book Antiqua"/>
        </w:rPr>
        <w:t>Tribunal</w:t>
      </w:r>
      <w:r w:rsidRPr="00264302">
        <w:rPr>
          <w:rFonts w:ascii="Book Antiqua" w:hAnsi="Book Antiqua"/>
        </w:rPr>
        <w:t xml:space="preserve">. That reads as </w:t>
      </w:r>
      <w:proofErr w:type="gramStart"/>
      <w:r w:rsidRPr="00264302">
        <w:rPr>
          <w:rFonts w:ascii="Book Antiqua" w:hAnsi="Book Antiqua"/>
        </w:rPr>
        <w:t>follows:-</w:t>
      </w:r>
      <w:proofErr w:type="gramEnd"/>
    </w:p>
    <w:p w:rsidR="00954B3F" w:rsidRPr="00264302" w:rsidRDefault="005855C9" w:rsidP="000C23E9">
      <w:pPr>
        <w:spacing w:before="120"/>
        <w:ind w:left="1701" w:hanging="567"/>
        <w:jc w:val="both"/>
        <w:rPr>
          <w:rFonts w:ascii="Book Antiqua" w:hAnsi="Book Antiqua"/>
        </w:rPr>
      </w:pPr>
      <w:r w:rsidRPr="00264302">
        <w:rPr>
          <w:rFonts w:ascii="Book Antiqua" w:hAnsi="Book Antiqua"/>
        </w:rPr>
        <w:t xml:space="preserve">"[7.2] The Upper </w:t>
      </w:r>
      <w:r w:rsidR="000064E8" w:rsidRPr="00264302">
        <w:rPr>
          <w:rFonts w:ascii="Book Antiqua" w:hAnsi="Book Antiqua"/>
        </w:rPr>
        <w:t>Tribunal</w:t>
      </w:r>
      <w:r w:rsidRPr="00264302">
        <w:rPr>
          <w:rFonts w:ascii="Book Antiqua" w:hAnsi="Book Antiqua"/>
        </w:rPr>
        <w:t xml:space="preserve"> is likely on each such occasion to proceed to re-make the decision, instead of remitting the case to the First-tier </w:t>
      </w:r>
      <w:r w:rsidR="000064E8" w:rsidRPr="00264302">
        <w:rPr>
          <w:rFonts w:ascii="Book Antiqua" w:hAnsi="Book Antiqua"/>
        </w:rPr>
        <w:t>Tribunal</w:t>
      </w:r>
      <w:r w:rsidRPr="00264302">
        <w:rPr>
          <w:rFonts w:ascii="Book Antiqua" w:hAnsi="Book Antiqua"/>
        </w:rPr>
        <w:t xml:space="preserve">, unless the Upper </w:t>
      </w:r>
      <w:r w:rsidR="000064E8" w:rsidRPr="00264302">
        <w:rPr>
          <w:rFonts w:ascii="Book Antiqua" w:hAnsi="Book Antiqua"/>
        </w:rPr>
        <w:t>Tribunal</w:t>
      </w:r>
      <w:r w:rsidRPr="00264302">
        <w:rPr>
          <w:rFonts w:ascii="Book Antiqua" w:hAnsi="Book Antiqua"/>
        </w:rPr>
        <w:t xml:space="preserve"> is satisfied </w:t>
      </w:r>
      <w:proofErr w:type="gramStart"/>
      <w:r w:rsidRPr="00264302">
        <w:rPr>
          <w:rFonts w:ascii="Book Antiqua" w:hAnsi="Book Antiqua"/>
        </w:rPr>
        <w:t>that:-</w:t>
      </w:r>
      <w:proofErr w:type="gramEnd"/>
    </w:p>
    <w:p w:rsidR="00954B3F" w:rsidRPr="00264302" w:rsidRDefault="005855C9" w:rsidP="000C23E9">
      <w:pPr>
        <w:spacing w:before="120"/>
        <w:ind w:left="2268" w:hanging="567"/>
        <w:jc w:val="both"/>
        <w:rPr>
          <w:rFonts w:ascii="Book Antiqua" w:hAnsi="Book Antiqua"/>
        </w:rPr>
      </w:pPr>
      <w:r w:rsidRPr="00264302">
        <w:rPr>
          <w:rFonts w:ascii="Book Antiqua" w:hAnsi="Book Antiqua"/>
        </w:rPr>
        <w:t xml:space="preserve">(a) </w:t>
      </w:r>
      <w:r w:rsidR="00C94BD5">
        <w:rPr>
          <w:rFonts w:ascii="Book Antiqua" w:hAnsi="Book Antiqua"/>
        </w:rPr>
        <w:tab/>
      </w:r>
      <w:r w:rsidRPr="00264302">
        <w:rPr>
          <w:rFonts w:ascii="Book Antiqua" w:hAnsi="Book Antiqua"/>
        </w:rPr>
        <w:t xml:space="preserve">the effect of the error has been to deprive a party before the First-tier </w:t>
      </w:r>
      <w:r w:rsidR="000064E8" w:rsidRPr="00264302">
        <w:rPr>
          <w:rFonts w:ascii="Book Antiqua" w:hAnsi="Book Antiqua"/>
        </w:rPr>
        <w:t>Tribunal</w:t>
      </w:r>
      <w:r w:rsidRPr="00264302">
        <w:rPr>
          <w:rFonts w:ascii="Book Antiqua" w:hAnsi="Book Antiqua"/>
        </w:rPr>
        <w:t xml:space="preserve"> of a fair hearing or other opportunity for that party's case to be put to and considered by the First-tier </w:t>
      </w:r>
      <w:r w:rsidR="000064E8" w:rsidRPr="00264302">
        <w:rPr>
          <w:rFonts w:ascii="Book Antiqua" w:hAnsi="Book Antiqua"/>
        </w:rPr>
        <w:t>Tribunal</w:t>
      </w:r>
      <w:r w:rsidRPr="00264302">
        <w:rPr>
          <w:rFonts w:ascii="Book Antiqua" w:hAnsi="Book Antiqua"/>
        </w:rPr>
        <w:t>; or</w:t>
      </w:r>
    </w:p>
    <w:p w:rsidR="005855C9" w:rsidRPr="00264302" w:rsidRDefault="005855C9" w:rsidP="000C23E9">
      <w:pPr>
        <w:spacing w:before="120"/>
        <w:ind w:left="2268" w:hanging="567"/>
        <w:jc w:val="both"/>
        <w:rPr>
          <w:rFonts w:ascii="Book Antiqua" w:hAnsi="Book Antiqua"/>
        </w:rPr>
      </w:pPr>
      <w:r w:rsidRPr="00264302">
        <w:rPr>
          <w:rFonts w:ascii="Book Antiqua" w:hAnsi="Book Antiqua"/>
        </w:rPr>
        <w:t xml:space="preserve">(b) </w:t>
      </w:r>
      <w:r w:rsidR="00C94BD5">
        <w:rPr>
          <w:rFonts w:ascii="Book Antiqua" w:hAnsi="Book Antiqua"/>
        </w:rPr>
        <w:tab/>
      </w:r>
      <w:r w:rsidRPr="00264302">
        <w:rPr>
          <w:rFonts w:ascii="Book Antiqua" w:hAnsi="Book Antiqua"/>
        </w:rPr>
        <w:t xml:space="preserve">the nature or extent of any judicial fact finding which is necessary in order for the decision in the appeal to be re-made is such that, having regard </w:t>
      </w:r>
      <w:r w:rsidR="000064E8" w:rsidRPr="00264302">
        <w:rPr>
          <w:rFonts w:ascii="Book Antiqua" w:hAnsi="Book Antiqua"/>
        </w:rPr>
        <w:t>to the overriding objective in R</w:t>
      </w:r>
      <w:r w:rsidRPr="00264302">
        <w:rPr>
          <w:rFonts w:ascii="Book Antiqua" w:hAnsi="Book Antiqua"/>
        </w:rPr>
        <w:t xml:space="preserve">ule 2, it is appropriate to remit the case to the First-tier </w:t>
      </w:r>
      <w:r w:rsidR="000064E8" w:rsidRPr="00264302">
        <w:rPr>
          <w:rFonts w:ascii="Book Antiqua" w:hAnsi="Book Antiqua"/>
        </w:rPr>
        <w:t>Tribunal</w:t>
      </w:r>
      <w:r w:rsidRPr="00264302">
        <w:rPr>
          <w:rFonts w:ascii="Book Antiqua" w:hAnsi="Book Antiqua"/>
        </w:rPr>
        <w:t xml:space="preserve">." </w:t>
      </w:r>
    </w:p>
    <w:p w:rsidR="005855C9" w:rsidRPr="00264302" w:rsidRDefault="005855C9" w:rsidP="00C94BD5">
      <w:pPr>
        <w:pStyle w:val="ListParagraph"/>
        <w:numPr>
          <w:ilvl w:val="0"/>
          <w:numId w:val="25"/>
        </w:numPr>
        <w:spacing w:before="160"/>
        <w:jc w:val="both"/>
        <w:rPr>
          <w:rFonts w:ascii="Book Antiqua" w:hAnsi="Book Antiqua" w:cs="Arial"/>
          <w:u w:val="single"/>
        </w:rPr>
      </w:pPr>
      <w:r w:rsidRPr="00264302">
        <w:rPr>
          <w:rFonts w:ascii="Book Antiqua" w:hAnsi="Book Antiqua" w:cs="Arial"/>
        </w:rPr>
        <w:t>Given the nature of the errors of law in both parts of the determination it will be necessary to hear further evidence and make the necessary further findings of fact</w:t>
      </w:r>
      <w:r w:rsidR="00A35DC0" w:rsidRPr="00264302">
        <w:rPr>
          <w:rFonts w:ascii="Book Antiqua" w:hAnsi="Book Antiqua" w:cs="Arial"/>
        </w:rPr>
        <w:t>.</w:t>
      </w:r>
      <w:r w:rsidRPr="00264302">
        <w:rPr>
          <w:rFonts w:ascii="Book Antiqua" w:hAnsi="Book Antiqua" w:cs="Arial"/>
        </w:rPr>
        <w:t xml:space="preserve"> </w:t>
      </w:r>
      <w:proofErr w:type="gramStart"/>
      <w:r w:rsidRPr="00264302">
        <w:rPr>
          <w:rFonts w:ascii="Book Antiqua" w:hAnsi="Book Antiqua" w:cs="Arial"/>
        </w:rPr>
        <w:t>Therefore</w:t>
      </w:r>
      <w:proofErr w:type="gramEnd"/>
      <w:r w:rsidRPr="00264302">
        <w:rPr>
          <w:rFonts w:ascii="Book Antiqua" w:hAnsi="Book Antiqua" w:cs="Arial"/>
        </w:rPr>
        <w:t xml:space="preserve"> I am satisfied that the appeal should be remitted to the First-tier </w:t>
      </w:r>
      <w:r w:rsidR="000064E8" w:rsidRPr="00264302">
        <w:rPr>
          <w:rFonts w:ascii="Book Antiqua" w:hAnsi="Book Antiqua" w:cs="Arial"/>
        </w:rPr>
        <w:t>Tribunal</w:t>
      </w:r>
      <w:r w:rsidRPr="00264302">
        <w:rPr>
          <w:rFonts w:ascii="Book Antiqua" w:hAnsi="Book Antiqua" w:cs="Arial"/>
        </w:rPr>
        <w:t xml:space="preserve"> and that this is the correct course to adopt. </w:t>
      </w:r>
      <w:r w:rsidRPr="00264302">
        <w:rPr>
          <w:rFonts w:ascii="Book Antiqua" w:hAnsi="Book Antiqua"/>
        </w:rPr>
        <w:t xml:space="preserve">Accordingly, and in the interests of a fair and just disposal of the </w:t>
      </w:r>
      <w:r w:rsidR="000064E8" w:rsidRPr="00264302">
        <w:rPr>
          <w:rFonts w:ascii="Book Antiqua" w:hAnsi="Book Antiqua"/>
        </w:rPr>
        <w:t>Appellant’s</w:t>
      </w:r>
      <w:r w:rsidRPr="00264302">
        <w:rPr>
          <w:rFonts w:ascii="Book Antiqua" w:hAnsi="Book Antiqua"/>
        </w:rPr>
        <w:t xml:space="preserve"> claim, I am satisfied that it is appropriate to remit the appeal to the First-tier </w:t>
      </w:r>
      <w:r w:rsidR="000064E8" w:rsidRPr="00264302">
        <w:rPr>
          <w:rFonts w:ascii="Book Antiqua" w:hAnsi="Book Antiqua"/>
        </w:rPr>
        <w:t>Tribunal</w:t>
      </w:r>
      <w:r w:rsidRPr="00264302">
        <w:rPr>
          <w:rFonts w:ascii="Book Antiqua" w:hAnsi="Book Antiqua"/>
        </w:rPr>
        <w:t xml:space="preserve"> for re-hearing before a different Judge.</w:t>
      </w:r>
    </w:p>
    <w:p w:rsidR="00002D6C" w:rsidRDefault="00002D6C" w:rsidP="00002D6C">
      <w:pPr>
        <w:ind w:left="561" w:hanging="561"/>
        <w:jc w:val="both"/>
        <w:rPr>
          <w:rFonts w:ascii="Book Antiqua" w:hAnsi="Book Antiqua" w:cs="Arial"/>
          <w:b/>
          <w:u w:val="single"/>
        </w:rPr>
      </w:pPr>
    </w:p>
    <w:p w:rsidR="006C629F" w:rsidRPr="00264302" w:rsidRDefault="00867494" w:rsidP="00C94BD5">
      <w:pPr>
        <w:spacing w:before="160"/>
        <w:ind w:left="564" w:hanging="564"/>
        <w:jc w:val="both"/>
        <w:rPr>
          <w:rFonts w:ascii="Book Antiqua" w:hAnsi="Book Antiqua" w:cs="Arial"/>
        </w:rPr>
      </w:pPr>
      <w:r w:rsidRPr="00264302">
        <w:rPr>
          <w:rFonts w:ascii="Book Antiqua" w:hAnsi="Book Antiqua" w:cs="Arial"/>
          <w:b/>
          <w:u w:val="single"/>
        </w:rPr>
        <w:t>No</w:t>
      </w:r>
      <w:r w:rsidR="006C629F" w:rsidRPr="00264302">
        <w:rPr>
          <w:rFonts w:ascii="Book Antiqua" w:hAnsi="Book Antiqua" w:cs="Arial"/>
          <w:b/>
          <w:u w:val="single"/>
        </w:rPr>
        <w:t>tice of Decision</w:t>
      </w:r>
    </w:p>
    <w:p w:rsidR="006C629F" w:rsidRPr="00264302" w:rsidRDefault="006C629F" w:rsidP="00C94BD5">
      <w:pPr>
        <w:spacing w:before="160"/>
        <w:jc w:val="both"/>
        <w:rPr>
          <w:rFonts w:ascii="Book Antiqua" w:hAnsi="Book Antiqua" w:cs="Arial"/>
        </w:rPr>
      </w:pPr>
      <w:r w:rsidRPr="00264302">
        <w:rPr>
          <w:rFonts w:ascii="Book Antiqua" w:hAnsi="Book Antiqua" w:cs="Arial"/>
        </w:rPr>
        <w:t xml:space="preserve">The decision of the First-tier </w:t>
      </w:r>
      <w:r w:rsidR="000064E8" w:rsidRPr="00264302">
        <w:rPr>
          <w:rFonts w:ascii="Book Antiqua" w:hAnsi="Book Antiqua" w:cs="Arial"/>
        </w:rPr>
        <w:t>Tribunal</w:t>
      </w:r>
      <w:r w:rsidRPr="00264302">
        <w:rPr>
          <w:rFonts w:ascii="Book Antiqua" w:hAnsi="Book Antiqua" w:cs="Arial"/>
        </w:rPr>
        <w:t xml:space="preserve"> does demonstrate the making of an error on a point of law.  </w:t>
      </w:r>
      <w:proofErr w:type="gramStart"/>
      <w:r w:rsidRPr="00264302">
        <w:rPr>
          <w:rFonts w:ascii="Book Antiqua" w:hAnsi="Book Antiqua" w:cs="Arial"/>
        </w:rPr>
        <w:t>Thus</w:t>
      </w:r>
      <w:proofErr w:type="gramEnd"/>
      <w:r w:rsidRPr="00264302">
        <w:rPr>
          <w:rFonts w:ascii="Book Antiqua" w:hAnsi="Book Antiqua" w:cs="Arial"/>
        </w:rPr>
        <w:t xml:space="preserve"> the decision of </w:t>
      </w:r>
      <w:r w:rsidR="004F5D61" w:rsidRPr="00264302">
        <w:rPr>
          <w:rFonts w:ascii="Book Antiqua" w:hAnsi="Book Antiqua" w:cs="Arial"/>
        </w:rPr>
        <w:t xml:space="preserve">the First-tier </w:t>
      </w:r>
      <w:r w:rsidR="000064E8" w:rsidRPr="00264302">
        <w:rPr>
          <w:rFonts w:ascii="Book Antiqua" w:hAnsi="Book Antiqua" w:cs="Arial"/>
        </w:rPr>
        <w:t>Tribunal</w:t>
      </w:r>
      <w:r w:rsidR="004F5D61" w:rsidRPr="00264302">
        <w:rPr>
          <w:rFonts w:ascii="Book Antiqua" w:hAnsi="Book Antiqua" w:cs="Arial"/>
        </w:rPr>
        <w:t xml:space="preserve"> </w:t>
      </w:r>
      <w:r w:rsidR="00824C01" w:rsidRPr="00264302">
        <w:rPr>
          <w:rFonts w:ascii="Book Antiqua" w:hAnsi="Book Antiqua" w:cs="Arial"/>
        </w:rPr>
        <w:t>is set aside.</w:t>
      </w:r>
      <w:r w:rsidRPr="00264302">
        <w:rPr>
          <w:rFonts w:ascii="Book Antiqua" w:hAnsi="Book Antiqua" w:cs="Arial"/>
        </w:rPr>
        <w:t xml:space="preserve"> </w:t>
      </w:r>
      <w:r w:rsidR="005855C9" w:rsidRPr="00264302">
        <w:rPr>
          <w:rFonts w:ascii="Book Antiqua" w:hAnsi="Book Antiqua" w:cs="Arial"/>
        </w:rPr>
        <w:t xml:space="preserve">It is remitted to the First-tier </w:t>
      </w:r>
      <w:r w:rsidR="000064E8" w:rsidRPr="00264302">
        <w:rPr>
          <w:rFonts w:ascii="Book Antiqua" w:hAnsi="Book Antiqua" w:cs="Arial"/>
        </w:rPr>
        <w:t>Tribunal</w:t>
      </w:r>
      <w:r w:rsidR="00752EB4" w:rsidRPr="00264302">
        <w:rPr>
          <w:rFonts w:ascii="Book Antiqua" w:hAnsi="Book Antiqua" w:cs="Arial"/>
        </w:rPr>
        <w:t xml:space="preserve"> for a hearing. </w:t>
      </w:r>
    </w:p>
    <w:p w:rsidR="00002D6C" w:rsidRDefault="00002D6C" w:rsidP="00C94BD5">
      <w:pPr>
        <w:spacing w:before="160"/>
        <w:jc w:val="both"/>
        <w:rPr>
          <w:rFonts w:ascii="Book Antiqua" w:hAnsi="Book Antiqua" w:cs="Arial"/>
          <w:b/>
          <w:u w:val="single"/>
        </w:rPr>
      </w:pPr>
    </w:p>
    <w:p w:rsidR="00002D6C" w:rsidRDefault="00002D6C" w:rsidP="00C94BD5">
      <w:pPr>
        <w:spacing w:before="160"/>
        <w:jc w:val="both"/>
        <w:rPr>
          <w:rFonts w:ascii="Book Antiqua" w:hAnsi="Book Antiqua" w:cs="Arial"/>
          <w:b/>
          <w:u w:val="single"/>
        </w:rPr>
      </w:pPr>
    </w:p>
    <w:p w:rsidR="00002D6C" w:rsidRDefault="00002D6C" w:rsidP="00C94BD5">
      <w:pPr>
        <w:spacing w:before="160"/>
        <w:jc w:val="both"/>
        <w:rPr>
          <w:rFonts w:ascii="Book Antiqua" w:hAnsi="Book Antiqua" w:cs="Arial"/>
          <w:b/>
          <w:u w:val="single"/>
        </w:rPr>
      </w:pPr>
    </w:p>
    <w:p w:rsidR="006C629F" w:rsidRPr="00002D6C" w:rsidRDefault="006C629F" w:rsidP="00C94BD5">
      <w:pPr>
        <w:spacing w:before="160"/>
        <w:jc w:val="both"/>
        <w:rPr>
          <w:rFonts w:ascii="Book Antiqua" w:hAnsi="Book Antiqua" w:cs="Arial"/>
          <w:u w:val="single"/>
        </w:rPr>
      </w:pPr>
      <w:r w:rsidRPr="00002D6C">
        <w:rPr>
          <w:rFonts w:ascii="Book Antiqua" w:hAnsi="Book Antiqua" w:cs="Arial"/>
          <w:b/>
          <w:u w:val="single"/>
        </w:rPr>
        <w:lastRenderedPageBreak/>
        <w:t xml:space="preserve">Direction Regarding Anonymity – Rule 14 of the </w:t>
      </w:r>
      <w:r w:rsidR="000064E8" w:rsidRPr="00002D6C">
        <w:rPr>
          <w:rFonts w:ascii="Book Antiqua" w:hAnsi="Book Antiqua" w:cs="Arial"/>
          <w:b/>
          <w:u w:val="single"/>
        </w:rPr>
        <w:t>Tribunal</w:t>
      </w:r>
      <w:r w:rsidRPr="00002D6C">
        <w:rPr>
          <w:rFonts w:ascii="Book Antiqua" w:hAnsi="Book Antiqua" w:cs="Arial"/>
          <w:b/>
          <w:u w:val="single"/>
        </w:rPr>
        <w:t xml:space="preserve"> Procedure (Upper </w:t>
      </w:r>
      <w:r w:rsidR="000064E8" w:rsidRPr="00002D6C">
        <w:rPr>
          <w:rFonts w:ascii="Book Antiqua" w:hAnsi="Book Antiqua" w:cs="Arial"/>
          <w:b/>
          <w:u w:val="single"/>
        </w:rPr>
        <w:t>Tribunal</w:t>
      </w:r>
      <w:r w:rsidRPr="00002D6C">
        <w:rPr>
          <w:rFonts w:ascii="Book Antiqua" w:hAnsi="Book Antiqua" w:cs="Arial"/>
          <w:b/>
          <w:u w:val="single"/>
        </w:rPr>
        <w:t>) Rules 2008</w:t>
      </w:r>
    </w:p>
    <w:p w:rsidR="006C629F" w:rsidRPr="00264302" w:rsidRDefault="006C629F" w:rsidP="00C94BD5">
      <w:pPr>
        <w:spacing w:before="160"/>
        <w:jc w:val="both"/>
        <w:rPr>
          <w:rFonts w:ascii="Book Antiqua" w:hAnsi="Book Antiqua" w:cs="Arial"/>
        </w:rPr>
      </w:pPr>
      <w:r w:rsidRPr="00264302">
        <w:rPr>
          <w:rFonts w:ascii="Book Antiqua" w:hAnsi="Book Antiqua" w:cs="Arial"/>
        </w:rPr>
        <w:t xml:space="preserve">Unless and </w:t>
      </w:r>
      <w:r w:rsidRPr="00264302">
        <w:rPr>
          <w:rFonts w:ascii="Book Antiqua" w:hAnsi="Book Antiqua"/>
        </w:rPr>
        <w:t xml:space="preserve">until a </w:t>
      </w:r>
      <w:r w:rsidR="000064E8" w:rsidRPr="00264302">
        <w:rPr>
          <w:rFonts w:ascii="Book Antiqua" w:hAnsi="Book Antiqua"/>
        </w:rPr>
        <w:t>Tribunal</w:t>
      </w:r>
      <w:r w:rsidRPr="00264302">
        <w:rPr>
          <w:rFonts w:ascii="Book Antiqua" w:hAnsi="Book Antiqua"/>
        </w:rPr>
        <w:t xml:space="preserve"> or court directs otherwise, the </w:t>
      </w:r>
      <w:r w:rsidR="000064E8" w:rsidRPr="00264302">
        <w:rPr>
          <w:rFonts w:ascii="Book Antiqua" w:hAnsi="Book Antiqua"/>
        </w:rPr>
        <w:t>Appellant</w:t>
      </w:r>
      <w:r w:rsidRPr="00264302">
        <w:rPr>
          <w:rFonts w:ascii="Book Antiqua" w:hAnsi="Book Antiqua"/>
        </w:rPr>
        <w:t xml:space="preserve"> is granted anonymity.  No report of these proceedings shall directly or indirectly ide</w:t>
      </w:r>
      <w:r w:rsidR="003756ED" w:rsidRPr="00264302">
        <w:rPr>
          <w:rFonts w:ascii="Book Antiqua" w:hAnsi="Book Antiqua"/>
        </w:rPr>
        <w:t>ntify him or any member of his</w:t>
      </w:r>
      <w:r w:rsidRPr="00264302">
        <w:rPr>
          <w:rFonts w:ascii="Book Antiqua" w:hAnsi="Book Antiqua"/>
        </w:rPr>
        <w:t xml:space="preserve"> family.  This direction applies both to the </w:t>
      </w:r>
      <w:r w:rsidR="000064E8" w:rsidRPr="00264302">
        <w:rPr>
          <w:rFonts w:ascii="Book Antiqua" w:hAnsi="Book Antiqua"/>
        </w:rPr>
        <w:t>Appellant</w:t>
      </w:r>
      <w:r w:rsidRPr="00264302">
        <w:rPr>
          <w:rFonts w:ascii="Book Antiqua" w:hAnsi="Book Antiqua"/>
        </w:rPr>
        <w:t xml:space="preserve"> and to the </w:t>
      </w:r>
      <w:r w:rsidR="000064E8" w:rsidRPr="00264302">
        <w:rPr>
          <w:rFonts w:ascii="Book Antiqua" w:hAnsi="Book Antiqua"/>
        </w:rPr>
        <w:t>Respondent</w:t>
      </w:r>
      <w:r w:rsidRPr="00264302">
        <w:rPr>
          <w:rFonts w:ascii="Book Antiqua" w:hAnsi="Book Antiqua"/>
        </w:rPr>
        <w:t>.  Failure to comply with this direction could lead to contempt of court proceedings.</w:t>
      </w:r>
    </w:p>
    <w:p w:rsidR="006C629F" w:rsidRPr="00264302" w:rsidRDefault="006C629F" w:rsidP="006C629F">
      <w:pPr>
        <w:tabs>
          <w:tab w:val="left" w:pos="2520"/>
        </w:tabs>
        <w:jc w:val="both"/>
        <w:rPr>
          <w:rFonts w:ascii="Book Antiqua" w:hAnsi="Book Antiqua" w:cs="Arial"/>
        </w:rPr>
      </w:pPr>
    </w:p>
    <w:p w:rsidR="006C629F" w:rsidRPr="00264302" w:rsidRDefault="006C629F" w:rsidP="006C629F">
      <w:pPr>
        <w:tabs>
          <w:tab w:val="left" w:pos="2520"/>
        </w:tabs>
        <w:jc w:val="both"/>
        <w:rPr>
          <w:rFonts w:ascii="Book Antiqua" w:hAnsi="Book Antiqua" w:cs="Arial"/>
        </w:rPr>
      </w:pPr>
    </w:p>
    <w:p w:rsidR="006C629F" w:rsidRPr="00264302" w:rsidRDefault="00C64810" w:rsidP="006C629F">
      <w:pPr>
        <w:tabs>
          <w:tab w:val="left" w:pos="2520"/>
        </w:tabs>
        <w:jc w:val="both"/>
        <w:rPr>
          <w:rFonts w:ascii="Book Antiqua" w:hAnsi="Book Antiqua" w:cs="Arial"/>
        </w:rPr>
      </w:pPr>
      <w:r w:rsidRPr="00264302">
        <w:rPr>
          <w:rFonts w:ascii="Book Antiqua" w:hAnsi="Book Antiqua" w:cs="Arial"/>
        </w:rPr>
        <w:t xml:space="preserve">Signed </w:t>
      </w:r>
      <w:r w:rsidRPr="00264302">
        <w:rPr>
          <w:rFonts w:ascii="Book Antiqua" w:hAnsi="Book Antiqua" w:cs="Arial"/>
        </w:rPr>
        <w:tab/>
      </w:r>
      <w:r w:rsidR="006C629F" w:rsidRPr="00264302">
        <w:rPr>
          <w:rFonts w:ascii="Book Antiqua" w:hAnsi="Book Antiqua" w:cs="Arial"/>
        </w:rPr>
        <w:tab/>
      </w:r>
      <w:r w:rsidR="006C629F" w:rsidRPr="00264302">
        <w:rPr>
          <w:rFonts w:ascii="Book Antiqua" w:hAnsi="Book Antiqua" w:cs="Arial"/>
        </w:rPr>
        <w:tab/>
      </w:r>
      <w:r w:rsidR="006C629F" w:rsidRPr="00264302">
        <w:rPr>
          <w:rFonts w:ascii="Book Antiqua" w:hAnsi="Book Antiqua" w:cs="Arial"/>
        </w:rPr>
        <w:tab/>
      </w:r>
      <w:r w:rsidR="006C629F" w:rsidRPr="00264302">
        <w:rPr>
          <w:rFonts w:ascii="Book Antiqua" w:hAnsi="Book Antiqua" w:cs="Arial"/>
        </w:rPr>
        <w:tab/>
      </w:r>
      <w:r w:rsidR="006C629F" w:rsidRPr="00264302">
        <w:rPr>
          <w:rFonts w:ascii="Book Antiqua" w:hAnsi="Book Antiqua" w:cs="Arial"/>
        </w:rPr>
        <w:tab/>
      </w:r>
      <w:r w:rsidR="006C629F" w:rsidRPr="00264302">
        <w:rPr>
          <w:rFonts w:ascii="Book Antiqua" w:hAnsi="Book Antiqua" w:cs="Arial"/>
        </w:rPr>
        <w:tab/>
        <w:t>Date</w:t>
      </w:r>
      <w:r w:rsidR="005855C9" w:rsidRPr="00264302">
        <w:rPr>
          <w:rFonts w:ascii="Book Antiqua" w:hAnsi="Book Antiqua" w:cs="Arial"/>
        </w:rPr>
        <w:t xml:space="preserve"> 1/8</w:t>
      </w:r>
      <w:r w:rsidR="006C629F" w:rsidRPr="00264302">
        <w:rPr>
          <w:rFonts w:ascii="Book Antiqua" w:hAnsi="Book Antiqua" w:cs="Arial"/>
        </w:rPr>
        <w:t>/2018</w:t>
      </w:r>
    </w:p>
    <w:p w:rsidR="006C629F" w:rsidRPr="00264302" w:rsidRDefault="006C629F" w:rsidP="006C629F">
      <w:pPr>
        <w:tabs>
          <w:tab w:val="left" w:pos="2520"/>
        </w:tabs>
        <w:jc w:val="both"/>
        <w:rPr>
          <w:rFonts w:ascii="Book Antiqua" w:hAnsi="Book Antiqua" w:cs="Arial"/>
        </w:rPr>
      </w:pPr>
    </w:p>
    <w:p w:rsidR="006C629F" w:rsidRPr="00264302" w:rsidRDefault="006C629F" w:rsidP="006C629F">
      <w:pPr>
        <w:tabs>
          <w:tab w:val="left" w:pos="2520"/>
        </w:tabs>
        <w:jc w:val="both"/>
        <w:rPr>
          <w:rFonts w:ascii="Book Antiqua" w:hAnsi="Book Antiqua" w:cs="Arial"/>
        </w:rPr>
      </w:pPr>
      <w:r w:rsidRPr="00264302">
        <w:rPr>
          <w:rFonts w:ascii="Book Antiqua" w:hAnsi="Book Antiqua" w:cs="Arial"/>
        </w:rPr>
        <w:t xml:space="preserve">Upper </w:t>
      </w:r>
      <w:r w:rsidR="000064E8" w:rsidRPr="00264302">
        <w:rPr>
          <w:rFonts w:ascii="Book Antiqua" w:hAnsi="Book Antiqua" w:cs="Arial"/>
        </w:rPr>
        <w:t>Tribunal</w:t>
      </w:r>
      <w:r w:rsidRPr="00264302">
        <w:rPr>
          <w:rFonts w:ascii="Book Antiqua" w:hAnsi="Book Antiqua" w:cs="Arial"/>
        </w:rPr>
        <w:t xml:space="preserve"> Judge Reeds</w:t>
      </w:r>
    </w:p>
    <w:sectPr w:rsidR="006C629F" w:rsidRPr="00264302" w:rsidSect="0002768C">
      <w:headerReference w:type="default" r:id="rId9"/>
      <w:footerReference w:type="default" r:id="rId10"/>
      <w:footerReference w:type="first" r:id="rId11"/>
      <w:pgSz w:w="11906" w:h="16838" w:code="9"/>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6832" w:rsidRDefault="00196832">
      <w:r>
        <w:separator/>
      </w:r>
    </w:p>
  </w:endnote>
  <w:endnote w:type="continuationSeparator" w:id="0">
    <w:p w:rsidR="00196832" w:rsidRDefault="00196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BB3" w:rsidRPr="0002768C" w:rsidRDefault="00E11BB3" w:rsidP="00593795">
    <w:pPr>
      <w:pStyle w:val="Footer"/>
      <w:jc w:val="center"/>
      <w:rPr>
        <w:rFonts w:ascii="Book Antiqua" w:hAnsi="Book Antiqua" w:cs="Arial"/>
      </w:rPr>
    </w:pPr>
    <w:r w:rsidRPr="0002768C">
      <w:rPr>
        <w:rStyle w:val="PageNumber"/>
        <w:rFonts w:ascii="Book Antiqua" w:hAnsi="Book Antiqua" w:cs="Arial"/>
      </w:rPr>
      <w:fldChar w:fldCharType="begin"/>
    </w:r>
    <w:r w:rsidRPr="0002768C">
      <w:rPr>
        <w:rStyle w:val="PageNumber"/>
        <w:rFonts w:ascii="Book Antiqua" w:hAnsi="Book Antiqua" w:cs="Arial"/>
      </w:rPr>
      <w:instrText xml:space="preserve"> PAGE </w:instrText>
    </w:r>
    <w:r w:rsidRPr="0002768C">
      <w:rPr>
        <w:rStyle w:val="PageNumber"/>
        <w:rFonts w:ascii="Book Antiqua" w:hAnsi="Book Antiqua" w:cs="Arial"/>
      </w:rPr>
      <w:fldChar w:fldCharType="separate"/>
    </w:r>
    <w:r w:rsidR="00BA4A77">
      <w:rPr>
        <w:rStyle w:val="PageNumber"/>
        <w:rFonts w:ascii="Book Antiqua" w:hAnsi="Book Antiqua" w:cs="Arial"/>
        <w:noProof/>
      </w:rPr>
      <w:t>15</w:t>
    </w:r>
    <w:r w:rsidRPr="0002768C">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BB3" w:rsidRPr="00F5664C" w:rsidRDefault="00E11BB3"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6832" w:rsidRDefault="00196832">
      <w:r>
        <w:separator/>
      </w:r>
    </w:p>
  </w:footnote>
  <w:footnote w:type="continuationSeparator" w:id="0">
    <w:p w:rsidR="00196832" w:rsidRDefault="00196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BB3" w:rsidRDefault="00E11BB3"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PA/00675/2017</w:t>
    </w:r>
  </w:p>
  <w:p w:rsidR="0002768C" w:rsidRPr="001B7609" w:rsidRDefault="0002768C" w:rsidP="000369F5">
    <w:pPr>
      <w:pStyle w:val="Header"/>
      <w:tabs>
        <w:tab w:val="clear" w:pos="4153"/>
        <w:tab w:val="clear" w:pos="8306"/>
        <w:tab w:val="right" w:pos="9639"/>
      </w:tabs>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924E2A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B1F0B96"/>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EB46D01"/>
    <w:multiLevelType w:val="multilevel"/>
    <w:tmpl w:val="338AC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482CF7"/>
    <w:multiLevelType w:val="multilevel"/>
    <w:tmpl w:val="9B4E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A357B54"/>
    <w:multiLevelType w:val="multilevel"/>
    <w:tmpl w:val="924E2A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05E0B9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8720B81"/>
    <w:multiLevelType w:val="hybridMultilevel"/>
    <w:tmpl w:val="209A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2"/>
  </w:num>
  <w:num w:numId="5">
    <w:abstractNumId w:val="23"/>
  </w:num>
  <w:num w:numId="6">
    <w:abstractNumId w:val="13"/>
  </w:num>
  <w:num w:numId="7">
    <w:abstractNumId w:val="22"/>
  </w:num>
  <w:num w:numId="8">
    <w:abstractNumId w:val="10"/>
  </w:num>
  <w:num w:numId="9">
    <w:abstractNumId w:val="6"/>
  </w:num>
  <w:num w:numId="10">
    <w:abstractNumId w:val="20"/>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1"/>
  </w:num>
  <w:num w:numId="19">
    <w:abstractNumId w:val="19"/>
  </w:num>
  <w:num w:numId="20">
    <w:abstractNumId w:val="7"/>
  </w:num>
  <w:num w:numId="21">
    <w:abstractNumId w:val="8"/>
    <w:lvlOverride w:ilvl="0">
      <w:startOverride w:val="4"/>
    </w:lvlOverride>
  </w:num>
  <w:num w:numId="22">
    <w:abstractNumId w:val="9"/>
    <w:lvlOverride w:ilvl="0">
      <w:startOverride w:val="9"/>
    </w:lvlOverride>
  </w:num>
  <w:num w:numId="23">
    <w:abstractNumId w:val="9"/>
    <w:lvlOverride w:ilvl="0">
      <w:startOverride w:val="10"/>
    </w:lvlOverride>
  </w:num>
  <w:num w:numId="24">
    <w:abstractNumId w:val="21"/>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2A7B693-9C70-41D3-9889-DEBFDCA7C06F}"/>
    <w:docVar w:name="dgnword-eventsink" w:val="392578488"/>
  </w:docVars>
  <w:rsids>
    <w:rsidRoot w:val="001B7609"/>
    <w:rsid w:val="000001AD"/>
    <w:rsid w:val="00000621"/>
    <w:rsid w:val="00002D6C"/>
    <w:rsid w:val="000036C2"/>
    <w:rsid w:val="00003AF0"/>
    <w:rsid w:val="000064E8"/>
    <w:rsid w:val="000070A5"/>
    <w:rsid w:val="00010E4A"/>
    <w:rsid w:val="00012C22"/>
    <w:rsid w:val="00012D39"/>
    <w:rsid w:val="00014891"/>
    <w:rsid w:val="00016D71"/>
    <w:rsid w:val="00020ABA"/>
    <w:rsid w:val="00022359"/>
    <w:rsid w:val="0002254B"/>
    <w:rsid w:val="0002768C"/>
    <w:rsid w:val="000304F2"/>
    <w:rsid w:val="00031825"/>
    <w:rsid w:val="00033D3D"/>
    <w:rsid w:val="0003645D"/>
    <w:rsid w:val="000365E8"/>
    <w:rsid w:val="000369F5"/>
    <w:rsid w:val="000435E0"/>
    <w:rsid w:val="000446FC"/>
    <w:rsid w:val="0005105E"/>
    <w:rsid w:val="00052523"/>
    <w:rsid w:val="00061A0C"/>
    <w:rsid w:val="00062AAB"/>
    <w:rsid w:val="0006456D"/>
    <w:rsid w:val="0006783C"/>
    <w:rsid w:val="00071A7E"/>
    <w:rsid w:val="00071ED0"/>
    <w:rsid w:val="000746C0"/>
    <w:rsid w:val="00074D1D"/>
    <w:rsid w:val="0008057B"/>
    <w:rsid w:val="00083A71"/>
    <w:rsid w:val="000871E1"/>
    <w:rsid w:val="00087BA1"/>
    <w:rsid w:val="00090717"/>
    <w:rsid w:val="00092580"/>
    <w:rsid w:val="00094FD0"/>
    <w:rsid w:val="00096168"/>
    <w:rsid w:val="000A6513"/>
    <w:rsid w:val="000B63CD"/>
    <w:rsid w:val="000C23E9"/>
    <w:rsid w:val="000C643E"/>
    <w:rsid w:val="000C65F3"/>
    <w:rsid w:val="000D01C9"/>
    <w:rsid w:val="000D11DE"/>
    <w:rsid w:val="000D1E7C"/>
    <w:rsid w:val="000D5D94"/>
    <w:rsid w:val="000D6309"/>
    <w:rsid w:val="000D7CC4"/>
    <w:rsid w:val="000E0CD7"/>
    <w:rsid w:val="000E315E"/>
    <w:rsid w:val="000E4845"/>
    <w:rsid w:val="000F6CE1"/>
    <w:rsid w:val="0010212C"/>
    <w:rsid w:val="00104F20"/>
    <w:rsid w:val="001054A8"/>
    <w:rsid w:val="0010561B"/>
    <w:rsid w:val="001077A7"/>
    <w:rsid w:val="0011066D"/>
    <w:rsid w:val="001136F4"/>
    <w:rsid w:val="00114F8B"/>
    <w:rsid w:val="001165A7"/>
    <w:rsid w:val="001169F6"/>
    <w:rsid w:val="001179C4"/>
    <w:rsid w:val="001207B1"/>
    <w:rsid w:val="00122754"/>
    <w:rsid w:val="001234BC"/>
    <w:rsid w:val="0012728A"/>
    <w:rsid w:val="0013000B"/>
    <w:rsid w:val="00130894"/>
    <w:rsid w:val="00131C76"/>
    <w:rsid w:val="001329A2"/>
    <w:rsid w:val="00134AE6"/>
    <w:rsid w:val="00134BD9"/>
    <w:rsid w:val="001401EA"/>
    <w:rsid w:val="00141B5E"/>
    <w:rsid w:val="0014218B"/>
    <w:rsid w:val="00144487"/>
    <w:rsid w:val="00151640"/>
    <w:rsid w:val="00151BB7"/>
    <w:rsid w:val="00152683"/>
    <w:rsid w:val="0015297B"/>
    <w:rsid w:val="00153325"/>
    <w:rsid w:val="00155A34"/>
    <w:rsid w:val="00155AE8"/>
    <w:rsid w:val="00156407"/>
    <w:rsid w:val="0015650F"/>
    <w:rsid w:val="001568A2"/>
    <w:rsid w:val="0015749F"/>
    <w:rsid w:val="001606EE"/>
    <w:rsid w:val="0016187D"/>
    <w:rsid w:val="00162AD7"/>
    <w:rsid w:val="00163503"/>
    <w:rsid w:val="00167D3A"/>
    <w:rsid w:val="001728A5"/>
    <w:rsid w:val="001749BC"/>
    <w:rsid w:val="0017754E"/>
    <w:rsid w:val="001775B4"/>
    <w:rsid w:val="00182454"/>
    <w:rsid w:val="001864D7"/>
    <w:rsid w:val="001875D1"/>
    <w:rsid w:val="00190CC7"/>
    <w:rsid w:val="00192D3C"/>
    <w:rsid w:val="00194C0A"/>
    <w:rsid w:val="00195FCC"/>
    <w:rsid w:val="00196832"/>
    <w:rsid w:val="001A0BB9"/>
    <w:rsid w:val="001A1D44"/>
    <w:rsid w:val="001A1E2C"/>
    <w:rsid w:val="001A25C5"/>
    <w:rsid w:val="001A3FD2"/>
    <w:rsid w:val="001A5B09"/>
    <w:rsid w:val="001A61EB"/>
    <w:rsid w:val="001B7609"/>
    <w:rsid w:val="001C28B1"/>
    <w:rsid w:val="001C77AA"/>
    <w:rsid w:val="001C787D"/>
    <w:rsid w:val="001D13E1"/>
    <w:rsid w:val="001E0908"/>
    <w:rsid w:val="001E4308"/>
    <w:rsid w:val="001E60A5"/>
    <w:rsid w:val="001F0B88"/>
    <w:rsid w:val="001F2716"/>
    <w:rsid w:val="001F49AD"/>
    <w:rsid w:val="001F4CC6"/>
    <w:rsid w:val="001F5089"/>
    <w:rsid w:val="001F7FF2"/>
    <w:rsid w:val="0020133A"/>
    <w:rsid w:val="00204CC3"/>
    <w:rsid w:val="00204F3D"/>
    <w:rsid w:val="00206C9F"/>
    <w:rsid w:val="0020709E"/>
    <w:rsid w:val="00207617"/>
    <w:rsid w:val="002140EB"/>
    <w:rsid w:val="002148DE"/>
    <w:rsid w:val="00214994"/>
    <w:rsid w:val="00215584"/>
    <w:rsid w:val="002162F9"/>
    <w:rsid w:val="00220CB2"/>
    <w:rsid w:val="00221551"/>
    <w:rsid w:val="00222503"/>
    <w:rsid w:val="0022272C"/>
    <w:rsid w:val="00252CEC"/>
    <w:rsid w:val="00255071"/>
    <w:rsid w:val="00257520"/>
    <w:rsid w:val="00260A7D"/>
    <w:rsid w:val="00264302"/>
    <w:rsid w:val="002652C4"/>
    <w:rsid w:val="002658F0"/>
    <w:rsid w:val="00280285"/>
    <w:rsid w:val="00281431"/>
    <w:rsid w:val="00283659"/>
    <w:rsid w:val="00286BC6"/>
    <w:rsid w:val="002913E9"/>
    <w:rsid w:val="00291ECF"/>
    <w:rsid w:val="00295AFD"/>
    <w:rsid w:val="00297267"/>
    <w:rsid w:val="00297A50"/>
    <w:rsid w:val="002A19F0"/>
    <w:rsid w:val="002A1BC3"/>
    <w:rsid w:val="002A2614"/>
    <w:rsid w:val="002A3A92"/>
    <w:rsid w:val="002A44B7"/>
    <w:rsid w:val="002A50AF"/>
    <w:rsid w:val="002A534A"/>
    <w:rsid w:val="002B1C1D"/>
    <w:rsid w:val="002B3FBB"/>
    <w:rsid w:val="002C2842"/>
    <w:rsid w:val="002C288A"/>
    <w:rsid w:val="002C2E4D"/>
    <w:rsid w:val="002C4E73"/>
    <w:rsid w:val="002C59C3"/>
    <w:rsid w:val="002C67EC"/>
    <w:rsid w:val="002C782E"/>
    <w:rsid w:val="002C7BB3"/>
    <w:rsid w:val="002D130F"/>
    <w:rsid w:val="002D68BF"/>
    <w:rsid w:val="002D7B04"/>
    <w:rsid w:val="002E5441"/>
    <w:rsid w:val="002E796F"/>
    <w:rsid w:val="002F0D80"/>
    <w:rsid w:val="002F7D98"/>
    <w:rsid w:val="00300C52"/>
    <w:rsid w:val="00304190"/>
    <w:rsid w:val="00307A54"/>
    <w:rsid w:val="00313E47"/>
    <w:rsid w:val="003214E9"/>
    <w:rsid w:val="0032754D"/>
    <w:rsid w:val="003306B1"/>
    <w:rsid w:val="0033111F"/>
    <w:rsid w:val="003356D4"/>
    <w:rsid w:val="00335F3F"/>
    <w:rsid w:val="00336CBF"/>
    <w:rsid w:val="00340F58"/>
    <w:rsid w:val="00344AE0"/>
    <w:rsid w:val="003460C2"/>
    <w:rsid w:val="00346E64"/>
    <w:rsid w:val="003546C8"/>
    <w:rsid w:val="00355393"/>
    <w:rsid w:val="003554A7"/>
    <w:rsid w:val="00355F78"/>
    <w:rsid w:val="00360AB5"/>
    <w:rsid w:val="0036264E"/>
    <w:rsid w:val="0037244A"/>
    <w:rsid w:val="00373A05"/>
    <w:rsid w:val="00373EF3"/>
    <w:rsid w:val="003756ED"/>
    <w:rsid w:val="0037739C"/>
    <w:rsid w:val="0038072F"/>
    <w:rsid w:val="00382245"/>
    <w:rsid w:val="0038536C"/>
    <w:rsid w:val="00385A73"/>
    <w:rsid w:val="00385F9E"/>
    <w:rsid w:val="003864C8"/>
    <w:rsid w:val="00386E6A"/>
    <w:rsid w:val="00397B42"/>
    <w:rsid w:val="003A26C0"/>
    <w:rsid w:val="003A3C02"/>
    <w:rsid w:val="003A4159"/>
    <w:rsid w:val="003A4C6A"/>
    <w:rsid w:val="003A77E6"/>
    <w:rsid w:val="003A7CF2"/>
    <w:rsid w:val="003A7DEE"/>
    <w:rsid w:val="003B78EE"/>
    <w:rsid w:val="003C5526"/>
    <w:rsid w:val="003C5CE5"/>
    <w:rsid w:val="003D07BB"/>
    <w:rsid w:val="003D4085"/>
    <w:rsid w:val="003E14AC"/>
    <w:rsid w:val="003E267B"/>
    <w:rsid w:val="003E7CD1"/>
    <w:rsid w:val="003F22E3"/>
    <w:rsid w:val="003F2386"/>
    <w:rsid w:val="003F27AD"/>
    <w:rsid w:val="003F49F5"/>
    <w:rsid w:val="00400168"/>
    <w:rsid w:val="00402B9E"/>
    <w:rsid w:val="00402BF7"/>
    <w:rsid w:val="0040368A"/>
    <w:rsid w:val="004064D0"/>
    <w:rsid w:val="00411D5E"/>
    <w:rsid w:val="00416643"/>
    <w:rsid w:val="004226D6"/>
    <w:rsid w:val="00423932"/>
    <w:rsid w:val="00423BA0"/>
    <w:rsid w:val="004249CB"/>
    <w:rsid w:val="00430A83"/>
    <w:rsid w:val="00430BB9"/>
    <w:rsid w:val="00432278"/>
    <w:rsid w:val="00437B5C"/>
    <w:rsid w:val="0044127D"/>
    <w:rsid w:val="004448DB"/>
    <w:rsid w:val="00444A92"/>
    <w:rsid w:val="00446C9A"/>
    <w:rsid w:val="00455205"/>
    <w:rsid w:val="00457A05"/>
    <w:rsid w:val="00464ACF"/>
    <w:rsid w:val="00466F43"/>
    <w:rsid w:val="00472F9E"/>
    <w:rsid w:val="004732DF"/>
    <w:rsid w:val="00474A2D"/>
    <w:rsid w:val="00477193"/>
    <w:rsid w:val="00480852"/>
    <w:rsid w:val="004853C7"/>
    <w:rsid w:val="004865BF"/>
    <w:rsid w:val="00486A86"/>
    <w:rsid w:val="00490275"/>
    <w:rsid w:val="00492BEF"/>
    <w:rsid w:val="004960CA"/>
    <w:rsid w:val="004A1848"/>
    <w:rsid w:val="004A1FDE"/>
    <w:rsid w:val="004A7005"/>
    <w:rsid w:val="004B23C6"/>
    <w:rsid w:val="004B25A1"/>
    <w:rsid w:val="004B2904"/>
    <w:rsid w:val="004B7763"/>
    <w:rsid w:val="004C31F1"/>
    <w:rsid w:val="004C78C5"/>
    <w:rsid w:val="004D2B4B"/>
    <w:rsid w:val="004D58D0"/>
    <w:rsid w:val="004E0191"/>
    <w:rsid w:val="004E4FAA"/>
    <w:rsid w:val="004E68F0"/>
    <w:rsid w:val="004E7902"/>
    <w:rsid w:val="004F053E"/>
    <w:rsid w:val="004F24BB"/>
    <w:rsid w:val="004F26DF"/>
    <w:rsid w:val="004F5D61"/>
    <w:rsid w:val="00506C19"/>
    <w:rsid w:val="00506E96"/>
    <w:rsid w:val="00507C97"/>
    <w:rsid w:val="00507FEC"/>
    <w:rsid w:val="00510DD5"/>
    <w:rsid w:val="00510F0E"/>
    <w:rsid w:val="0051119B"/>
    <w:rsid w:val="00514AEF"/>
    <w:rsid w:val="00516D70"/>
    <w:rsid w:val="00517EFF"/>
    <w:rsid w:val="00520A5D"/>
    <w:rsid w:val="005353DA"/>
    <w:rsid w:val="00536A30"/>
    <w:rsid w:val="0054055A"/>
    <w:rsid w:val="00542932"/>
    <w:rsid w:val="00545271"/>
    <w:rsid w:val="0054692C"/>
    <w:rsid w:val="00547016"/>
    <w:rsid w:val="005479E1"/>
    <w:rsid w:val="005570FD"/>
    <w:rsid w:val="005575EA"/>
    <w:rsid w:val="00561430"/>
    <w:rsid w:val="00564CD3"/>
    <w:rsid w:val="0057058E"/>
    <w:rsid w:val="005733AE"/>
    <w:rsid w:val="00573A83"/>
    <w:rsid w:val="0057790C"/>
    <w:rsid w:val="00577FE7"/>
    <w:rsid w:val="005850BA"/>
    <w:rsid w:val="005855C9"/>
    <w:rsid w:val="005908BD"/>
    <w:rsid w:val="00593795"/>
    <w:rsid w:val="00594105"/>
    <w:rsid w:val="0059447C"/>
    <w:rsid w:val="00595627"/>
    <w:rsid w:val="00596120"/>
    <w:rsid w:val="00596FEE"/>
    <w:rsid w:val="005A26DF"/>
    <w:rsid w:val="005A3761"/>
    <w:rsid w:val="005A5C9E"/>
    <w:rsid w:val="005A5D2D"/>
    <w:rsid w:val="005A635E"/>
    <w:rsid w:val="005A66AC"/>
    <w:rsid w:val="005A75FF"/>
    <w:rsid w:val="005B7789"/>
    <w:rsid w:val="005B781C"/>
    <w:rsid w:val="005C355E"/>
    <w:rsid w:val="005C4825"/>
    <w:rsid w:val="005C6E4F"/>
    <w:rsid w:val="005C7D4C"/>
    <w:rsid w:val="005D0EF6"/>
    <w:rsid w:val="005D229D"/>
    <w:rsid w:val="005D36EC"/>
    <w:rsid w:val="005D6CB9"/>
    <w:rsid w:val="005E0257"/>
    <w:rsid w:val="005E169F"/>
    <w:rsid w:val="005E62D9"/>
    <w:rsid w:val="005E7E41"/>
    <w:rsid w:val="005F28CD"/>
    <w:rsid w:val="005F472F"/>
    <w:rsid w:val="00600A4E"/>
    <w:rsid w:val="006048A4"/>
    <w:rsid w:val="006059A9"/>
    <w:rsid w:val="00610D5E"/>
    <w:rsid w:val="00612635"/>
    <w:rsid w:val="00612D25"/>
    <w:rsid w:val="00617B1B"/>
    <w:rsid w:val="006203E5"/>
    <w:rsid w:val="00624E4C"/>
    <w:rsid w:val="006263C6"/>
    <w:rsid w:val="00630E68"/>
    <w:rsid w:val="00632C2A"/>
    <w:rsid w:val="00633FD7"/>
    <w:rsid w:val="00636DFA"/>
    <w:rsid w:val="00637159"/>
    <w:rsid w:val="00641E76"/>
    <w:rsid w:val="00643579"/>
    <w:rsid w:val="00646601"/>
    <w:rsid w:val="00646FFF"/>
    <w:rsid w:val="0065162B"/>
    <w:rsid w:val="0065791C"/>
    <w:rsid w:val="00660B2D"/>
    <w:rsid w:val="00664C9F"/>
    <w:rsid w:val="00666CC2"/>
    <w:rsid w:val="00667BBE"/>
    <w:rsid w:val="0067128B"/>
    <w:rsid w:val="00674B8C"/>
    <w:rsid w:val="00674FB6"/>
    <w:rsid w:val="00681464"/>
    <w:rsid w:val="00683003"/>
    <w:rsid w:val="00684193"/>
    <w:rsid w:val="00690215"/>
    <w:rsid w:val="00690B8A"/>
    <w:rsid w:val="00692A10"/>
    <w:rsid w:val="00695899"/>
    <w:rsid w:val="00697FF8"/>
    <w:rsid w:val="006B383E"/>
    <w:rsid w:val="006B3BEF"/>
    <w:rsid w:val="006B6D9E"/>
    <w:rsid w:val="006C0760"/>
    <w:rsid w:val="006C325E"/>
    <w:rsid w:val="006C4652"/>
    <w:rsid w:val="006C629F"/>
    <w:rsid w:val="006D1DFA"/>
    <w:rsid w:val="006D4F43"/>
    <w:rsid w:val="006D506B"/>
    <w:rsid w:val="006D5DF0"/>
    <w:rsid w:val="006E0C1E"/>
    <w:rsid w:val="006E3C90"/>
    <w:rsid w:val="006F4772"/>
    <w:rsid w:val="006F4ECD"/>
    <w:rsid w:val="007003A6"/>
    <w:rsid w:val="007016DF"/>
    <w:rsid w:val="00703FE3"/>
    <w:rsid w:val="00704B61"/>
    <w:rsid w:val="00707C23"/>
    <w:rsid w:val="00707DB1"/>
    <w:rsid w:val="00711899"/>
    <w:rsid w:val="0071764D"/>
    <w:rsid w:val="00721BB7"/>
    <w:rsid w:val="00730994"/>
    <w:rsid w:val="00731014"/>
    <w:rsid w:val="007343E9"/>
    <w:rsid w:val="007353BB"/>
    <w:rsid w:val="00741529"/>
    <w:rsid w:val="00742A8D"/>
    <w:rsid w:val="00744CE3"/>
    <w:rsid w:val="007502B0"/>
    <w:rsid w:val="00752BBF"/>
    <w:rsid w:val="00752EB4"/>
    <w:rsid w:val="007552A9"/>
    <w:rsid w:val="007557AF"/>
    <w:rsid w:val="00761858"/>
    <w:rsid w:val="00761B16"/>
    <w:rsid w:val="007637D0"/>
    <w:rsid w:val="00767D59"/>
    <w:rsid w:val="00776E97"/>
    <w:rsid w:val="00780FD7"/>
    <w:rsid w:val="00783479"/>
    <w:rsid w:val="00783537"/>
    <w:rsid w:val="00784733"/>
    <w:rsid w:val="00790BA1"/>
    <w:rsid w:val="007912AD"/>
    <w:rsid w:val="00792001"/>
    <w:rsid w:val="00793491"/>
    <w:rsid w:val="00795C91"/>
    <w:rsid w:val="007A1F28"/>
    <w:rsid w:val="007A3920"/>
    <w:rsid w:val="007A5123"/>
    <w:rsid w:val="007B0824"/>
    <w:rsid w:val="007B3876"/>
    <w:rsid w:val="007B3D8B"/>
    <w:rsid w:val="007B7FD6"/>
    <w:rsid w:val="007C0925"/>
    <w:rsid w:val="007C23BD"/>
    <w:rsid w:val="007C3376"/>
    <w:rsid w:val="007C67E1"/>
    <w:rsid w:val="007C6A45"/>
    <w:rsid w:val="007C6B47"/>
    <w:rsid w:val="007E18B1"/>
    <w:rsid w:val="007E21F2"/>
    <w:rsid w:val="007E3110"/>
    <w:rsid w:val="007E3977"/>
    <w:rsid w:val="007E5068"/>
    <w:rsid w:val="007E6486"/>
    <w:rsid w:val="007F2A6D"/>
    <w:rsid w:val="007F493B"/>
    <w:rsid w:val="007F5823"/>
    <w:rsid w:val="007F6F07"/>
    <w:rsid w:val="008027BA"/>
    <w:rsid w:val="0080502B"/>
    <w:rsid w:val="00806F2B"/>
    <w:rsid w:val="00813D3B"/>
    <w:rsid w:val="008169A3"/>
    <w:rsid w:val="00821A8E"/>
    <w:rsid w:val="00822420"/>
    <w:rsid w:val="00824C01"/>
    <w:rsid w:val="00825661"/>
    <w:rsid w:val="00825F6C"/>
    <w:rsid w:val="008303B8"/>
    <w:rsid w:val="00831D7F"/>
    <w:rsid w:val="0083225C"/>
    <w:rsid w:val="008336D3"/>
    <w:rsid w:val="00833DCE"/>
    <w:rsid w:val="00842418"/>
    <w:rsid w:val="00842FDC"/>
    <w:rsid w:val="00844DD1"/>
    <w:rsid w:val="0085085D"/>
    <w:rsid w:val="00854A1E"/>
    <w:rsid w:val="008566EB"/>
    <w:rsid w:val="00862A97"/>
    <w:rsid w:val="008634DB"/>
    <w:rsid w:val="00867494"/>
    <w:rsid w:val="00871D34"/>
    <w:rsid w:val="00874A1D"/>
    <w:rsid w:val="00891F96"/>
    <w:rsid w:val="008A17D7"/>
    <w:rsid w:val="008A1F48"/>
    <w:rsid w:val="008A28E8"/>
    <w:rsid w:val="008A2B39"/>
    <w:rsid w:val="008B17D9"/>
    <w:rsid w:val="008B270C"/>
    <w:rsid w:val="008C2111"/>
    <w:rsid w:val="008C33A9"/>
    <w:rsid w:val="008C35BF"/>
    <w:rsid w:val="008C3D3D"/>
    <w:rsid w:val="008C63C3"/>
    <w:rsid w:val="008C63D4"/>
    <w:rsid w:val="008D23FB"/>
    <w:rsid w:val="008D4131"/>
    <w:rsid w:val="008D7232"/>
    <w:rsid w:val="008D7C3E"/>
    <w:rsid w:val="008F1932"/>
    <w:rsid w:val="008F2208"/>
    <w:rsid w:val="008F294D"/>
    <w:rsid w:val="008F2DC6"/>
    <w:rsid w:val="008F2F18"/>
    <w:rsid w:val="008F2FB6"/>
    <w:rsid w:val="008F5C4F"/>
    <w:rsid w:val="00901E39"/>
    <w:rsid w:val="00911897"/>
    <w:rsid w:val="0091521F"/>
    <w:rsid w:val="009152CF"/>
    <w:rsid w:val="00921062"/>
    <w:rsid w:val="0092618D"/>
    <w:rsid w:val="00926661"/>
    <w:rsid w:val="0093083E"/>
    <w:rsid w:val="00940306"/>
    <w:rsid w:val="00945722"/>
    <w:rsid w:val="009475C2"/>
    <w:rsid w:val="009510DF"/>
    <w:rsid w:val="00951611"/>
    <w:rsid w:val="00951C44"/>
    <w:rsid w:val="00954B3F"/>
    <w:rsid w:val="009615DC"/>
    <w:rsid w:val="0096203F"/>
    <w:rsid w:val="00962D22"/>
    <w:rsid w:val="00964CD8"/>
    <w:rsid w:val="009652C4"/>
    <w:rsid w:val="00966ECF"/>
    <w:rsid w:val="00967B1C"/>
    <w:rsid w:val="0097258A"/>
    <w:rsid w:val="009727A3"/>
    <w:rsid w:val="00972C95"/>
    <w:rsid w:val="00974003"/>
    <w:rsid w:val="00977DB0"/>
    <w:rsid w:val="00980247"/>
    <w:rsid w:val="00980F3F"/>
    <w:rsid w:val="00987774"/>
    <w:rsid w:val="00993224"/>
    <w:rsid w:val="009A0C7F"/>
    <w:rsid w:val="009A11E8"/>
    <w:rsid w:val="009A376A"/>
    <w:rsid w:val="009A4C55"/>
    <w:rsid w:val="009A51DE"/>
    <w:rsid w:val="009A679A"/>
    <w:rsid w:val="009A67A7"/>
    <w:rsid w:val="009A76E2"/>
    <w:rsid w:val="009B1FB2"/>
    <w:rsid w:val="009B2A09"/>
    <w:rsid w:val="009B4072"/>
    <w:rsid w:val="009B57C1"/>
    <w:rsid w:val="009B5C31"/>
    <w:rsid w:val="009B5F2E"/>
    <w:rsid w:val="009B6081"/>
    <w:rsid w:val="009C20FE"/>
    <w:rsid w:val="009C486D"/>
    <w:rsid w:val="009C6458"/>
    <w:rsid w:val="009D12CA"/>
    <w:rsid w:val="009D1891"/>
    <w:rsid w:val="009D3AA6"/>
    <w:rsid w:val="009E08A0"/>
    <w:rsid w:val="009E11D7"/>
    <w:rsid w:val="009E4E62"/>
    <w:rsid w:val="009E51B8"/>
    <w:rsid w:val="009E5306"/>
    <w:rsid w:val="009F5220"/>
    <w:rsid w:val="009F7C4D"/>
    <w:rsid w:val="00A01276"/>
    <w:rsid w:val="00A040A1"/>
    <w:rsid w:val="00A042D9"/>
    <w:rsid w:val="00A042F6"/>
    <w:rsid w:val="00A06342"/>
    <w:rsid w:val="00A07465"/>
    <w:rsid w:val="00A15234"/>
    <w:rsid w:val="00A201AB"/>
    <w:rsid w:val="00A21C0F"/>
    <w:rsid w:val="00A224BE"/>
    <w:rsid w:val="00A229B2"/>
    <w:rsid w:val="00A23C2E"/>
    <w:rsid w:val="00A241C0"/>
    <w:rsid w:val="00A241EB"/>
    <w:rsid w:val="00A24DA5"/>
    <w:rsid w:val="00A26579"/>
    <w:rsid w:val="00A301CD"/>
    <w:rsid w:val="00A31C8B"/>
    <w:rsid w:val="00A35DC0"/>
    <w:rsid w:val="00A52A75"/>
    <w:rsid w:val="00A52DA3"/>
    <w:rsid w:val="00A52FFA"/>
    <w:rsid w:val="00A530CB"/>
    <w:rsid w:val="00A53B00"/>
    <w:rsid w:val="00A56BDA"/>
    <w:rsid w:val="00A575F9"/>
    <w:rsid w:val="00A63BDD"/>
    <w:rsid w:val="00A6420E"/>
    <w:rsid w:val="00A64638"/>
    <w:rsid w:val="00A64751"/>
    <w:rsid w:val="00A740F9"/>
    <w:rsid w:val="00A743D7"/>
    <w:rsid w:val="00A75965"/>
    <w:rsid w:val="00A76874"/>
    <w:rsid w:val="00A813C2"/>
    <w:rsid w:val="00A845DC"/>
    <w:rsid w:val="00A85819"/>
    <w:rsid w:val="00A90525"/>
    <w:rsid w:val="00A97AEE"/>
    <w:rsid w:val="00AB015C"/>
    <w:rsid w:val="00AB1C8F"/>
    <w:rsid w:val="00AB53D7"/>
    <w:rsid w:val="00AB6327"/>
    <w:rsid w:val="00AC0681"/>
    <w:rsid w:val="00AC235A"/>
    <w:rsid w:val="00AC2BA7"/>
    <w:rsid w:val="00AC2DF0"/>
    <w:rsid w:val="00AC35B6"/>
    <w:rsid w:val="00AC496F"/>
    <w:rsid w:val="00AC5CF6"/>
    <w:rsid w:val="00AC6AB4"/>
    <w:rsid w:val="00AC79B3"/>
    <w:rsid w:val="00AD28F6"/>
    <w:rsid w:val="00AD5873"/>
    <w:rsid w:val="00AD6AEB"/>
    <w:rsid w:val="00AD7088"/>
    <w:rsid w:val="00AD788D"/>
    <w:rsid w:val="00AE19A2"/>
    <w:rsid w:val="00AF3D84"/>
    <w:rsid w:val="00AF57CF"/>
    <w:rsid w:val="00AF7C79"/>
    <w:rsid w:val="00B01867"/>
    <w:rsid w:val="00B0466F"/>
    <w:rsid w:val="00B05B2F"/>
    <w:rsid w:val="00B11210"/>
    <w:rsid w:val="00B118E7"/>
    <w:rsid w:val="00B144FA"/>
    <w:rsid w:val="00B147F0"/>
    <w:rsid w:val="00B16F58"/>
    <w:rsid w:val="00B1734A"/>
    <w:rsid w:val="00B22DF6"/>
    <w:rsid w:val="00B257EF"/>
    <w:rsid w:val="00B30648"/>
    <w:rsid w:val="00B30F11"/>
    <w:rsid w:val="00B344FB"/>
    <w:rsid w:val="00B3524D"/>
    <w:rsid w:val="00B35AE2"/>
    <w:rsid w:val="00B375E5"/>
    <w:rsid w:val="00B40016"/>
    <w:rsid w:val="00B4033A"/>
    <w:rsid w:val="00B40F69"/>
    <w:rsid w:val="00B42533"/>
    <w:rsid w:val="00B46616"/>
    <w:rsid w:val="00B46FF4"/>
    <w:rsid w:val="00B572AA"/>
    <w:rsid w:val="00B610E3"/>
    <w:rsid w:val="00B61205"/>
    <w:rsid w:val="00B617C4"/>
    <w:rsid w:val="00B626FA"/>
    <w:rsid w:val="00B62ADF"/>
    <w:rsid w:val="00B62BD3"/>
    <w:rsid w:val="00B67D13"/>
    <w:rsid w:val="00B7040A"/>
    <w:rsid w:val="00B75F87"/>
    <w:rsid w:val="00B768CA"/>
    <w:rsid w:val="00B8043B"/>
    <w:rsid w:val="00B80AED"/>
    <w:rsid w:val="00B923F2"/>
    <w:rsid w:val="00B9468B"/>
    <w:rsid w:val="00B94BA0"/>
    <w:rsid w:val="00B96FA0"/>
    <w:rsid w:val="00BA095F"/>
    <w:rsid w:val="00BA14B4"/>
    <w:rsid w:val="00BA28FF"/>
    <w:rsid w:val="00BA4A77"/>
    <w:rsid w:val="00BA52AC"/>
    <w:rsid w:val="00BA6DE4"/>
    <w:rsid w:val="00BB0F85"/>
    <w:rsid w:val="00BB32F2"/>
    <w:rsid w:val="00BB4F81"/>
    <w:rsid w:val="00BB5A6F"/>
    <w:rsid w:val="00BC001C"/>
    <w:rsid w:val="00BC0F9D"/>
    <w:rsid w:val="00BC1041"/>
    <w:rsid w:val="00BC1E0C"/>
    <w:rsid w:val="00BC3ADB"/>
    <w:rsid w:val="00BC4C75"/>
    <w:rsid w:val="00BD23CE"/>
    <w:rsid w:val="00BD3283"/>
    <w:rsid w:val="00BD4196"/>
    <w:rsid w:val="00BD7A8A"/>
    <w:rsid w:val="00BE0D5C"/>
    <w:rsid w:val="00BE2D5D"/>
    <w:rsid w:val="00BE5270"/>
    <w:rsid w:val="00BE77AA"/>
    <w:rsid w:val="00BF07E6"/>
    <w:rsid w:val="00BF0AF5"/>
    <w:rsid w:val="00BF22CA"/>
    <w:rsid w:val="00BF40CA"/>
    <w:rsid w:val="00BF497C"/>
    <w:rsid w:val="00C0170D"/>
    <w:rsid w:val="00C02E46"/>
    <w:rsid w:val="00C06E2D"/>
    <w:rsid w:val="00C127FF"/>
    <w:rsid w:val="00C148AA"/>
    <w:rsid w:val="00C16B36"/>
    <w:rsid w:val="00C21EC0"/>
    <w:rsid w:val="00C24A4B"/>
    <w:rsid w:val="00C26032"/>
    <w:rsid w:val="00C265B0"/>
    <w:rsid w:val="00C308EF"/>
    <w:rsid w:val="00C30BCB"/>
    <w:rsid w:val="00C30CE6"/>
    <w:rsid w:val="00C321B5"/>
    <w:rsid w:val="00C337AE"/>
    <w:rsid w:val="00C345E1"/>
    <w:rsid w:val="00C36BD1"/>
    <w:rsid w:val="00C371FA"/>
    <w:rsid w:val="00C40626"/>
    <w:rsid w:val="00C414FE"/>
    <w:rsid w:val="00C423C9"/>
    <w:rsid w:val="00C451CB"/>
    <w:rsid w:val="00C51D82"/>
    <w:rsid w:val="00C522CD"/>
    <w:rsid w:val="00C52507"/>
    <w:rsid w:val="00C53BD8"/>
    <w:rsid w:val="00C53C78"/>
    <w:rsid w:val="00C540D2"/>
    <w:rsid w:val="00C54771"/>
    <w:rsid w:val="00C54B0C"/>
    <w:rsid w:val="00C55ADF"/>
    <w:rsid w:val="00C55C69"/>
    <w:rsid w:val="00C64810"/>
    <w:rsid w:val="00C6799B"/>
    <w:rsid w:val="00C70969"/>
    <w:rsid w:val="00C7556A"/>
    <w:rsid w:val="00C764FC"/>
    <w:rsid w:val="00C77259"/>
    <w:rsid w:val="00C80BCF"/>
    <w:rsid w:val="00C821AC"/>
    <w:rsid w:val="00C842C7"/>
    <w:rsid w:val="00C86254"/>
    <w:rsid w:val="00C862AE"/>
    <w:rsid w:val="00C868B9"/>
    <w:rsid w:val="00C93672"/>
    <w:rsid w:val="00C93BFF"/>
    <w:rsid w:val="00C93F6C"/>
    <w:rsid w:val="00C94116"/>
    <w:rsid w:val="00C944D5"/>
    <w:rsid w:val="00C94BD5"/>
    <w:rsid w:val="00C95268"/>
    <w:rsid w:val="00C96CEB"/>
    <w:rsid w:val="00C97595"/>
    <w:rsid w:val="00C977BA"/>
    <w:rsid w:val="00CB1695"/>
    <w:rsid w:val="00CB6E35"/>
    <w:rsid w:val="00CB724C"/>
    <w:rsid w:val="00CC3353"/>
    <w:rsid w:val="00CC58F2"/>
    <w:rsid w:val="00CD08F4"/>
    <w:rsid w:val="00CD3DAF"/>
    <w:rsid w:val="00CE1A46"/>
    <w:rsid w:val="00CE1E75"/>
    <w:rsid w:val="00CE26B2"/>
    <w:rsid w:val="00CF253F"/>
    <w:rsid w:val="00CF2E37"/>
    <w:rsid w:val="00CF3C99"/>
    <w:rsid w:val="00CF4030"/>
    <w:rsid w:val="00CF56B4"/>
    <w:rsid w:val="00D00D05"/>
    <w:rsid w:val="00D043A5"/>
    <w:rsid w:val="00D04A17"/>
    <w:rsid w:val="00D04AB4"/>
    <w:rsid w:val="00D05E99"/>
    <w:rsid w:val="00D076B7"/>
    <w:rsid w:val="00D12BFE"/>
    <w:rsid w:val="00D15C6F"/>
    <w:rsid w:val="00D16358"/>
    <w:rsid w:val="00D20F09"/>
    <w:rsid w:val="00D21766"/>
    <w:rsid w:val="00D22636"/>
    <w:rsid w:val="00D24CA7"/>
    <w:rsid w:val="00D27FDB"/>
    <w:rsid w:val="00D3014B"/>
    <w:rsid w:val="00D33690"/>
    <w:rsid w:val="00D34F7F"/>
    <w:rsid w:val="00D35728"/>
    <w:rsid w:val="00D35CD2"/>
    <w:rsid w:val="00D40BED"/>
    <w:rsid w:val="00D40FD9"/>
    <w:rsid w:val="00D41775"/>
    <w:rsid w:val="00D41A6C"/>
    <w:rsid w:val="00D41C5F"/>
    <w:rsid w:val="00D42269"/>
    <w:rsid w:val="00D436D3"/>
    <w:rsid w:val="00D47943"/>
    <w:rsid w:val="00D5033A"/>
    <w:rsid w:val="00D5077E"/>
    <w:rsid w:val="00D52F70"/>
    <w:rsid w:val="00D53769"/>
    <w:rsid w:val="00D54A52"/>
    <w:rsid w:val="00D56837"/>
    <w:rsid w:val="00D65912"/>
    <w:rsid w:val="00D74589"/>
    <w:rsid w:val="00D750E8"/>
    <w:rsid w:val="00D7510B"/>
    <w:rsid w:val="00D77A84"/>
    <w:rsid w:val="00D8331D"/>
    <w:rsid w:val="00D85705"/>
    <w:rsid w:val="00D85935"/>
    <w:rsid w:val="00D85C13"/>
    <w:rsid w:val="00D91BE3"/>
    <w:rsid w:val="00D923E0"/>
    <w:rsid w:val="00D93D19"/>
    <w:rsid w:val="00D94AFC"/>
    <w:rsid w:val="00D95ECC"/>
    <w:rsid w:val="00D95F80"/>
    <w:rsid w:val="00D961E7"/>
    <w:rsid w:val="00D966E6"/>
    <w:rsid w:val="00DA084F"/>
    <w:rsid w:val="00DA562F"/>
    <w:rsid w:val="00DA5EF2"/>
    <w:rsid w:val="00DB6D5B"/>
    <w:rsid w:val="00DB70AE"/>
    <w:rsid w:val="00DB7231"/>
    <w:rsid w:val="00DC21E2"/>
    <w:rsid w:val="00DC7E5C"/>
    <w:rsid w:val="00DD09D7"/>
    <w:rsid w:val="00DD35C1"/>
    <w:rsid w:val="00DD37D5"/>
    <w:rsid w:val="00DD5071"/>
    <w:rsid w:val="00DD5C39"/>
    <w:rsid w:val="00DD7A5E"/>
    <w:rsid w:val="00DE0EE8"/>
    <w:rsid w:val="00DE26AF"/>
    <w:rsid w:val="00DE3F5E"/>
    <w:rsid w:val="00DE6201"/>
    <w:rsid w:val="00DE7DB7"/>
    <w:rsid w:val="00DF5938"/>
    <w:rsid w:val="00DF672B"/>
    <w:rsid w:val="00E00A0A"/>
    <w:rsid w:val="00E01630"/>
    <w:rsid w:val="00E018E2"/>
    <w:rsid w:val="00E058FA"/>
    <w:rsid w:val="00E07F57"/>
    <w:rsid w:val="00E1040E"/>
    <w:rsid w:val="00E11BB3"/>
    <w:rsid w:val="00E16A51"/>
    <w:rsid w:val="00E177DC"/>
    <w:rsid w:val="00E22036"/>
    <w:rsid w:val="00E236BB"/>
    <w:rsid w:val="00E23B71"/>
    <w:rsid w:val="00E25933"/>
    <w:rsid w:val="00E343F8"/>
    <w:rsid w:val="00E46EC7"/>
    <w:rsid w:val="00E501A0"/>
    <w:rsid w:val="00E50BCE"/>
    <w:rsid w:val="00E52841"/>
    <w:rsid w:val="00E61292"/>
    <w:rsid w:val="00E62139"/>
    <w:rsid w:val="00E62F37"/>
    <w:rsid w:val="00E63A87"/>
    <w:rsid w:val="00E658FC"/>
    <w:rsid w:val="00E74DC0"/>
    <w:rsid w:val="00E76309"/>
    <w:rsid w:val="00E77C4D"/>
    <w:rsid w:val="00E81D01"/>
    <w:rsid w:val="00E84346"/>
    <w:rsid w:val="00E91318"/>
    <w:rsid w:val="00E91EFF"/>
    <w:rsid w:val="00E92EB9"/>
    <w:rsid w:val="00EA1083"/>
    <w:rsid w:val="00EA1EE2"/>
    <w:rsid w:val="00EA4C45"/>
    <w:rsid w:val="00EA5AA8"/>
    <w:rsid w:val="00EC1B6D"/>
    <w:rsid w:val="00EC38FB"/>
    <w:rsid w:val="00EC5BE7"/>
    <w:rsid w:val="00ED0044"/>
    <w:rsid w:val="00ED1A51"/>
    <w:rsid w:val="00EE1EA0"/>
    <w:rsid w:val="00EE45D8"/>
    <w:rsid w:val="00EE5983"/>
    <w:rsid w:val="00EF2923"/>
    <w:rsid w:val="00F004CD"/>
    <w:rsid w:val="00F01DB4"/>
    <w:rsid w:val="00F02039"/>
    <w:rsid w:val="00F02062"/>
    <w:rsid w:val="00F02D2A"/>
    <w:rsid w:val="00F0454F"/>
    <w:rsid w:val="00F05008"/>
    <w:rsid w:val="00F05129"/>
    <w:rsid w:val="00F061B1"/>
    <w:rsid w:val="00F06644"/>
    <w:rsid w:val="00F06656"/>
    <w:rsid w:val="00F11935"/>
    <w:rsid w:val="00F12F2C"/>
    <w:rsid w:val="00F16014"/>
    <w:rsid w:val="00F202D5"/>
    <w:rsid w:val="00F21201"/>
    <w:rsid w:val="00F22A22"/>
    <w:rsid w:val="00F22EDA"/>
    <w:rsid w:val="00F24B3F"/>
    <w:rsid w:val="00F3224D"/>
    <w:rsid w:val="00F33E0E"/>
    <w:rsid w:val="00F40827"/>
    <w:rsid w:val="00F41DEB"/>
    <w:rsid w:val="00F421B9"/>
    <w:rsid w:val="00F5203E"/>
    <w:rsid w:val="00F5664C"/>
    <w:rsid w:val="00F574B1"/>
    <w:rsid w:val="00F57A9E"/>
    <w:rsid w:val="00F607AA"/>
    <w:rsid w:val="00F60BA1"/>
    <w:rsid w:val="00F613CA"/>
    <w:rsid w:val="00F616C3"/>
    <w:rsid w:val="00F707BF"/>
    <w:rsid w:val="00F73CA8"/>
    <w:rsid w:val="00F84617"/>
    <w:rsid w:val="00F877CA"/>
    <w:rsid w:val="00F922A3"/>
    <w:rsid w:val="00FA1787"/>
    <w:rsid w:val="00FA3900"/>
    <w:rsid w:val="00FA5591"/>
    <w:rsid w:val="00FA65C3"/>
    <w:rsid w:val="00FB43EB"/>
    <w:rsid w:val="00FB524E"/>
    <w:rsid w:val="00FB6D2E"/>
    <w:rsid w:val="00FB7E80"/>
    <w:rsid w:val="00FC3AB4"/>
    <w:rsid w:val="00FC5548"/>
    <w:rsid w:val="00FC55CF"/>
    <w:rsid w:val="00FC7A11"/>
    <w:rsid w:val="00FE548F"/>
    <w:rsid w:val="00FE565C"/>
    <w:rsid w:val="00FE5AD3"/>
    <w:rsid w:val="00FF0109"/>
    <w:rsid w:val="00FF405C"/>
    <w:rsid w:val="00FF5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14:docId w14:val="310A99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araLevel1">
    <w:name w:val="ParaLevel1"/>
    <w:basedOn w:val="Normal"/>
    <w:rsid w:val="00E658FC"/>
    <w:pPr>
      <w:spacing w:after="520"/>
      <w:jc w:val="both"/>
    </w:pPr>
    <w:rPr>
      <w:sz w:val="26"/>
      <w:szCs w:val="26"/>
    </w:rPr>
  </w:style>
  <w:style w:type="paragraph" w:styleId="ListParagraph">
    <w:name w:val="List Paragraph"/>
    <w:basedOn w:val="Normal"/>
    <w:uiPriority w:val="34"/>
    <w:qFormat/>
    <w:rsid w:val="006C629F"/>
    <w:pPr>
      <w:ind w:left="720"/>
    </w:pPr>
  </w:style>
  <w:style w:type="character" w:styleId="CommentReference">
    <w:name w:val="annotation reference"/>
    <w:rsid w:val="00C30CE6"/>
    <w:rPr>
      <w:sz w:val="16"/>
      <w:szCs w:val="16"/>
    </w:rPr>
  </w:style>
  <w:style w:type="paragraph" w:styleId="CommentText">
    <w:name w:val="annotation text"/>
    <w:basedOn w:val="Normal"/>
    <w:link w:val="CommentTextChar"/>
    <w:rsid w:val="00C30CE6"/>
    <w:rPr>
      <w:sz w:val="20"/>
      <w:szCs w:val="20"/>
    </w:rPr>
  </w:style>
  <w:style w:type="character" w:customStyle="1" w:styleId="CommentTextChar">
    <w:name w:val="Comment Text Char"/>
    <w:basedOn w:val="DefaultParagraphFont"/>
    <w:link w:val="CommentText"/>
    <w:rsid w:val="00C30CE6"/>
  </w:style>
  <w:style w:type="paragraph" w:styleId="CommentSubject">
    <w:name w:val="annotation subject"/>
    <w:basedOn w:val="CommentText"/>
    <w:next w:val="CommentText"/>
    <w:link w:val="CommentSubjectChar"/>
    <w:rsid w:val="00C30CE6"/>
    <w:rPr>
      <w:b/>
      <w:bCs/>
    </w:rPr>
  </w:style>
  <w:style w:type="character" w:customStyle="1" w:styleId="CommentSubjectChar">
    <w:name w:val="Comment Subject Char"/>
    <w:link w:val="CommentSubject"/>
    <w:rsid w:val="00C30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3944282">
      <w:bodyDiv w:val="1"/>
      <w:marLeft w:val="0"/>
      <w:marRight w:val="0"/>
      <w:marTop w:val="0"/>
      <w:marBottom w:val="0"/>
      <w:divBdr>
        <w:top w:val="none" w:sz="0" w:space="0" w:color="auto"/>
        <w:left w:val="none" w:sz="0" w:space="0" w:color="auto"/>
        <w:bottom w:val="none" w:sz="0" w:space="0" w:color="auto"/>
        <w:right w:val="none" w:sz="0" w:space="0" w:color="auto"/>
      </w:divBdr>
      <w:divsChild>
        <w:div w:id="589429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4928097">
              <w:blockQuote w:val="1"/>
              <w:marLeft w:val="720"/>
              <w:marRight w:val="720"/>
              <w:marTop w:val="100"/>
              <w:marBottom w:val="100"/>
              <w:divBdr>
                <w:top w:val="none" w:sz="0" w:space="0" w:color="auto"/>
                <w:left w:val="none" w:sz="0" w:space="0" w:color="auto"/>
                <w:bottom w:val="none" w:sz="0" w:space="0" w:color="auto"/>
                <w:right w:val="none" w:sz="0" w:space="0" w:color="auto"/>
              </w:divBdr>
            </w:div>
            <w:div w:id="55832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8719">
          <w:blockQuote w:val="1"/>
          <w:marLeft w:val="720"/>
          <w:marRight w:val="720"/>
          <w:marTop w:val="100"/>
          <w:marBottom w:val="100"/>
          <w:divBdr>
            <w:top w:val="none" w:sz="0" w:space="0" w:color="auto"/>
            <w:left w:val="none" w:sz="0" w:space="0" w:color="auto"/>
            <w:bottom w:val="none" w:sz="0" w:space="0" w:color="auto"/>
            <w:right w:val="none" w:sz="0" w:space="0" w:color="auto"/>
          </w:divBdr>
        </w:div>
        <w:div w:id="288318576">
          <w:blockQuote w:val="1"/>
          <w:marLeft w:val="720"/>
          <w:marRight w:val="720"/>
          <w:marTop w:val="100"/>
          <w:marBottom w:val="100"/>
          <w:divBdr>
            <w:top w:val="none" w:sz="0" w:space="0" w:color="auto"/>
            <w:left w:val="none" w:sz="0" w:space="0" w:color="auto"/>
            <w:bottom w:val="none" w:sz="0" w:space="0" w:color="auto"/>
            <w:right w:val="none" w:sz="0" w:space="0" w:color="auto"/>
          </w:divBdr>
        </w:div>
        <w:div w:id="446042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6476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925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92110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01259">
          <w:blockQuote w:val="1"/>
          <w:marLeft w:val="720"/>
          <w:marRight w:val="720"/>
          <w:marTop w:val="100"/>
          <w:marBottom w:val="100"/>
          <w:divBdr>
            <w:top w:val="none" w:sz="0" w:space="0" w:color="auto"/>
            <w:left w:val="none" w:sz="0" w:space="0" w:color="auto"/>
            <w:bottom w:val="none" w:sz="0" w:space="0" w:color="auto"/>
            <w:right w:val="none" w:sz="0" w:space="0" w:color="auto"/>
          </w:divBdr>
        </w:div>
        <w:div w:id="83121608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8999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84989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9920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13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5428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8777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2873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371944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64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53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8876294">
              <w:blockQuote w:val="1"/>
              <w:marLeft w:val="720"/>
              <w:marRight w:val="720"/>
              <w:marTop w:val="100"/>
              <w:marBottom w:val="100"/>
              <w:divBdr>
                <w:top w:val="none" w:sz="0" w:space="0" w:color="auto"/>
                <w:left w:val="none" w:sz="0" w:space="0" w:color="auto"/>
                <w:bottom w:val="none" w:sz="0" w:space="0" w:color="auto"/>
                <w:right w:val="none" w:sz="0" w:space="0" w:color="auto"/>
              </w:divBdr>
            </w:div>
            <w:div w:id="891961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0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8650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504168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458987">
              <w:blockQuote w:val="1"/>
              <w:marLeft w:val="720"/>
              <w:marRight w:val="720"/>
              <w:marTop w:val="100"/>
              <w:marBottom w:val="100"/>
              <w:divBdr>
                <w:top w:val="none" w:sz="0" w:space="0" w:color="auto"/>
                <w:left w:val="none" w:sz="0" w:space="0" w:color="auto"/>
                <w:bottom w:val="none" w:sz="0" w:space="0" w:color="auto"/>
                <w:right w:val="none" w:sz="0" w:space="0" w:color="auto"/>
              </w:divBdr>
            </w:div>
            <w:div w:id="289745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414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9362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8336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65963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8672C-B049-43B8-92E1-D9D27694E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10871</Words>
  <Characters>50732</Characters>
  <Application>Microsoft Office Word</Application>
  <DocSecurity>0</DocSecurity>
  <Lines>422</Lines>
  <Paragraphs>122</Paragraphs>
  <ScaleCrop>false</ScaleCrop>
  <Company/>
  <LinksUpToDate>false</LinksUpToDate>
  <CharactersWithSpaces>61481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2018-08-24T10:51:00Z</dcterms:created>
  <dcterms:modified xsi:type="dcterms:W3CDTF">2018-08-24T10:52:00Z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