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5F492" w14:textId="77777777" w:rsidR="008A6059" w:rsidRPr="009B7433" w:rsidRDefault="00B01FFD" w:rsidP="008A6059">
      <w:pPr>
        <w:jc w:val="center"/>
        <w:rPr>
          <w:rFonts w:ascii="Book Antiqua" w:hAnsi="Book Antiqua" w:cs="Arial"/>
          <w:caps/>
          <w:color w:val="000000"/>
          <w:sz w:val="16"/>
          <w:szCs w:val="16"/>
        </w:rPr>
      </w:pPr>
      <w:r>
        <w:rPr>
          <w:noProof/>
          <w:lang w:val="en-US" w:eastAsia="en-US"/>
        </w:rPr>
        <w:drawing>
          <wp:inline distT="0" distB="0" distL="0" distR="0" wp14:anchorId="7130983B" wp14:editId="704CFA47">
            <wp:extent cx="104648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6480" cy="906145"/>
                    </a:xfrm>
                    <a:prstGeom prst="rect">
                      <a:avLst/>
                    </a:prstGeom>
                    <a:noFill/>
                    <a:ln>
                      <a:noFill/>
                    </a:ln>
                  </pic:spPr>
                </pic:pic>
              </a:graphicData>
            </a:graphic>
          </wp:inline>
        </w:drawing>
      </w:r>
    </w:p>
    <w:p w14:paraId="53D4561C" w14:textId="4EC97DBB" w:rsidR="00D94AFC" w:rsidRPr="009B7433" w:rsidRDefault="00D94AFC">
      <w:pPr>
        <w:rPr>
          <w:rFonts w:ascii="Book Antiqua" w:hAnsi="Book Antiqua" w:cs="Arial"/>
          <w:color w:val="000000"/>
          <w:sz w:val="16"/>
          <w:szCs w:val="16"/>
        </w:rPr>
      </w:pPr>
    </w:p>
    <w:p w14:paraId="13F85E8B" w14:textId="77777777" w:rsidR="00D94AFC" w:rsidRPr="009B7433" w:rsidRDefault="00D94AFC">
      <w:pPr>
        <w:rPr>
          <w:rFonts w:ascii="Book Antiqua" w:hAnsi="Book Antiqua" w:cs="Arial"/>
          <w:color w:val="000000"/>
        </w:rPr>
      </w:pPr>
    </w:p>
    <w:p w14:paraId="3A4FC354"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21053646" w14:textId="77777777" w:rsidR="007B0824"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CE08DF">
        <w:rPr>
          <w:rFonts w:ascii="Book Antiqua" w:hAnsi="Book Antiqua" w:cs="Arial"/>
          <w:color w:val="000000"/>
        </w:rPr>
        <w:t>s</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CE08DF">
        <w:rPr>
          <w:rFonts w:ascii="Book Antiqua" w:hAnsi="Book Antiqua" w:cs="Arial"/>
          <w:caps/>
          <w:color w:val="000000"/>
        </w:rPr>
        <w:t>PA/00730/2017</w:t>
      </w:r>
    </w:p>
    <w:p w14:paraId="5FFFDD37" w14:textId="77777777" w:rsidR="00CE08DF" w:rsidRDefault="00CE08DF" w:rsidP="00780F86">
      <w:pPr>
        <w:tabs>
          <w:tab w:val="right" w:pos="9720"/>
        </w:tabs>
        <w:ind w:right="-82"/>
        <w:rPr>
          <w:rFonts w:ascii="Book Antiqua" w:hAnsi="Book Antiqua" w:cs="Arial"/>
          <w:caps/>
          <w:color w:val="000000"/>
        </w:rPr>
      </w:pPr>
      <w:r>
        <w:rPr>
          <w:rFonts w:ascii="Book Antiqua" w:hAnsi="Book Antiqua" w:cs="Arial"/>
          <w:caps/>
          <w:color w:val="000000"/>
        </w:rPr>
        <w:tab/>
        <w:t>PA/00733/2017</w:t>
      </w:r>
    </w:p>
    <w:p w14:paraId="75D67340" w14:textId="77777777" w:rsidR="00CE08DF" w:rsidRDefault="00CE08DF" w:rsidP="00780F86">
      <w:pPr>
        <w:tabs>
          <w:tab w:val="right" w:pos="9720"/>
        </w:tabs>
        <w:ind w:right="-82"/>
        <w:rPr>
          <w:rFonts w:ascii="Book Antiqua" w:hAnsi="Book Antiqua" w:cs="Arial"/>
          <w:caps/>
          <w:color w:val="000000"/>
        </w:rPr>
      </w:pPr>
      <w:r>
        <w:rPr>
          <w:rFonts w:ascii="Book Antiqua" w:hAnsi="Book Antiqua" w:cs="Arial"/>
          <w:caps/>
          <w:color w:val="000000"/>
        </w:rPr>
        <w:tab/>
        <w:t>PA/00737/2017</w:t>
      </w:r>
    </w:p>
    <w:p w14:paraId="3F104A26" w14:textId="77777777" w:rsidR="00CE08DF" w:rsidRDefault="00CE08DF" w:rsidP="00780F86">
      <w:pPr>
        <w:tabs>
          <w:tab w:val="right" w:pos="9720"/>
        </w:tabs>
        <w:ind w:right="-82"/>
        <w:rPr>
          <w:rFonts w:ascii="Book Antiqua" w:hAnsi="Book Antiqua" w:cs="Arial"/>
          <w:caps/>
          <w:color w:val="000000"/>
        </w:rPr>
      </w:pPr>
      <w:r>
        <w:rPr>
          <w:rFonts w:ascii="Book Antiqua" w:hAnsi="Book Antiqua" w:cs="Arial"/>
          <w:caps/>
          <w:color w:val="000000"/>
        </w:rPr>
        <w:tab/>
        <w:t>PA/00742/2017</w:t>
      </w:r>
    </w:p>
    <w:p w14:paraId="6EF95CDB" w14:textId="77777777" w:rsidR="00CE08DF" w:rsidRPr="009B7433" w:rsidRDefault="00CE08DF" w:rsidP="00780F86">
      <w:pPr>
        <w:tabs>
          <w:tab w:val="right" w:pos="9720"/>
        </w:tabs>
        <w:ind w:right="-82"/>
        <w:rPr>
          <w:rFonts w:ascii="Book Antiqua" w:hAnsi="Book Antiqua" w:cs="Arial"/>
          <w:color w:val="000000"/>
        </w:rPr>
      </w:pPr>
      <w:r>
        <w:rPr>
          <w:rFonts w:ascii="Book Antiqua" w:hAnsi="Book Antiqua" w:cs="Arial"/>
          <w:caps/>
          <w:color w:val="000000"/>
        </w:rPr>
        <w:tab/>
        <w:t>PA/00747/2017</w:t>
      </w:r>
    </w:p>
    <w:p w14:paraId="6F6C4194" w14:textId="1908A5BF" w:rsidR="00C345E1" w:rsidRDefault="00C345E1" w:rsidP="00DE1FD4">
      <w:pPr>
        <w:rPr>
          <w:rFonts w:ascii="Book Antiqua" w:hAnsi="Book Antiqua" w:cs="Arial"/>
          <w:color w:val="000000"/>
        </w:rPr>
      </w:pPr>
    </w:p>
    <w:p w14:paraId="7BCB4D73" w14:textId="77777777" w:rsidR="000C42A8" w:rsidRPr="009B7433" w:rsidRDefault="000C42A8" w:rsidP="00DE1FD4">
      <w:pPr>
        <w:rPr>
          <w:rFonts w:ascii="Book Antiqua" w:hAnsi="Book Antiqua" w:cs="Arial"/>
          <w:color w:val="000000"/>
        </w:rPr>
      </w:pPr>
    </w:p>
    <w:p w14:paraId="271CCD11"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16F3DA39" w14:textId="74F1ED73" w:rsidR="00C345E1" w:rsidRDefault="00C345E1" w:rsidP="00DE1FD4">
      <w:pPr>
        <w:rPr>
          <w:rFonts w:ascii="Book Antiqua" w:hAnsi="Book Antiqua" w:cs="Arial"/>
          <w:b/>
          <w:u w:val="single"/>
        </w:rPr>
      </w:pPr>
    </w:p>
    <w:p w14:paraId="002F4327" w14:textId="77777777" w:rsidR="000C42A8" w:rsidRPr="009B7433" w:rsidRDefault="000C42A8" w:rsidP="00DE1FD4">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7C63A9B3" w14:textId="77777777" w:rsidTr="00D949B7">
        <w:tc>
          <w:tcPr>
            <w:tcW w:w="6048" w:type="dxa"/>
          </w:tcPr>
          <w:p w14:paraId="24077667"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CE08DF">
              <w:rPr>
                <w:rFonts w:ascii="Book Antiqua" w:hAnsi="Book Antiqua" w:cs="Arial"/>
                <w:b/>
              </w:rPr>
              <w:t>Field House</w:t>
            </w:r>
          </w:p>
        </w:tc>
        <w:tc>
          <w:tcPr>
            <w:tcW w:w="3960" w:type="dxa"/>
          </w:tcPr>
          <w:p w14:paraId="4D562203"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56BDE59F" w14:textId="77777777" w:rsidTr="00D949B7">
        <w:tc>
          <w:tcPr>
            <w:tcW w:w="6048" w:type="dxa"/>
          </w:tcPr>
          <w:p w14:paraId="1672255A"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CE08DF">
              <w:rPr>
                <w:rFonts w:ascii="Book Antiqua" w:hAnsi="Book Antiqua" w:cs="Arial"/>
                <w:b/>
              </w:rPr>
              <w:t>4 June 2018</w:t>
            </w:r>
          </w:p>
        </w:tc>
        <w:tc>
          <w:tcPr>
            <w:tcW w:w="3960" w:type="dxa"/>
          </w:tcPr>
          <w:p w14:paraId="340FA1C6" w14:textId="6D71A588" w:rsidR="00D22636" w:rsidRPr="009B7433" w:rsidRDefault="0068413E" w:rsidP="004A1848">
            <w:pPr>
              <w:jc w:val="both"/>
              <w:rPr>
                <w:rFonts w:ascii="Book Antiqua" w:hAnsi="Book Antiqua" w:cs="Arial"/>
                <w:b/>
              </w:rPr>
            </w:pPr>
            <w:r>
              <w:rPr>
                <w:rFonts w:ascii="Book Antiqua" w:hAnsi="Book Antiqua" w:cs="Arial"/>
                <w:b/>
              </w:rPr>
              <w:t>On 21 June 2018</w:t>
            </w:r>
          </w:p>
        </w:tc>
      </w:tr>
      <w:tr w:rsidR="00D22636" w:rsidRPr="009B7433" w14:paraId="7B765291" w14:textId="77777777" w:rsidTr="00D949B7">
        <w:tc>
          <w:tcPr>
            <w:tcW w:w="6048" w:type="dxa"/>
          </w:tcPr>
          <w:p w14:paraId="4E1EE38C" w14:textId="77777777" w:rsidR="00D22636" w:rsidRPr="009B7433" w:rsidRDefault="00D22636" w:rsidP="004A1848">
            <w:pPr>
              <w:jc w:val="both"/>
              <w:rPr>
                <w:rFonts w:ascii="Book Antiqua" w:hAnsi="Book Antiqua" w:cs="Arial"/>
                <w:b/>
              </w:rPr>
            </w:pPr>
          </w:p>
        </w:tc>
        <w:tc>
          <w:tcPr>
            <w:tcW w:w="3960" w:type="dxa"/>
          </w:tcPr>
          <w:p w14:paraId="120C4316" w14:textId="3B6E216D" w:rsidR="00D22636" w:rsidRPr="009B7433" w:rsidRDefault="00D22636" w:rsidP="004A1848">
            <w:pPr>
              <w:jc w:val="both"/>
              <w:rPr>
                <w:rFonts w:ascii="Book Antiqua" w:hAnsi="Book Antiqua" w:cs="Arial"/>
                <w:b/>
              </w:rPr>
            </w:pPr>
          </w:p>
        </w:tc>
      </w:tr>
    </w:tbl>
    <w:p w14:paraId="18CF86EE" w14:textId="77777777" w:rsidR="00A15234" w:rsidRPr="009B7433" w:rsidRDefault="00A15234" w:rsidP="00243685">
      <w:pPr>
        <w:rPr>
          <w:rFonts w:ascii="Book Antiqua" w:hAnsi="Book Antiqua" w:cs="Arial"/>
        </w:rPr>
      </w:pPr>
    </w:p>
    <w:p w14:paraId="579C4342" w14:textId="5A5D8C58" w:rsidR="00A15234" w:rsidRDefault="00207617" w:rsidP="00243685">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51DDF2C5" w14:textId="77777777" w:rsidR="000C42A8" w:rsidRPr="009B7433" w:rsidRDefault="000C42A8" w:rsidP="00243685">
      <w:pPr>
        <w:jc w:val="center"/>
        <w:rPr>
          <w:rFonts w:ascii="Book Antiqua" w:hAnsi="Book Antiqua" w:cs="Arial"/>
          <w:b/>
        </w:rPr>
      </w:pPr>
    </w:p>
    <w:p w14:paraId="20CD2B72" w14:textId="77777777" w:rsidR="004A2D15" w:rsidRPr="001C5703" w:rsidRDefault="00FE6895" w:rsidP="004A2D15">
      <w:pPr>
        <w:jc w:val="center"/>
        <w:rPr>
          <w:rFonts w:ascii="Book Antiqua" w:hAnsi="Book Antiqua" w:cs="Arial"/>
          <w:b/>
          <w:color w:val="000000"/>
        </w:rPr>
      </w:pPr>
      <w:r>
        <w:rPr>
          <w:rFonts w:ascii="Book Antiqua" w:hAnsi="Book Antiqua" w:cs="Arial"/>
          <w:b/>
          <w:color w:val="000000"/>
        </w:rPr>
        <w:t>DEPUTY UPPER TRIBUNAL JUDGE NORTON-TAYLOR</w:t>
      </w:r>
    </w:p>
    <w:p w14:paraId="7A08808A" w14:textId="13FB38AE" w:rsidR="00D20757" w:rsidRDefault="00D20757" w:rsidP="00A15234">
      <w:pPr>
        <w:jc w:val="center"/>
        <w:rPr>
          <w:rFonts w:ascii="Book Antiqua" w:hAnsi="Book Antiqua" w:cs="Arial"/>
          <w:b/>
        </w:rPr>
      </w:pPr>
    </w:p>
    <w:p w14:paraId="27BA1B2B" w14:textId="77777777" w:rsidR="000C42A8" w:rsidRPr="009B7433" w:rsidRDefault="000C42A8" w:rsidP="00A15234">
      <w:pPr>
        <w:jc w:val="center"/>
        <w:rPr>
          <w:rFonts w:ascii="Book Antiqua" w:hAnsi="Book Antiqua" w:cs="Arial"/>
          <w:b/>
        </w:rPr>
      </w:pPr>
    </w:p>
    <w:p w14:paraId="33381CF4"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0ABB88FF" w14:textId="77777777" w:rsidR="00A845DC" w:rsidRPr="009B7433" w:rsidRDefault="00A845DC" w:rsidP="00A15234">
      <w:pPr>
        <w:jc w:val="center"/>
        <w:rPr>
          <w:rFonts w:ascii="Book Antiqua" w:hAnsi="Book Antiqua" w:cs="Arial"/>
          <w:b/>
        </w:rPr>
      </w:pPr>
    </w:p>
    <w:p w14:paraId="578355A2" w14:textId="77777777" w:rsidR="00A845DC" w:rsidRDefault="00DE1FD4" w:rsidP="00A15234">
      <w:pPr>
        <w:jc w:val="center"/>
        <w:rPr>
          <w:rFonts w:ascii="Book Antiqua" w:hAnsi="Book Antiqua" w:cs="Arial"/>
          <w:b/>
          <w:caps/>
        </w:rPr>
      </w:pPr>
      <w:r>
        <w:rPr>
          <w:rFonts w:ascii="Book Antiqua" w:hAnsi="Book Antiqua" w:cs="Arial"/>
          <w:b/>
          <w:caps/>
        </w:rPr>
        <w:t>a s (first Appellant)</w:t>
      </w:r>
    </w:p>
    <w:p w14:paraId="64790E20" w14:textId="77777777" w:rsidR="00CE08DF" w:rsidRDefault="00DE1FD4" w:rsidP="00A15234">
      <w:pPr>
        <w:jc w:val="center"/>
        <w:rPr>
          <w:rFonts w:ascii="Book Antiqua" w:hAnsi="Book Antiqua" w:cs="Arial"/>
          <w:b/>
          <w:caps/>
        </w:rPr>
      </w:pPr>
      <w:r>
        <w:rPr>
          <w:rFonts w:ascii="Book Antiqua" w:hAnsi="Book Antiqua" w:cs="Arial"/>
          <w:b/>
          <w:caps/>
        </w:rPr>
        <w:t>p s (second Appellant)</w:t>
      </w:r>
    </w:p>
    <w:p w14:paraId="131FDF82" w14:textId="77777777" w:rsidR="00CE08DF" w:rsidRDefault="00DE1FD4" w:rsidP="00A15234">
      <w:pPr>
        <w:jc w:val="center"/>
        <w:rPr>
          <w:rFonts w:ascii="Book Antiqua" w:hAnsi="Book Antiqua" w:cs="Arial"/>
          <w:b/>
          <w:caps/>
        </w:rPr>
      </w:pPr>
      <w:r>
        <w:rPr>
          <w:rFonts w:ascii="Book Antiqua" w:hAnsi="Book Antiqua" w:cs="Arial"/>
          <w:b/>
          <w:caps/>
        </w:rPr>
        <w:t>m s (third Appellant)</w:t>
      </w:r>
    </w:p>
    <w:p w14:paraId="48CE37B2" w14:textId="77777777" w:rsidR="00CE08DF" w:rsidRDefault="00DE1FD4" w:rsidP="00A15234">
      <w:pPr>
        <w:jc w:val="center"/>
        <w:rPr>
          <w:rFonts w:ascii="Book Antiqua" w:hAnsi="Book Antiqua" w:cs="Arial"/>
          <w:b/>
          <w:caps/>
        </w:rPr>
      </w:pPr>
      <w:r>
        <w:rPr>
          <w:rFonts w:ascii="Book Antiqua" w:hAnsi="Book Antiqua" w:cs="Arial"/>
          <w:b/>
          <w:caps/>
        </w:rPr>
        <w:t>a h (fourth Appellant)</w:t>
      </w:r>
    </w:p>
    <w:p w14:paraId="2A3B8DB8" w14:textId="77777777" w:rsidR="00CE08DF" w:rsidRDefault="00DE1FD4" w:rsidP="00A15234">
      <w:pPr>
        <w:jc w:val="center"/>
        <w:rPr>
          <w:rFonts w:ascii="Book Antiqua" w:hAnsi="Book Antiqua" w:cs="Arial"/>
          <w:b/>
          <w:caps/>
        </w:rPr>
      </w:pPr>
      <w:r>
        <w:rPr>
          <w:rFonts w:ascii="Book Antiqua" w:hAnsi="Book Antiqua" w:cs="Arial"/>
          <w:b/>
          <w:caps/>
        </w:rPr>
        <w:t>ma s (fifth Appellant)</w:t>
      </w:r>
    </w:p>
    <w:p w14:paraId="483DE456" w14:textId="650B4978" w:rsidR="00704B61" w:rsidRPr="00243685" w:rsidRDefault="00D949B7" w:rsidP="00243685">
      <w:pPr>
        <w:jc w:val="center"/>
        <w:rPr>
          <w:rFonts w:ascii="Book Antiqua" w:hAnsi="Book Antiqua" w:cs="Arial"/>
          <w:b/>
          <w:caps/>
        </w:rPr>
      </w:pPr>
      <w:r w:rsidRPr="00D949B7">
        <w:rPr>
          <w:rFonts w:ascii="Book Antiqua" w:hAnsi="Book Antiqua" w:cs="Arial"/>
          <w:b/>
          <w:caps/>
        </w:rPr>
        <w:t>(ANONYMITY DIRECTION</w:t>
      </w:r>
      <w:r w:rsidR="00DE1FD4">
        <w:rPr>
          <w:rFonts w:ascii="Book Antiqua" w:hAnsi="Book Antiqua" w:cs="Arial"/>
          <w:b/>
          <w:caps/>
        </w:rPr>
        <w:t xml:space="preserve"> made</w:t>
      </w:r>
      <w:r w:rsidRPr="00D949B7">
        <w:rPr>
          <w:rFonts w:ascii="Book Antiqua" w:hAnsi="Book Antiqua" w:cs="Arial"/>
          <w:b/>
          <w:caps/>
        </w:rPr>
        <w:t>)</w:t>
      </w:r>
    </w:p>
    <w:p w14:paraId="096D9C2D"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r w:rsidR="006C737E">
        <w:rPr>
          <w:rFonts w:ascii="Book Antiqua" w:hAnsi="Book Antiqua" w:cs="Arial"/>
          <w:u w:val="single"/>
        </w:rPr>
        <w:t>s</w:t>
      </w:r>
    </w:p>
    <w:p w14:paraId="4D0D1129"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09582F2F" w14:textId="77777777" w:rsidR="00DD5071" w:rsidRPr="009B7433" w:rsidRDefault="00DD5071" w:rsidP="00704B61">
      <w:pPr>
        <w:jc w:val="center"/>
        <w:rPr>
          <w:rFonts w:ascii="Book Antiqua" w:hAnsi="Book Antiqua" w:cs="Arial"/>
          <w:b/>
        </w:rPr>
      </w:pPr>
    </w:p>
    <w:p w14:paraId="6243B674" w14:textId="7D0E5D34" w:rsidR="00DD5071" w:rsidRPr="009B7433" w:rsidRDefault="00DD5071" w:rsidP="00243685">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0"/>
    </w:p>
    <w:p w14:paraId="5ABB5F99"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3C4287C0" w14:textId="77777777" w:rsidR="00DD5071" w:rsidRDefault="00DD5071" w:rsidP="00DD5071">
      <w:pPr>
        <w:rPr>
          <w:rFonts w:ascii="Book Antiqua" w:hAnsi="Book Antiqua" w:cs="Arial"/>
          <w:u w:val="single"/>
        </w:rPr>
      </w:pPr>
    </w:p>
    <w:p w14:paraId="40D55C85" w14:textId="77777777" w:rsidR="00243685" w:rsidRPr="00D949B7" w:rsidRDefault="00243685" w:rsidP="00243685">
      <w:pPr>
        <w:spacing w:before="240"/>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14:paraId="544B3A60" w14:textId="77777777" w:rsidR="00243685" w:rsidRPr="00243685" w:rsidRDefault="00243685" w:rsidP="00243685">
      <w:pPr>
        <w:spacing w:before="240"/>
        <w:jc w:val="both"/>
        <w:rPr>
          <w:rFonts w:ascii="Book Antiqua" w:hAnsi="Book Antiqua" w:cs="Arial"/>
          <w:b/>
        </w:rPr>
      </w:pPr>
      <w:r w:rsidRPr="00243685">
        <w:rPr>
          <w:rFonts w:ascii="Book Antiqua" w:hAnsi="Book Antiqua" w:cs="Arial"/>
          <w:b/>
        </w:rPr>
        <w:t xml:space="preserve">Unless and </w:t>
      </w:r>
      <w:r w:rsidRPr="00243685">
        <w:rPr>
          <w:rFonts w:ascii="Book Antiqua" w:hAnsi="Book Antiqua"/>
          <w:b/>
        </w:rPr>
        <w:t>until a Tribunal or court directs otherwise, the A</w:t>
      </w:r>
      <w:r>
        <w:rPr>
          <w:rFonts w:ascii="Book Antiqua" w:hAnsi="Book Antiqua"/>
          <w:b/>
        </w:rPr>
        <w:t>ppellants are</w:t>
      </w:r>
      <w:r w:rsidRPr="00243685">
        <w:rPr>
          <w:rFonts w:ascii="Book Antiqua" w:hAnsi="Book Antiqua"/>
          <w:b/>
        </w:rPr>
        <w:t xml:space="preserve"> granted anonymity.  No report of these proceedings shall directly or indirectly identify </w:t>
      </w:r>
      <w:r>
        <w:rPr>
          <w:rFonts w:ascii="Book Antiqua" w:hAnsi="Book Antiqua"/>
          <w:b/>
        </w:rPr>
        <w:t>them</w:t>
      </w:r>
      <w:r w:rsidRPr="00243685">
        <w:rPr>
          <w:rFonts w:ascii="Book Antiqua" w:hAnsi="Book Antiqua"/>
          <w:b/>
        </w:rPr>
        <w:t xml:space="preserve">.  </w:t>
      </w:r>
      <w:r w:rsidRPr="00243685">
        <w:rPr>
          <w:rFonts w:ascii="Book Antiqua" w:hAnsi="Book Antiqua"/>
          <w:b/>
        </w:rPr>
        <w:lastRenderedPageBreak/>
        <w:t>This direction applies both to the Appellant</w:t>
      </w:r>
      <w:r>
        <w:rPr>
          <w:rFonts w:ascii="Book Antiqua" w:hAnsi="Book Antiqua"/>
          <w:b/>
        </w:rPr>
        <w:t>s</w:t>
      </w:r>
      <w:r w:rsidRPr="00243685">
        <w:rPr>
          <w:rFonts w:ascii="Book Antiqua" w:hAnsi="Book Antiqua"/>
          <w:b/>
        </w:rPr>
        <w:t xml:space="preserve"> and to the Respondent.  Failure to </w:t>
      </w:r>
      <w:bookmarkStart w:id="1" w:name="_GoBack"/>
      <w:bookmarkEnd w:id="1"/>
      <w:r w:rsidRPr="00243685">
        <w:rPr>
          <w:rFonts w:ascii="Book Antiqua" w:hAnsi="Book Antiqua"/>
          <w:b/>
        </w:rPr>
        <w:t>comply with this direction could lead to contempt of court proceedings.</w:t>
      </w:r>
    </w:p>
    <w:p w14:paraId="591DC4E9" w14:textId="77777777" w:rsidR="00243685" w:rsidRDefault="00243685" w:rsidP="00DD5071">
      <w:pPr>
        <w:rPr>
          <w:rFonts w:ascii="Book Antiqua" w:hAnsi="Book Antiqua" w:cs="Arial"/>
          <w:u w:val="single"/>
        </w:rPr>
      </w:pPr>
    </w:p>
    <w:p w14:paraId="6617F9C1" w14:textId="77777777" w:rsidR="00243685" w:rsidRPr="009B7433" w:rsidRDefault="00243685" w:rsidP="00DD5071">
      <w:pPr>
        <w:rPr>
          <w:rFonts w:ascii="Book Antiqua" w:hAnsi="Book Antiqua" w:cs="Arial"/>
          <w:u w:val="single"/>
        </w:rPr>
      </w:pPr>
    </w:p>
    <w:p w14:paraId="5F5E94B5" w14:textId="77777777" w:rsidR="00DE7DB7"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4A7BDA4A"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CE08DF">
        <w:rPr>
          <w:rFonts w:ascii="Book Antiqua" w:hAnsi="Book Antiqua" w:cs="Arial"/>
        </w:rPr>
        <w:t>Mr S Harding, Counsel</w:t>
      </w:r>
      <w:r w:rsidR="00DE1FD4">
        <w:rPr>
          <w:rFonts w:ascii="Book Antiqua" w:hAnsi="Book Antiqua" w:cs="Arial"/>
        </w:rPr>
        <w:t>, insitructed by J McCarthy Solicitors</w:t>
      </w:r>
    </w:p>
    <w:p w14:paraId="0C72305D" w14:textId="77777777" w:rsidR="00DE7DB7"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CE08DF">
        <w:rPr>
          <w:rFonts w:ascii="Book Antiqua" w:hAnsi="Book Antiqua" w:cs="Arial"/>
        </w:rPr>
        <w:t>M</w:t>
      </w:r>
      <w:r w:rsidR="00DF4F70">
        <w:rPr>
          <w:rFonts w:ascii="Book Antiqua" w:hAnsi="Book Antiqua" w:cs="Arial"/>
        </w:rPr>
        <w:t>s</w:t>
      </w:r>
      <w:r w:rsidR="00CE08DF">
        <w:rPr>
          <w:rFonts w:ascii="Book Antiqua" w:hAnsi="Book Antiqua" w:cs="Arial"/>
        </w:rPr>
        <w:t xml:space="preserve"> K Pal, </w:t>
      </w:r>
      <w:r w:rsidR="00DE1FD4">
        <w:rPr>
          <w:rFonts w:ascii="Book Antiqua" w:hAnsi="Book Antiqua" w:cs="Arial"/>
        </w:rPr>
        <w:t xml:space="preserve">Senior </w:t>
      </w:r>
      <w:r w:rsidR="00CE08DF">
        <w:rPr>
          <w:rFonts w:ascii="Book Antiqua" w:hAnsi="Book Antiqua" w:cs="Arial"/>
        </w:rPr>
        <w:t>Home Office Presenting Officer</w:t>
      </w:r>
    </w:p>
    <w:p w14:paraId="32DBCF0F" w14:textId="77777777" w:rsidR="00243685" w:rsidRDefault="00243685" w:rsidP="00DE7DB7">
      <w:pPr>
        <w:tabs>
          <w:tab w:val="left" w:pos="2520"/>
        </w:tabs>
        <w:rPr>
          <w:rFonts w:ascii="Book Antiqua" w:hAnsi="Book Antiqua" w:cs="Arial"/>
        </w:rPr>
      </w:pPr>
    </w:p>
    <w:p w14:paraId="13B60D58" w14:textId="77777777" w:rsidR="00DE1FD4" w:rsidRPr="009B7433" w:rsidRDefault="00DE1FD4" w:rsidP="00DE7DB7">
      <w:pPr>
        <w:tabs>
          <w:tab w:val="left" w:pos="2520"/>
        </w:tabs>
        <w:rPr>
          <w:rFonts w:ascii="Book Antiqua" w:hAnsi="Book Antiqua" w:cs="Arial"/>
        </w:rPr>
      </w:pPr>
    </w:p>
    <w:p w14:paraId="4A2AAD3A"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6244761D" w14:textId="77777777" w:rsidR="00D609F4" w:rsidRDefault="00CE08DF"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This is a challenge </w:t>
      </w:r>
      <w:r w:rsidR="007E24C3">
        <w:rPr>
          <w:rFonts w:ascii="Book Antiqua" w:hAnsi="Book Antiqua" w:cs="Arial"/>
        </w:rPr>
        <w:t>by the five A</w:t>
      </w:r>
      <w:r>
        <w:rPr>
          <w:rFonts w:ascii="Book Antiqua" w:hAnsi="Book Antiqua" w:cs="Arial"/>
        </w:rPr>
        <w:t>ppellants against the decision of First-tier Tribunal Judge Rodger (the judge)</w:t>
      </w:r>
      <w:r w:rsidR="00DE1FD4">
        <w:rPr>
          <w:rFonts w:ascii="Book Antiqua" w:hAnsi="Book Antiqua" w:cs="Arial"/>
        </w:rPr>
        <w:t>,</w:t>
      </w:r>
      <w:r>
        <w:rPr>
          <w:rFonts w:ascii="Book Antiqua" w:hAnsi="Book Antiqua" w:cs="Arial"/>
        </w:rPr>
        <w:t xml:space="preserve"> promulgated on 11 August 2017</w:t>
      </w:r>
      <w:r w:rsidR="00DE1FD4">
        <w:rPr>
          <w:rFonts w:ascii="Book Antiqua" w:hAnsi="Book Antiqua" w:cs="Arial"/>
        </w:rPr>
        <w:t>,</w:t>
      </w:r>
      <w:r>
        <w:rPr>
          <w:rFonts w:ascii="Book Antiqua" w:hAnsi="Book Antiqua" w:cs="Arial"/>
        </w:rPr>
        <w:t xml:space="preserve"> in which he dismissed their appeals against the </w:t>
      </w:r>
      <w:r w:rsidR="007E24C3">
        <w:rPr>
          <w:rFonts w:ascii="Book Antiqua" w:hAnsi="Book Antiqua" w:cs="Arial"/>
        </w:rPr>
        <w:t>R</w:t>
      </w:r>
      <w:r>
        <w:rPr>
          <w:rFonts w:ascii="Book Antiqua" w:hAnsi="Book Antiqua" w:cs="Arial"/>
        </w:rPr>
        <w:t>espondent’s decisions of 6 January 2017.</w:t>
      </w:r>
      <w:r w:rsidR="00DE1FD4">
        <w:rPr>
          <w:rFonts w:ascii="Book Antiqua" w:hAnsi="Book Antiqua" w:cs="Arial"/>
        </w:rPr>
        <w:t xml:space="preserve">  By those decisions, t</w:t>
      </w:r>
      <w:r w:rsidR="007E24C3">
        <w:rPr>
          <w:rFonts w:ascii="Book Antiqua" w:hAnsi="Book Antiqua" w:cs="Arial"/>
        </w:rPr>
        <w:t>he Respondent had refused the protection and human rights claims of the Appellants.  In essence the claims were based upon the first Appellant’s particular historical profile.  This involved the facts, accepted by the Respondent from the outset, that he had been involve</w:t>
      </w:r>
      <w:r w:rsidR="00DE1FD4">
        <w:rPr>
          <w:rFonts w:ascii="Book Antiqua" w:hAnsi="Book Antiqua" w:cs="Arial"/>
        </w:rPr>
        <w:t>d in supplying missiles from</w:t>
      </w:r>
      <w:r w:rsidR="007E24C3">
        <w:rPr>
          <w:rFonts w:ascii="Book Antiqua" w:hAnsi="Book Antiqua" w:cs="Arial"/>
        </w:rPr>
        <w:t xml:space="preserve"> US forces to Pakistani authorities and his involvement in opening up a school and a clinic in conjunction with a US citizen.  These institutions were there to assist both male and female students.  The Appellants</w:t>
      </w:r>
      <w:r w:rsidR="00DE1FD4">
        <w:rPr>
          <w:rFonts w:ascii="Book Antiqua" w:hAnsi="Book Antiqua" w:cs="Arial"/>
        </w:rPr>
        <w:t xml:space="preserve">, who </w:t>
      </w:r>
      <w:r w:rsidR="007E24C3">
        <w:rPr>
          <w:rFonts w:ascii="Book Antiqua" w:hAnsi="Book Antiqua" w:cs="Arial"/>
        </w:rPr>
        <w:t>lived in Peshawar</w:t>
      </w:r>
      <w:r w:rsidR="00DE1FD4">
        <w:rPr>
          <w:rFonts w:ascii="Book Antiqua" w:hAnsi="Book Antiqua" w:cs="Arial"/>
        </w:rPr>
        <w:t>,</w:t>
      </w:r>
      <w:r w:rsidR="007E24C3">
        <w:rPr>
          <w:rFonts w:ascii="Book Antiqua" w:hAnsi="Book Antiqua" w:cs="Arial"/>
        </w:rPr>
        <w:t xml:space="preserve"> had received threats from</w:t>
      </w:r>
      <w:r w:rsidR="00DE1FD4">
        <w:rPr>
          <w:rFonts w:ascii="Book Antiqua" w:hAnsi="Book Antiqua" w:cs="Arial"/>
        </w:rPr>
        <w:t xml:space="preserve"> the Taliban in the past, and </w:t>
      </w:r>
      <w:r w:rsidR="007E24C3">
        <w:rPr>
          <w:rFonts w:ascii="Book Antiqua" w:hAnsi="Book Antiqua" w:cs="Arial"/>
        </w:rPr>
        <w:t xml:space="preserve">this </w:t>
      </w:r>
      <w:r w:rsidR="00DE1FD4">
        <w:rPr>
          <w:rFonts w:ascii="Book Antiqua" w:hAnsi="Book Antiqua" w:cs="Arial"/>
        </w:rPr>
        <w:t xml:space="preserve">too </w:t>
      </w:r>
      <w:r w:rsidR="007E24C3">
        <w:rPr>
          <w:rFonts w:ascii="Book Antiqua" w:hAnsi="Book Antiqua" w:cs="Arial"/>
        </w:rPr>
        <w:t>had been accepted by the Respondent at first instance.</w:t>
      </w:r>
    </w:p>
    <w:p w14:paraId="777433E3" w14:textId="77777777" w:rsidR="00DE1FD4" w:rsidRDefault="00DE1FD4" w:rsidP="00DE1FD4">
      <w:pPr>
        <w:spacing w:before="240"/>
        <w:ind w:left="567"/>
        <w:jc w:val="both"/>
        <w:rPr>
          <w:rFonts w:ascii="Book Antiqua" w:hAnsi="Book Antiqua" w:cs="Arial"/>
        </w:rPr>
      </w:pPr>
    </w:p>
    <w:p w14:paraId="3FF7873F" w14:textId="77777777" w:rsidR="007E24C3" w:rsidRDefault="00DE1FD4" w:rsidP="00512F8C">
      <w:pPr>
        <w:spacing w:before="240"/>
        <w:jc w:val="both"/>
        <w:rPr>
          <w:rFonts w:ascii="Book Antiqua" w:hAnsi="Book Antiqua" w:cs="Arial"/>
        </w:rPr>
      </w:pPr>
      <w:r>
        <w:rPr>
          <w:rFonts w:ascii="Book Antiqua" w:hAnsi="Book Antiqua" w:cs="Arial"/>
          <w:b/>
          <w:u w:val="single"/>
        </w:rPr>
        <w:t>The judges’ d</w:t>
      </w:r>
      <w:r w:rsidR="007E24C3">
        <w:rPr>
          <w:rFonts w:ascii="Book Antiqua" w:hAnsi="Book Antiqua" w:cs="Arial"/>
          <w:b/>
          <w:u w:val="single"/>
        </w:rPr>
        <w:t>ecision</w:t>
      </w:r>
    </w:p>
    <w:p w14:paraId="160C586D" w14:textId="77777777" w:rsidR="007E24C3" w:rsidRDefault="007E24C3"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In what is in many respects a careful and </w:t>
      </w:r>
      <w:r w:rsidR="00B16E35">
        <w:rPr>
          <w:rFonts w:ascii="Book Antiqua" w:hAnsi="Book Antiqua" w:cs="Arial"/>
        </w:rPr>
        <w:t>well-structured</w:t>
      </w:r>
      <w:r>
        <w:rPr>
          <w:rFonts w:ascii="Book Antiqua" w:hAnsi="Book Antiqua" w:cs="Arial"/>
        </w:rPr>
        <w:t xml:space="preserve"> decision</w:t>
      </w:r>
      <w:r w:rsidR="00512F8C">
        <w:rPr>
          <w:rFonts w:ascii="Book Antiqua" w:hAnsi="Book Antiqua" w:cs="Arial"/>
        </w:rPr>
        <w:t>,</w:t>
      </w:r>
      <w:r>
        <w:rPr>
          <w:rFonts w:ascii="Book Antiqua" w:hAnsi="Book Antiqua" w:cs="Arial"/>
        </w:rPr>
        <w:t xml:space="preserve"> the judge follows the Respondent’s concessions of fact in relation to the first Appellant’s background.  He places significant weight upon an expert report from Dr Giustozzi.  The judge concludes that the Appellants were at risk of persecution and/or Article 3 treatment in their home area.  This risk was said to </w:t>
      </w:r>
      <w:r w:rsidR="00B16E35">
        <w:rPr>
          <w:rFonts w:ascii="Book Antiqua" w:hAnsi="Book Antiqua" w:cs="Arial"/>
        </w:rPr>
        <w:t>come from the Taliban and the TP</w:t>
      </w:r>
      <w:r w:rsidR="00C70A4E">
        <w:rPr>
          <w:rFonts w:ascii="Book Antiqua" w:hAnsi="Book Antiqua" w:cs="Arial"/>
        </w:rPr>
        <w:t>P (see [</w:t>
      </w:r>
      <w:r>
        <w:rPr>
          <w:rFonts w:ascii="Book Antiqua" w:hAnsi="Book Antiqua" w:cs="Arial"/>
        </w:rPr>
        <w:t>60</w:t>
      </w:r>
      <w:r w:rsidR="00C70A4E">
        <w:rPr>
          <w:rFonts w:ascii="Book Antiqua" w:hAnsi="Book Antiqua" w:cs="Arial"/>
        </w:rPr>
        <w:t>]</w:t>
      </w:r>
      <w:r>
        <w:rPr>
          <w:rFonts w:ascii="Book Antiqua" w:hAnsi="Book Antiqua" w:cs="Arial"/>
        </w:rPr>
        <w:t xml:space="preserve">).  The judge was of the view that the core issue in the appeals was that of internal relocation.  He took into account the fact that the first Appellant had been able to conduct certain business activities in Islamabad in the past and was able to earn what he regarded as sufficient sums to have funded overseas trips for himself and </w:t>
      </w:r>
      <w:r w:rsidR="00604A72">
        <w:rPr>
          <w:rFonts w:ascii="Book Antiqua" w:hAnsi="Book Antiqua" w:cs="Arial"/>
        </w:rPr>
        <w:t xml:space="preserve">his family to </w:t>
      </w:r>
      <w:r w:rsidR="00C70A4E">
        <w:rPr>
          <w:rFonts w:ascii="Book Antiqua" w:hAnsi="Book Antiqua" w:cs="Arial"/>
        </w:rPr>
        <w:t xml:space="preserve">come to the United Kingdom.  </w:t>
      </w:r>
      <w:r w:rsidR="00604A72">
        <w:rPr>
          <w:rFonts w:ascii="Book Antiqua" w:hAnsi="Book Antiqua" w:cs="Arial"/>
        </w:rPr>
        <w:t>Importantly, the judge then goes on in several paragraphs to find that the first Appellant and his family members could “reduce the risk” to them from the Taliban and/or the T</w:t>
      </w:r>
      <w:r w:rsidR="00B16E35">
        <w:rPr>
          <w:rFonts w:ascii="Book Antiqua" w:hAnsi="Book Antiqua" w:cs="Arial"/>
        </w:rPr>
        <w:t>P</w:t>
      </w:r>
      <w:r w:rsidR="00604A72">
        <w:rPr>
          <w:rFonts w:ascii="Book Antiqua" w:hAnsi="Book Antiqua" w:cs="Arial"/>
        </w:rPr>
        <w:t xml:space="preserve">P by going to live in </w:t>
      </w:r>
      <w:r w:rsidR="00C70A4E">
        <w:rPr>
          <w:rFonts w:ascii="Book Antiqua" w:hAnsi="Book Antiqua" w:cs="Arial"/>
        </w:rPr>
        <w:t>what he variously describes as “</w:t>
      </w:r>
      <w:r w:rsidR="00604A72">
        <w:rPr>
          <w:rFonts w:ascii="Book Antiqua" w:hAnsi="Book Antiqua" w:cs="Arial"/>
        </w:rPr>
        <w:t>safe parts</w:t>
      </w:r>
      <w:r w:rsidR="00C70A4E">
        <w:rPr>
          <w:rFonts w:ascii="Book Antiqua" w:hAnsi="Book Antiqua" w:cs="Arial"/>
        </w:rPr>
        <w:t>”/”safer neighbourhoods”/’safer parts”</w:t>
      </w:r>
      <w:r w:rsidR="00604A72">
        <w:rPr>
          <w:rFonts w:ascii="Book Antiqua" w:hAnsi="Book Antiqua" w:cs="Arial"/>
        </w:rPr>
        <w:t xml:space="preserve"> of other cities in Pakistan, including Islamabad.  Reference t</w:t>
      </w:r>
      <w:r w:rsidR="00C70A4E">
        <w:rPr>
          <w:rFonts w:ascii="Book Antiqua" w:hAnsi="Book Antiqua" w:cs="Arial"/>
        </w:rPr>
        <w:t>o these locations are contained in [</w:t>
      </w:r>
      <w:r w:rsidR="00604A72">
        <w:rPr>
          <w:rFonts w:ascii="Book Antiqua" w:hAnsi="Book Antiqua" w:cs="Arial"/>
        </w:rPr>
        <w:t>64</w:t>
      </w:r>
      <w:r w:rsidR="00C70A4E">
        <w:rPr>
          <w:rFonts w:ascii="Book Antiqua" w:hAnsi="Book Antiqua" w:cs="Arial"/>
        </w:rPr>
        <w:t>]</w:t>
      </w:r>
      <w:r w:rsidR="00604A72">
        <w:rPr>
          <w:rFonts w:ascii="Book Antiqua" w:hAnsi="Book Antiqua" w:cs="Arial"/>
        </w:rPr>
        <w:t xml:space="preserve">, </w:t>
      </w:r>
      <w:r w:rsidR="00C70A4E">
        <w:rPr>
          <w:rFonts w:ascii="Book Antiqua" w:hAnsi="Book Antiqua" w:cs="Arial"/>
        </w:rPr>
        <w:t>[</w:t>
      </w:r>
      <w:r w:rsidR="00604A72">
        <w:rPr>
          <w:rFonts w:ascii="Book Antiqua" w:hAnsi="Book Antiqua" w:cs="Arial"/>
        </w:rPr>
        <w:t>68</w:t>
      </w:r>
      <w:r w:rsidR="00C70A4E">
        <w:rPr>
          <w:rFonts w:ascii="Book Antiqua" w:hAnsi="Book Antiqua" w:cs="Arial"/>
        </w:rPr>
        <w:t>]</w:t>
      </w:r>
      <w:r w:rsidR="00604A72">
        <w:rPr>
          <w:rFonts w:ascii="Book Antiqua" w:hAnsi="Book Antiqua" w:cs="Arial"/>
        </w:rPr>
        <w:t xml:space="preserve">, </w:t>
      </w:r>
      <w:r w:rsidR="00C70A4E">
        <w:rPr>
          <w:rFonts w:ascii="Book Antiqua" w:hAnsi="Book Antiqua" w:cs="Arial"/>
        </w:rPr>
        <w:t>[</w:t>
      </w:r>
      <w:r w:rsidR="00604A72">
        <w:rPr>
          <w:rFonts w:ascii="Book Antiqua" w:hAnsi="Book Antiqua" w:cs="Arial"/>
        </w:rPr>
        <w:t>69</w:t>
      </w:r>
      <w:r w:rsidR="00C70A4E">
        <w:rPr>
          <w:rFonts w:ascii="Book Antiqua" w:hAnsi="Book Antiqua" w:cs="Arial"/>
        </w:rPr>
        <w:t>]</w:t>
      </w:r>
      <w:r w:rsidR="00604A72">
        <w:rPr>
          <w:rFonts w:ascii="Book Antiqua" w:hAnsi="Book Antiqua" w:cs="Arial"/>
        </w:rPr>
        <w:t xml:space="preserve">, </w:t>
      </w:r>
      <w:r w:rsidR="00C70A4E">
        <w:rPr>
          <w:rFonts w:ascii="Book Antiqua" w:hAnsi="Book Antiqua" w:cs="Arial"/>
        </w:rPr>
        <w:t>[</w:t>
      </w:r>
      <w:r w:rsidR="00604A72">
        <w:rPr>
          <w:rFonts w:ascii="Book Antiqua" w:hAnsi="Book Antiqua" w:cs="Arial"/>
        </w:rPr>
        <w:t>70</w:t>
      </w:r>
      <w:r w:rsidR="00C70A4E">
        <w:rPr>
          <w:rFonts w:ascii="Book Antiqua" w:hAnsi="Book Antiqua" w:cs="Arial"/>
        </w:rPr>
        <w:t>]</w:t>
      </w:r>
      <w:r w:rsidR="00604A72">
        <w:rPr>
          <w:rFonts w:ascii="Book Antiqua" w:hAnsi="Book Antiqua" w:cs="Arial"/>
        </w:rPr>
        <w:t xml:space="preserve"> and </w:t>
      </w:r>
      <w:r w:rsidR="00C70A4E">
        <w:rPr>
          <w:rFonts w:ascii="Book Antiqua" w:hAnsi="Book Antiqua" w:cs="Arial"/>
        </w:rPr>
        <w:t>[</w:t>
      </w:r>
      <w:r w:rsidR="00604A72">
        <w:rPr>
          <w:rFonts w:ascii="Book Antiqua" w:hAnsi="Book Antiqua" w:cs="Arial"/>
        </w:rPr>
        <w:t>72</w:t>
      </w:r>
      <w:r w:rsidR="00C70A4E">
        <w:rPr>
          <w:rFonts w:ascii="Book Antiqua" w:hAnsi="Book Antiqua" w:cs="Arial"/>
        </w:rPr>
        <w:t>]</w:t>
      </w:r>
      <w:r w:rsidR="00604A72">
        <w:rPr>
          <w:rFonts w:ascii="Book Antiqua" w:hAnsi="Book Antiqua" w:cs="Arial"/>
        </w:rPr>
        <w:t xml:space="preserve">.  The judge’s conclusion in essence is that provided they live in these </w:t>
      </w:r>
      <w:r w:rsidR="00C70A4E">
        <w:rPr>
          <w:rFonts w:ascii="Book Antiqua" w:hAnsi="Book Antiqua" w:cs="Arial"/>
        </w:rPr>
        <w:t>“</w:t>
      </w:r>
      <w:r w:rsidR="00604A72">
        <w:rPr>
          <w:rFonts w:ascii="Book Antiqua" w:hAnsi="Book Antiqua" w:cs="Arial"/>
        </w:rPr>
        <w:t>safe areas</w:t>
      </w:r>
      <w:r w:rsidR="00C70A4E">
        <w:rPr>
          <w:rFonts w:ascii="Book Antiqua" w:hAnsi="Book Antiqua" w:cs="Arial"/>
        </w:rPr>
        <w:t>”</w:t>
      </w:r>
      <w:r w:rsidR="00604A72">
        <w:rPr>
          <w:rFonts w:ascii="Book Antiqua" w:hAnsi="Book Antiqua" w:cs="Arial"/>
        </w:rPr>
        <w:t xml:space="preserve"> within certain cities there would be no risk to them and it would not be unduly harsh for them to internally relocate in this manner.</w:t>
      </w:r>
    </w:p>
    <w:p w14:paraId="72A90D95" w14:textId="77777777" w:rsidR="00C70A4E" w:rsidRDefault="00C70A4E" w:rsidP="00C70A4E">
      <w:pPr>
        <w:spacing w:before="240"/>
        <w:ind w:left="567"/>
        <w:jc w:val="both"/>
        <w:rPr>
          <w:rFonts w:ascii="Book Antiqua" w:hAnsi="Book Antiqua" w:cs="Arial"/>
        </w:rPr>
      </w:pPr>
    </w:p>
    <w:p w14:paraId="11A9A0E3" w14:textId="77777777" w:rsidR="000C42A8" w:rsidRDefault="000C42A8" w:rsidP="00512F8C">
      <w:pPr>
        <w:spacing w:before="240"/>
        <w:jc w:val="both"/>
        <w:rPr>
          <w:rFonts w:ascii="Book Antiqua" w:hAnsi="Book Antiqua" w:cs="Arial"/>
          <w:b/>
          <w:u w:val="single"/>
        </w:rPr>
      </w:pPr>
    </w:p>
    <w:p w14:paraId="5A7B11FA" w14:textId="020EED13" w:rsidR="00604A72" w:rsidRDefault="00604A72" w:rsidP="00512F8C">
      <w:pPr>
        <w:spacing w:before="240"/>
        <w:jc w:val="both"/>
        <w:rPr>
          <w:rFonts w:ascii="Book Antiqua" w:hAnsi="Book Antiqua" w:cs="Arial"/>
        </w:rPr>
      </w:pPr>
      <w:r>
        <w:rPr>
          <w:rFonts w:ascii="Book Antiqua" w:hAnsi="Book Antiqua" w:cs="Arial"/>
          <w:b/>
          <w:u w:val="single"/>
        </w:rPr>
        <w:t xml:space="preserve">The </w:t>
      </w:r>
      <w:r w:rsidR="007C3F3D">
        <w:rPr>
          <w:rFonts w:ascii="Book Antiqua" w:hAnsi="Book Antiqua" w:cs="Arial"/>
          <w:b/>
          <w:u w:val="single"/>
        </w:rPr>
        <w:t>grounds of appeal and grant of p</w:t>
      </w:r>
      <w:r>
        <w:rPr>
          <w:rFonts w:ascii="Book Antiqua" w:hAnsi="Book Antiqua" w:cs="Arial"/>
          <w:b/>
          <w:u w:val="single"/>
        </w:rPr>
        <w:t>ermission</w:t>
      </w:r>
    </w:p>
    <w:p w14:paraId="3E6D7F9C" w14:textId="65528590" w:rsidR="00604A72" w:rsidRDefault="00604A72"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 succinct grounds of appeal make the following assertions.  First, that the judge moved straight from an acceptance of risk in the home area to conclusions on internal relocation without specifically addressing the issue of risk elsewhere in Pakistan.  Second, in </w:t>
      </w:r>
      <w:r w:rsidR="007C3F3D">
        <w:rPr>
          <w:rFonts w:ascii="Book Antiqua" w:hAnsi="Book Antiqua" w:cs="Arial"/>
        </w:rPr>
        <w:t xml:space="preserve">the </w:t>
      </w:r>
      <w:r>
        <w:rPr>
          <w:rFonts w:ascii="Book Antiqua" w:hAnsi="Book Antiqua" w:cs="Arial"/>
        </w:rPr>
        <w:t>alternative to the first point, t</w:t>
      </w:r>
      <w:r w:rsidR="007C3F3D">
        <w:rPr>
          <w:rFonts w:ascii="Book Antiqua" w:hAnsi="Book Antiqua" w:cs="Arial"/>
        </w:rPr>
        <w:t>he judge had been wrong to conclude</w:t>
      </w:r>
      <w:r>
        <w:rPr>
          <w:rFonts w:ascii="Book Antiqua" w:hAnsi="Book Antiqua" w:cs="Arial"/>
        </w:rPr>
        <w:t xml:space="preserve"> that the Appellants could be expected to live in certain, restricted, and unspecified “safe areas” within other cities in the country.  It is suggested that such a state of affairs would be wholly unreasonable.  Third, it is said that the judge made an error of fact in relation to the Appellant’s evidence of his earnings from certain property transactions.  In oral evidence the Appellant had given a figure intended to relate to rupees</w:t>
      </w:r>
      <w:r w:rsidR="007C3F3D">
        <w:rPr>
          <w:rFonts w:ascii="Book Antiqua" w:hAnsi="Book Antiqua" w:cs="Arial"/>
        </w:rPr>
        <w:t>,</w:t>
      </w:r>
      <w:r>
        <w:rPr>
          <w:rFonts w:ascii="Book Antiqua" w:hAnsi="Book Antiqua" w:cs="Arial"/>
        </w:rPr>
        <w:t xml:space="preserve"> whereas the judge had assumed that this related to pounds sterling.  This misapprehension had a material consequence, namely that the judge believed the first Appellant to have had a greater income than was in fact the case.  </w:t>
      </w:r>
    </w:p>
    <w:p w14:paraId="09C54AB5" w14:textId="77777777" w:rsidR="00604A72" w:rsidRDefault="00604A72" w:rsidP="00CD4CF3">
      <w:pPr>
        <w:numPr>
          <w:ilvl w:val="0"/>
          <w:numId w:val="1"/>
        </w:numPr>
        <w:tabs>
          <w:tab w:val="clear" w:pos="567"/>
        </w:tabs>
        <w:spacing w:before="240"/>
        <w:jc w:val="both"/>
        <w:rPr>
          <w:rFonts w:ascii="Book Antiqua" w:hAnsi="Book Antiqua" w:cs="Arial"/>
        </w:rPr>
      </w:pPr>
      <w:r>
        <w:rPr>
          <w:rFonts w:ascii="Book Antiqua" w:hAnsi="Book Antiqua" w:cs="Arial"/>
        </w:rPr>
        <w:t>Permission to appeal was granted by Upper Tribunal</w:t>
      </w:r>
      <w:r w:rsidR="006D2DF2">
        <w:rPr>
          <w:rFonts w:ascii="Book Antiqua" w:hAnsi="Book Antiqua" w:cs="Arial"/>
        </w:rPr>
        <w:t xml:space="preserve"> Judge Allen on 19 January 2018.</w:t>
      </w:r>
    </w:p>
    <w:p w14:paraId="29DAC479" w14:textId="77777777" w:rsidR="007C3F3D" w:rsidRDefault="007C3F3D" w:rsidP="007C3F3D">
      <w:pPr>
        <w:spacing w:before="240"/>
        <w:ind w:left="567"/>
        <w:jc w:val="both"/>
        <w:rPr>
          <w:rFonts w:ascii="Book Antiqua" w:hAnsi="Book Antiqua" w:cs="Arial"/>
        </w:rPr>
      </w:pPr>
    </w:p>
    <w:p w14:paraId="70CFBCB8" w14:textId="344F88A0" w:rsidR="006D2DF2" w:rsidRPr="007C3F3D" w:rsidRDefault="007C3F3D" w:rsidP="00DF4F70">
      <w:pPr>
        <w:spacing w:before="240"/>
        <w:jc w:val="both"/>
        <w:rPr>
          <w:rFonts w:ascii="Book Antiqua" w:hAnsi="Book Antiqua" w:cs="Arial"/>
          <w:b/>
          <w:u w:val="single"/>
        </w:rPr>
      </w:pPr>
      <w:r>
        <w:rPr>
          <w:rFonts w:ascii="Book Antiqua" w:hAnsi="Book Antiqua" w:cs="Arial"/>
          <w:b/>
          <w:u w:val="single"/>
        </w:rPr>
        <w:t>The hearing before m</w:t>
      </w:r>
      <w:r w:rsidR="006D2DF2">
        <w:rPr>
          <w:rFonts w:ascii="Book Antiqua" w:hAnsi="Book Antiqua" w:cs="Arial"/>
          <w:b/>
          <w:u w:val="single"/>
        </w:rPr>
        <w:t>e</w:t>
      </w:r>
    </w:p>
    <w:p w14:paraId="5BB54711" w14:textId="77777777" w:rsidR="007C3F3D" w:rsidRDefault="006D2DF2"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At the outset of the hearing I asked </w:t>
      </w:r>
      <w:r w:rsidR="00DF4F70">
        <w:rPr>
          <w:rFonts w:ascii="Book Antiqua" w:hAnsi="Book Antiqua" w:cs="Arial"/>
        </w:rPr>
        <w:t>Ms</w:t>
      </w:r>
      <w:r>
        <w:rPr>
          <w:rFonts w:ascii="Book Antiqua" w:hAnsi="Book Antiqua" w:cs="Arial"/>
        </w:rPr>
        <w:t xml:space="preserve"> Pal for her initial observ</w:t>
      </w:r>
      <w:r w:rsidR="007C3F3D">
        <w:rPr>
          <w:rFonts w:ascii="Book Antiqua" w:hAnsi="Book Antiqua" w:cs="Arial"/>
        </w:rPr>
        <w:t>ations on</w:t>
      </w:r>
      <w:r>
        <w:rPr>
          <w:rFonts w:ascii="Book Antiqua" w:hAnsi="Book Antiqua" w:cs="Arial"/>
        </w:rPr>
        <w:t xml:space="preserve"> the Appellants</w:t>
      </w:r>
      <w:r w:rsidR="007C3F3D">
        <w:rPr>
          <w:rFonts w:ascii="Book Antiqua" w:hAnsi="Book Antiqua" w:cs="Arial"/>
        </w:rPr>
        <w:t>’</w:t>
      </w:r>
      <w:r>
        <w:rPr>
          <w:rFonts w:ascii="Book Antiqua" w:hAnsi="Book Antiqua" w:cs="Arial"/>
        </w:rPr>
        <w:t xml:space="preserve"> challenges.  She sought to defend the decision</w:t>
      </w:r>
      <w:r w:rsidR="007C3F3D">
        <w:rPr>
          <w:rFonts w:ascii="Book Antiqua" w:hAnsi="Book Antiqua" w:cs="Arial"/>
        </w:rPr>
        <w:t>,</w:t>
      </w:r>
      <w:r>
        <w:rPr>
          <w:rFonts w:ascii="Book Antiqua" w:hAnsi="Book Antiqua" w:cs="Arial"/>
        </w:rPr>
        <w:t xml:space="preserve"> but acknowledged that the judge had indeed placed significant emphasis on the Appellants being able to live in </w:t>
      </w:r>
      <w:r w:rsidR="007C3F3D">
        <w:rPr>
          <w:rFonts w:ascii="Book Antiqua" w:hAnsi="Book Antiqua" w:cs="Arial"/>
        </w:rPr>
        <w:t xml:space="preserve">unspecified </w:t>
      </w:r>
      <w:r>
        <w:rPr>
          <w:rFonts w:ascii="Book Antiqua" w:hAnsi="Book Antiqua" w:cs="Arial"/>
        </w:rPr>
        <w:t xml:space="preserve">“safe areas”.  </w:t>
      </w:r>
    </w:p>
    <w:p w14:paraId="6C87DD2C" w14:textId="77B71B1F" w:rsidR="006D2DF2" w:rsidRDefault="006D2DF2" w:rsidP="00CD4CF3">
      <w:pPr>
        <w:numPr>
          <w:ilvl w:val="0"/>
          <w:numId w:val="1"/>
        </w:numPr>
        <w:tabs>
          <w:tab w:val="clear" w:pos="567"/>
        </w:tabs>
        <w:spacing w:before="240"/>
        <w:jc w:val="both"/>
        <w:rPr>
          <w:rFonts w:ascii="Book Antiqua" w:hAnsi="Book Antiqua" w:cs="Arial"/>
        </w:rPr>
      </w:pPr>
      <w:r>
        <w:rPr>
          <w:rFonts w:ascii="Book Antiqua" w:hAnsi="Book Antiqua" w:cs="Arial"/>
        </w:rPr>
        <w:t>Mr Hardin</w:t>
      </w:r>
      <w:r w:rsidR="0043168C">
        <w:rPr>
          <w:rFonts w:ascii="Book Antiqua" w:hAnsi="Book Antiqua" w:cs="Arial"/>
        </w:rPr>
        <w:t>g posed the rhetorical question:</w:t>
      </w:r>
      <w:r>
        <w:rPr>
          <w:rFonts w:ascii="Book Antiqua" w:hAnsi="Book Antiqua" w:cs="Arial"/>
        </w:rPr>
        <w:t xml:space="preserve"> what was meant by a “safe area”</w:t>
      </w:r>
      <w:r w:rsidR="0043168C">
        <w:rPr>
          <w:rFonts w:ascii="Book Antiqua" w:hAnsi="Book Antiqua" w:cs="Arial"/>
        </w:rPr>
        <w:t>?</w:t>
      </w:r>
      <w:r>
        <w:rPr>
          <w:rFonts w:ascii="Book Antiqua" w:hAnsi="Book Antiqua" w:cs="Arial"/>
        </w:rPr>
        <w:t xml:space="preserve">  This was </w:t>
      </w:r>
      <w:r w:rsidR="00DF4F70">
        <w:rPr>
          <w:rFonts w:ascii="Book Antiqua" w:hAnsi="Book Antiqua" w:cs="Arial"/>
        </w:rPr>
        <w:t>unknowable</w:t>
      </w:r>
      <w:r>
        <w:rPr>
          <w:rFonts w:ascii="Book Antiqua" w:hAnsi="Book Antiqua" w:cs="Arial"/>
        </w:rPr>
        <w:t xml:space="preserve"> </w:t>
      </w:r>
      <w:r w:rsidR="0043168C">
        <w:rPr>
          <w:rFonts w:ascii="Book Antiqua" w:hAnsi="Book Antiqua" w:cs="Arial"/>
        </w:rPr>
        <w:t xml:space="preserve">and </w:t>
      </w:r>
      <w:r>
        <w:rPr>
          <w:rFonts w:ascii="Book Antiqua" w:hAnsi="Book Antiqua" w:cs="Arial"/>
        </w:rPr>
        <w:t xml:space="preserve">it would be unreasonable for the first Appellant and his family to live in </w:t>
      </w:r>
      <w:r w:rsidR="0043168C">
        <w:rPr>
          <w:rFonts w:ascii="Book Antiqua" w:hAnsi="Book Antiqua" w:cs="Arial"/>
        </w:rPr>
        <w:t>“</w:t>
      </w:r>
      <w:r>
        <w:rPr>
          <w:rFonts w:ascii="Book Antiqua" w:hAnsi="Book Antiqua" w:cs="Arial"/>
        </w:rPr>
        <w:t>gated communities</w:t>
      </w:r>
      <w:r w:rsidR="0043168C">
        <w:rPr>
          <w:rFonts w:ascii="Book Antiqua" w:hAnsi="Book Antiqua" w:cs="Arial"/>
        </w:rPr>
        <w:t>”</w:t>
      </w:r>
      <w:r>
        <w:rPr>
          <w:rFonts w:ascii="Book Antiqua" w:hAnsi="Book Antiqua" w:cs="Arial"/>
        </w:rPr>
        <w:t xml:space="preserve"> or other restrictive areas within cities.  He asked whether this would make it possible for the Appellants to earn a living or for the youngest child to go to school.  Mr Harding submitted that such an existence would amount in effect to enforced self-confinement.</w:t>
      </w:r>
    </w:p>
    <w:p w14:paraId="469875F6" w14:textId="77777777" w:rsidR="0043168C" w:rsidRDefault="0043168C" w:rsidP="0043168C">
      <w:pPr>
        <w:spacing w:before="240"/>
        <w:ind w:left="567"/>
        <w:jc w:val="both"/>
        <w:rPr>
          <w:rFonts w:ascii="Book Antiqua" w:hAnsi="Book Antiqua" w:cs="Arial"/>
        </w:rPr>
      </w:pPr>
    </w:p>
    <w:p w14:paraId="333CC46A" w14:textId="13E46870" w:rsidR="006D2DF2" w:rsidRDefault="0043168C" w:rsidP="00DF4F70">
      <w:pPr>
        <w:spacing w:before="240"/>
        <w:jc w:val="both"/>
        <w:rPr>
          <w:rFonts w:ascii="Book Antiqua" w:hAnsi="Book Antiqua" w:cs="Arial"/>
        </w:rPr>
      </w:pPr>
      <w:r>
        <w:rPr>
          <w:rFonts w:ascii="Book Antiqua" w:hAnsi="Book Antiqua" w:cs="Arial"/>
          <w:b/>
          <w:u w:val="single"/>
        </w:rPr>
        <w:t>Decision on error of l</w:t>
      </w:r>
      <w:r w:rsidR="006D2DF2">
        <w:rPr>
          <w:rFonts w:ascii="Book Antiqua" w:hAnsi="Book Antiqua" w:cs="Arial"/>
          <w:b/>
          <w:u w:val="single"/>
        </w:rPr>
        <w:t>aw</w:t>
      </w:r>
    </w:p>
    <w:p w14:paraId="2B2F5DDD" w14:textId="77777777" w:rsidR="0043168C" w:rsidRDefault="006D2DF2" w:rsidP="00CD4CF3">
      <w:pPr>
        <w:numPr>
          <w:ilvl w:val="0"/>
          <w:numId w:val="1"/>
        </w:numPr>
        <w:tabs>
          <w:tab w:val="clear" w:pos="567"/>
        </w:tabs>
        <w:spacing w:before="240"/>
        <w:jc w:val="both"/>
        <w:rPr>
          <w:rFonts w:ascii="Book Antiqua" w:hAnsi="Book Antiqua" w:cs="Arial"/>
        </w:rPr>
      </w:pPr>
      <w:r>
        <w:rPr>
          <w:rFonts w:ascii="Book Antiqua" w:hAnsi="Book Antiqua" w:cs="Arial"/>
        </w:rPr>
        <w:t>As I announced to the parties at the hearing</w:t>
      </w:r>
      <w:r w:rsidR="0043168C">
        <w:rPr>
          <w:rFonts w:ascii="Book Antiqua" w:hAnsi="Book Antiqua" w:cs="Arial"/>
        </w:rPr>
        <w:t>,</w:t>
      </w:r>
      <w:r>
        <w:rPr>
          <w:rFonts w:ascii="Book Antiqua" w:hAnsi="Book Antiqua" w:cs="Arial"/>
        </w:rPr>
        <w:t xml:space="preserve"> I conclude that the judge did materially err in law.  </w:t>
      </w:r>
    </w:p>
    <w:p w14:paraId="41B3D78E" w14:textId="77777777" w:rsidR="0043168C" w:rsidRDefault="006D2DF2" w:rsidP="00CD4CF3">
      <w:pPr>
        <w:numPr>
          <w:ilvl w:val="0"/>
          <w:numId w:val="1"/>
        </w:numPr>
        <w:tabs>
          <w:tab w:val="clear" w:pos="567"/>
        </w:tabs>
        <w:spacing w:before="240"/>
        <w:jc w:val="both"/>
        <w:rPr>
          <w:rFonts w:ascii="Book Antiqua" w:hAnsi="Book Antiqua" w:cs="Arial"/>
        </w:rPr>
      </w:pPr>
      <w:r>
        <w:rPr>
          <w:rFonts w:ascii="Book Antiqua" w:hAnsi="Book Antiqua" w:cs="Arial"/>
        </w:rPr>
        <w:t>Initially I had thought that the judge may have conflated the issues of risk and internal relocation.  However</w:t>
      </w:r>
      <w:r w:rsidR="00DF4F70">
        <w:rPr>
          <w:rFonts w:ascii="Book Antiqua" w:hAnsi="Book Antiqua" w:cs="Arial"/>
        </w:rPr>
        <w:t>,</w:t>
      </w:r>
      <w:r>
        <w:rPr>
          <w:rFonts w:ascii="Book Antiqua" w:hAnsi="Book Antiqua" w:cs="Arial"/>
        </w:rPr>
        <w:t xml:space="preserve"> on reflection it is just about clear enough that he has dealt with these issues separate</w:t>
      </w:r>
      <w:r w:rsidR="0043168C">
        <w:rPr>
          <w:rFonts w:ascii="Book Antiqua" w:hAnsi="Book Antiqua" w:cs="Arial"/>
        </w:rPr>
        <w:t>ly, with reference to [</w:t>
      </w:r>
      <w:r>
        <w:rPr>
          <w:rFonts w:ascii="Book Antiqua" w:hAnsi="Book Antiqua" w:cs="Arial"/>
        </w:rPr>
        <w:t>68</w:t>
      </w:r>
      <w:r w:rsidR="0043168C">
        <w:rPr>
          <w:rFonts w:ascii="Book Antiqua" w:hAnsi="Book Antiqua" w:cs="Arial"/>
        </w:rPr>
        <w:t>]</w:t>
      </w:r>
      <w:r>
        <w:rPr>
          <w:rFonts w:ascii="Book Antiqua" w:hAnsi="Book Antiqua" w:cs="Arial"/>
        </w:rPr>
        <w:t xml:space="preserve"> and </w:t>
      </w:r>
      <w:r w:rsidR="0043168C">
        <w:rPr>
          <w:rFonts w:ascii="Book Antiqua" w:hAnsi="Book Antiqua" w:cs="Arial"/>
        </w:rPr>
        <w:t>[</w:t>
      </w:r>
      <w:r>
        <w:rPr>
          <w:rFonts w:ascii="Book Antiqua" w:hAnsi="Book Antiqua" w:cs="Arial"/>
        </w:rPr>
        <w:t>69</w:t>
      </w:r>
      <w:r w:rsidR="0043168C">
        <w:rPr>
          <w:rFonts w:ascii="Book Antiqua" w:hAnsi="Book Antiqua" w:cs="Arial"/>
        </w:rPr>
        <w:t>]. H</w:t>
      </w:r>
      <w:r>
        <w:rPr>
          <w:rFonts w:ascii="Book Antiqua" w:hAnsi="Book Antiqua" w:cs="Arial"/>
        </w:rPr>
        <w:t>owever, the real problem in the decis</w:t>
      </w:r>
      <w:r w:rsidR="0043168C">
        <w:rPr>
          <w:rFonts w:ascii="Book Antiqua" w:hAnsi="Book Antiqua" w:cs="Arial"/>
        </w:rPr>
        <w:t>ion is this.  It is readily apparent</w:t>
      </w:r>
      <w:r>
        <w:rPr>
          <w:rFonts w:ascii="Book Antiqua" w:hAnsi="Book Antiqua" w:cs="Arial"/>
        </w:rPr>
        <w:t xml:space="preserve"> to me from a reading of the decision, across numerous paragraphs, that the judge has based his conclusions on the avoidance of risk and the possibility of internal relocation on the premise that the family would have </w:t>
      </w:r>
      <w:r>
        <w:rPr>
          <w:rFonts w:ascii="Book Antiqua" w:hAnsi="Book Antiqua" w:cs="Arial"/>
        </w:rPr>
        <w:lastRenderedPageBreak/>
        <w:t xml:space="preserve">to, and would be able to, live in </w:t>
      </w:r>
      <w:r w:rsidR="0043168C">
        <w:rPr>
          <w:rFonts w:ascii="Book Antiqua" w:hAnsi="Book Antiqua" w:cs="Arial"/>
        </w:rPr>
        <w:t>the types of locations mentioned previously</w:t>
      </w:r>
      <w:r>
        <w:rPr>
          <w:rFonts w:ascii="Book Antiqua" w:hAnsi="Book Antiqua" w:cs="Arial"/>
        </w:rPr>
        <w:t xml:space="preserve">.  It is very difficult to see how these </w:t>
      </w:r>
      <w:r w:rsidR="0043168C">
        <w:rPr>
          <w:rFonts w:ascii="Book Antiqua" w:hAnsi="Book Antiqua" w:cs="Arial"/>
        </w:rPr>
        <w:t>supposed “</w:t>
      </w:r>
      <w:r>
        <w:rPr>
          <w:rFonts w:ascii="Book Antiqua" w:hAnsi="Book Antiqua" w:cs="Arial"/>
        </w:rPr>
        <w:t>safe</w:t>
      </w:r>
      <w:r w:rsidR="0043168C">
        <w:rPr>
          <w:rFonts w:ascii="Book Antiqua" w:hAnsi="Book Antiqua" w:cs="Arial"/>
        </w:rPr>
        <w:t>”</w:t>
      </w:r>
      <w:r>
        <w:rPr>
          <w:rFonts w:ascii="Book Antiqua" w:hAnsi="Book Antiqua" w:cs="Arial"/>
        </w:rPr>
        <w:t xml:space="preserve"> zones, as it were, could </w:t>
      </w:r>
      <w:r w:rsidR="0043168C">
        <w:rPr>
          <w:rFonts w:ascii="Book Antiqua" w:hAnsi="Book Antiqua" w:cs="Arial"/>
        </w:rPr>
        <w:t xml:space="preserve">ever </w:t>
      </w:r>
      <w:r>
        <w:rPr>
          <w:rFonts w:ascii="Book Antiqua" w:hAnsi="Book Antiqua" w:cs="Arial"/>
        </w:rPr>
        <w:t xml:space="preserve">be </w:t>
      </w:r>
      <w:r w:rsidR="0043168C">
        <w:rPr>
          <w:rFonts w:ascii="Book Antiqua" w:hAnsi="Book Antiqua" w:cs="Arial"/>
        </w:rPr>
        <w:t xml:space="preserve">properly </w:t>
      </w:r>
      <w:r>
        <w:rPr>
          <w:rFonts w:ascii="Book Antiqua" w:hAnsi="Book Antiqua" w:cs="Arial"/>
        </w:rPr>
        <w:t>identifiable.  Even if the first Appellant had a property in Peshawar which he could sell, the proceeds of this would be finite and it is very difficult indeed to see how there was any sufficiently strong evidential basis to conclude that the entire family could live in the “nicer”</w:t>
      </w:r>
      <w:r w:rsidR="0043168C">
        <w:rPr>
          <w:rFonts w:ascii="Book Antiqua" w:hAnsi="Book Antiqua" w:cs="Arial"/>
        </w:rPr>
        <w:t>,</w:t>
      </w:r>
      <w:r>
        <w:rPr>
          <w:rFonts w:ascii="Book Antiqua" w:hAnsi="Book Antiqua" w:cs="Arial"/>
        </w:rPr>
        <w:t xml:space="preserve"> more affluent</w:t>
      </w:r>
      <w:r w:rsidR="0043168C">
        <w:rPr>
          <w:rFonts w:ascii="Book Antiqua" w:hAnsi="Book Antiqua" w:cs="Arial"/>
        </w:rPr>
        <w:t>,</w:t>
      </w:r>
      <w:r>
        <w:rPr>
          <w:rFonts w:ascii="Book Antiqua" w:hAnsi="Book Antiqua" w:cs="Arial"/>
        </w:rPr>
        <w:t xml:space="preserve"> restricted</w:t>
      </w:r>
      <w:r w:rsidR="0043168C">
        <w:rPr>
          <w:rFonts w:ascii="Book Antiqua" w:hAnsi="Book Antiqua" w:cs="Arial"/>
        </w:rPr>
        <w:t>,</w:t>
      </w:r>
      <w:r>
        <w:rPr>
          <w:rFonts w:ascii="Book Antiqua" w:hAnsi="Book Antiqua" w:cs="Arial"/>
        </w:rPr>
        <w:t xml:space="preserve"> and protected areas within other cities.  The judge says nothing about what might happen if any of the Appellants had to leave these areas in order to work or, in the case of the youngest Appellant, attend an educational institution.</w:t>
      </w:r>
      <w:r w:rsidR="00EE5576">
        <w:rPr>
          <w:rFonts w:ascii="Book Antiqua" w:hAnsi="Book Antiqua" w:cs="Arial"/>
        </w:rPr>
        <w:t xml:space="preserve">  </w:t>
      </w:r>
      <w:r w:rsidR="0043168C">
        <w:rPr>
          <w:rFonts w:ascii="Book Antiqua" w:hAnsi="Book Antiqua" w:cs="Arial"/>
        </w:rPr>
        <w:t>On the basis of what is said on the face of the decision and in light of the expert report, which was of course relied on heavily by the judge in material respects, t</w:t>
      </w:r>
      <w:r w:rsidR="00EE5576">
        <w:rPr>
          <w:rFonts w:ascii="Book Antiqua" w:hAnsi="Book Antiqua" w:cs="Arial"/>
        </w:rPr>
        <w:t xml:space="preserve">he implication is if the Appellants were not able to reside and </w:t>
      </w:r>
      <w:r w:rsidR="00EE5576" w:rsidRPr="0043168C">
        <w:rPr>
          <w:rFonts w:ascii="Book Antiqua" w:hAnsi="Book Antiqua" w:cs="Arial"/>
          <w:i/>
        </w:rPr>
        <w:t>exist wholly within</w:t>
      </w:r>
      <w:r w:rsidR="00EE5576">
        <w:rPr>
          <w:rFonts w:ascii="Book Antiqua" w:hAnsi="Book Antiqua" w:cs="Arial"/>
        </w:rPr>
        <w:t xml:space="preserve"> the </w:t>
      </w:r>
      <w:r w:rsidR="0043168C">
        <w:rPr>
          <w:rFonts w:ascii="Book Antiqua" w:hAnsi="Book Antiqua" w:cs="Arial"/>
        </w:rPr>
        <w:t>“</w:t>
      </w:r>
      <w:r w:rsidR="00EE5576">
        <w:rPr>
          <w:rFonts w:ascii="Book Antiqua" w:hAnsi="Book Antiqua" w:cs="Arial"/>
        </w:rPr>
        <w:t>safe areas</w:t>
      </w:r>
      <w:r w:rsidR="0043168C">
        <w:rPr>
          <w:rFonts w:ascii="Book Antiqua" w:hAnsi="Book Antiqua" w:cs="Arial"/>
        </w:rPr>
        <w:t>”</w:t>
      </w:r>
      <w:r w:rsidR="00EE5576">
        <w:rPr>
          <w:rFonts w:ascii="Book Antiqua" w:hAnsi="Book Antiqua" w:cs="Arial"/>
        </w:rPr>
        <w:t xml:space="preserve"> then there would </w:t>
      </w:r>
      <w:r w:rsidR="0043168C">
        <w:rPr>
          <w:rFonts w:ascii="Book Antiqua" w:hAnsi="Book Antiqua" w:cs="Arial"/>
        </w:rPr>
        <w:t xml:space="preserve">indeed </w:t>
      </w:r>
      <w:r w:rsidR="00EE5576">
        <w:rPr>
          <w:rFonts w:ascii="Book Antiqua" w:hAnsi="Book Antiqua" w:cs="Arial"/>
        </w:rPr>
        <w:t>be a risk to them from the Taliban and/or the T</w:t>
      </w:r>
      <w:r w:rsidR="00B16E35">
        <w:rPr>
          <w:rFonts w:ascii="Book Antiqua" w:hAnsi="Book Antiqua" w:cs="Arial"/>
        </w:rPr>
        <w:t>P</w:t>
      </w:r>
      <w:r w:rsidR="00EE5576">
        <w:rPr>
          <w:rFonts w:ascii="Book Antiqua" w:hAnsi="Book Antiqua" w:cs="Arial"/>
        </w:rPr>
        <w:t xml:space="preserve">P   </w:t>
      </w:r>
    </w:p>
    <w:p w14:paraId="2089611E" w14:textId="38F49786" w:rsidR="009F0077" w:rsidRDefault="00EE5576" w:rsidP="00CD4CF3">
      <w:pPr>
        <w:numPr>
          <w:ilvl w:val="0"/>
          <w:numId w:val="1"/>
        </w:numPr>
        <w:tabs>
          <w:tab w:val="clear" w:pos="567"/>
        </w:tabs>
        <w:spacing w:before="240"/>
        <w:jc w:val="both"/>
        <w:rPr>
          <w:rFonts w:ascii="Book Antiqua" w:hAnsi="Book Antiqua" w:cs="Arial"/>
        </w:rPr>
      </w:pPr>
      <w:r>
        <w:rPr>
          <w:rFonts w:ascii="Book Antiqua" w:hAnsi="Book Antiqua" w:cs="Arial"/>
        </w:rPr>
        <w:t>In my view</w:t>
      </w:r>
      <w:r w:rsidR="0043168C">
        <w:rPr>
          <w:rFonts w:ascii="Book Antiqua" w:hAnsi="Book Antiqua" w:cs="Arial"/>
        </w:rPr>
        <w:t>,</w:t>
      </w:r>
      <w:r>
        <w:rPr>
          <w:rFonts w:ascii="Book Antiqua" w:hAnsi="Book Antiqua" w:cs="Arial"/>
        </w:rPr>
        <w:t xml:space="preserve"> whilst one can perhaps see where the judge w</w:t>
      </w:r>
      <w:r w:rsidR="00DF4F70">
        <w:rPr>
          <w:rFonts w:ascii="Book Antiqua" w:hAnsi="Book Antiqua" w:cs="Arial"/>
        </w:rPr>
        <w:t>a</w:t>
      </w:r>
      <w:r>
        <w:rPr>
          <w:rFonts w:ascii="Book Antiqua" w:hAnsi="Book Antiqua" w:cs="Arial"/>
        </w:rPr>
        <w:t>s attempting to go with his conclusion as to possible safe areas, as a matter of law this w</w:t>
      </w:r>
      <w:r w:rsidR="00DF4F70">
        <w:rPr>
          <w:rFonts w:ascii="Book Antiqua" w:hAnsi="Book Antiqua" w:cs="Arial"/>
        </w:rPr>
        <w:t>a</w:t>
      </w:r>
      <w:r w:rsidR="009F0077">
        <w:rPr>
          <w:rFonts w:ascii="Book Antiqua" w:hAnsi="Book Antiqua" w:cs="Arial"/>
        </w:rPr>
        <w:t>s simply not permissible. I</w:t>
      </w:r>
      <w:r>
        <w:rPr>
          <w:rFonts w:ascii="Book Antiqua" w:hAnsi="Book Antiqua" w:cs="Arial"/>
        </w:rPr>
        <w:t>n other wo</w:t>
      </w:r>
      <w:r w:rsidR="009F0077">
        <w:rPr>
          <w:rFonts w:ascii="Book Antiqua" w:hAnsi="Book Antiqua" w:cs="Arial"/>
        </w:rPr>
        <w:t>rds, the expectation</w:t>
      </w:r>
      <w:r>
        <w:rPr>
          <w:rFonts w:ascii="Book Antiqua" w:hAnsi="Book Antiqua" w:cs="Arial"/>
        </w:rPr>
        <w:t xml:space="preserve"> that the Appellants could reasonably avoid risk of ha</w:t>
      </w:r>
      <w:r w:rsidR="009F0077">
        <w:rPr>
          <w:rFonts w:ascii="Book Antiqua" w:hAnsi="Book Antiqua" w:cs="Arial"/>
        </w:rPr>
        <w:t xml:space="preserve">rm by having to live in unidentified, very restricted, </w:t>
      </w:r>
      <w:r>
        <w:rPr>
          <w:rFonts w:ascii="Book Antiqua" w:hAnsi="Book Antiqua" w:cs="Arial"/>
        </w:rPr>
        <w:t xml:space="preserve">geographical </w:t>
      </w:r>
      <w:r w:rsidR="009F0077">
        <w:rPr>
          <w:rFonts w:ascii="Book Antiqua" w:hAnsi="Book Antiqua" w:cs="Arial"/>
        </w:rPr>
        <w:t>z</w:t>
      </w:r>
      <w:r w:rsidR="002A0036">
        <w:rPr>
          <w:rFonts w:ascii="Book Antiqua" w:hAnsi="Book Antiqua" w:cs="Arial"/>
        </w:rPr>
        <w:t>ones was not a sustainable one because the premise upon which it was founded is flawed.</w:t>
      </w:r>
      <w:r>
        <w:rPr>
          <w:rFonts w:ascii="Book Antiqua" w:hAnsi="Book Antiqua" w:cs="Arial"/>
        </w:rPr>
        <w:t xml:space="preserve">  This is the case whether or not there was a mistake of facts as to the first Appellant’s earnings.  </w:t>
      </w:r>
    </w:p>
    <w:p w14:paraId="3D47F1D9" w14:textId="40EA6B5C" w:rsidR="006D2DF2" w:rsidRDefault="00EE5576" w:rsidP="00CD4CF3">
      <w:pPr>
        <w:numPr>
          <w:ilvl w:val="0"/>
          <w:numId w:val="1"/>
        </w:numPr>
        <w:tabs>
          <w:tab w:val="clear" w:pos="567"/>
        </w:tabs>
        <w:spacing w:before="240"/>
        <w:jc w:val="both"/>
        <w:rPr>
          <w:rFonts w:ascii="Book Antiqua" w:hAnsi="Book Antiqua" w:cs="Arial"/>
        </w:rPr>
      </w:pPr>
      <w:r>
        <w:rPr>
          <w:rFonts w:ascii="Book Antiqua" w:hAnsi="Book Antiqua" w:cs="Arial"/>
        </w:rPr>
        <w:t>On that last point</w:t>
      </w:r>
      <w:r w:rsidR="009F0077">
        <w:rPr>
          <w:rFonts w:ascii="Book Antiqua" w:hAnsi="Book Antiqua" w:cs="Arial"/>
        </w:rPr>
        <w:t>,</w:t>
      </w:r>
      <w:r>
        <w:rPr>
          <w:rFonts w:ascii="Book Antiqua" w:hAnsi="Book Antiqua" w:cs="Arial"/>
        </w:rPr>
        <w:t xml:space="preserve"> it appears to me as though there was a genuine question of cross purposes in this case.  I accept that Mr Harding was clearly of the view that the answer related to a sum in rupees</w:t>
      </w:r>
      <w:r w:rsidR="009F0077">
        <w:rPr>
          <w:rFonts w:ascii="Book Antiqua" w:hAnsi="Book Antiqua" w:cs="Arial"/>
        </w:rPr>
        <w:t>,</w:t>
      </w:r>
      <w:r>
        <w:rPr>
          <w:rFonts w:ascii="Book Antiqua" w:hAnsi="Book Antiqua" w:cs="Arial"/>
        </w:rPr>
        <w:t xml:space="preserve"> whereas it is equally clear that the judge believed the response related to pounds sterling.  I do not blame either for failing to have this point clarified at the hearing because neither believed that this was necessary</w:t>
      </w:r>
      <w:r w:rsidR="009F0077">
        <w:rPr>
          <w:rFonts w:ascii="Book Antiqua" w:hAnsi="Book Antiqua" w:cs="Arial"/>
        </w:rPr>
        <w:t>. H</w:t>
      </w:r>
      <w:r>
        <w:rPr>
          <w:rFonts w:ascii="Book Antiqua" w:hAnsi="Book Antiqua" w:cs="Arial"/>
        </w:rPr>
        <w:t>owever, I am satisfied that as a matter of pure fact, the sum related to rupees and not pounds sterling.</w:t>
      </w:r>
      <w:r w:rsidR="00360FA1">
        <w:rPr>
          <w:rFonts w:ascii="Book Antiqua" w:hAnsi="Book Antiqua" w:cs="Arial"/>
        </w:rPr>
        <w:t xml:space="preserve">  For present purposes this is immaterial.</w:t>
      </w:r>
    </w:p>
    <w:p w14:paraId="0C15D56C" w14:textId="75F9DD29" w:rsidR="00360FA1" w:rsidRDefault="00360FA1" w:rsidP="00CD4CF3">
      <w:pPr>
        <w:numPr>
          <w:ilvl w:val="0"/>
          <w:numId w:val="1"/>
        </w:numPr>
        <w:tabs>
          <w:tab w:val="clear" w:pos="567"/>
        </w:tabs>
        <w:spacing w:before="240"/>
        <w:jc w:val="both"/>
        <w:rPr>
          <w:rFonts w:ascii="Book Antiqua" w:hAnsi="Book Antiqua" w:cs="Arial"/>
        </w:rPr>
      </w:pPr>
      <w:r>
        <w:rPr>
          <w:rFonts w:ascii="Book Antiqua" w:hAnsi="Book Antiqua" w:cs="Arial"/>
        </w:rPr>
        <w:t>In light of the above it is appropriate for me to set the judge’s de</w:t>
      </w:r>
      <w:r w:rsidR="009F0077">
        <w:rPr>
          <w:rFonts w:ascii="Book Antiqua" w:hAnsi="Book Antiqua" w:cs="Arial"/>
        </w:rPr>
        <w:t>cision aside with reference to section 12(2)(a) of the Tribunal</w:t>
      </w:r>
      <w:r>
        <w:rPr>
          <w:rFonts w:ascii="Book Antiqua" w:hAnsi="Book Antiqua" w:cs="Arial"/>
        </w:rPr>
        <w:t>s</w:t>
      </w:r>
      <w:r w:rsidR="009F0077">
        <w:rPr>
          <w:rFonts w:ascii="Book Antiqua" w:hAnsi="Book Antiqua" w:cs="Arial"/>
        </w:rPr>
        <w:t>,</w:t>
      </w:r>
      <w:r>
        <w:rPr>
          <w:rFonts w:ascii="Book Antiqua" w:hAnsi="Book Antiqua" w:cs="Arial"/>
        </w:rPr>
        <w:t xml:space="preserve"> Courts and Enforcement Act 2007.</w:t>
      </w:r>
    </w:p>
    <w:p w14:paraId="0DA66602" w14:textId="77777777" w:rsidR="009F0077" w:rsidRDefault="009F0077" w:rsidP="009F0077">
      <w:pPr>
        <w:spacing w:before="240"/>
        <w:ind w:left="567"/>
        <w:jc w:val="both"/>
        <w:rPr>
          <w:rFonts w:ascii="Book Antiqua" w:hAnsi="Book Antiqua" w:cs="Arial"/>
        </w:rPr>
      </w:pPr>
    </w:p>
    <w:p w14:paraId="3CA93D91" w14:textId="4A11119B" w:rsidR="00360FA1" w:rsidRDefault="00360FA1" w:rsidP="00FB0E23">
      <w:pPr>
        <w:spacing w:before="240"/>
        <w:jc w:val="both"/>
        <w:rPr>
          <w:rFonts w:ascii="Book Antiqua" w:hAnsi="Book Antiqua" w:cs="Arial"/>
        </w:rPr>
      </w:pPr>
      <w:r>
        <w:rPr>
          <w:rFonts w:ascii="Book Antiqua" w:hAnsi="Book Antiqua" w:cs="Arial"/>
          <w:b/>
          <w:u w:val="single"/>
        </w:rPr>
        <w:t>Remak</w:t>
      </w:r>
      <w:r w:rsidR="002A0036">
        <w:rPr>
          <w:rFonts w:ascii="Book Antiqua" w:hAnsi="Book Antiqua" w:cs="Arial"/>
          <w:b/>
          <w:u w:val="single"/>
        </w:rPr>
        <w:t>ing the d</w:t>
      </w:r>
      <w:r>
        <w:rPr>
          <w:rFonts w:ascii="Book Antiqua" w:hAnsi="Book Antiqua" w:cs="Arial"/>
          <w:b/>
          <w:u w:val="single"/>
        </w:rPr>
        <w:t>ecision</w:t>
      </w:r>
    </w:p>
    <w:p w14:paraId="4260FD3E" w14:textId="77777777" w:rsidR="002A0036" w:rsidRDefault="00360FA1" w:rsidP="00CD4CF3">
      <w:pPr>
        <w:numPr>
          <w:ilvl w:val="0"/>
          <w:numId w:val="1"/>
        </w:numPr>
        <w:tabs>
          <w:tab w:val="clear" w:pos="567"/>
        </w:tabs>
        <w:spacing w:before="240"/>
        <w:jc w:val="both"/>
        <w:rPr>
          <w:rFonts w:ascii="Book Antiqua" w:hAnsi="Book Antiqua" w:cs="Arial"/>
        </w:rPr>
      </w:pPr>
      <w:r>
        <w:rPr>
          <w:rFonts w:ascii="Book Antiqua" w:hAnsi="Book Antiqua" w:cs="Arial"/>
        </w:rPr>
        <w:t>Both representatives were agreed that I could and should remake the decision in these appeals on the evidence before me.  I entirely agree</w:t>
      </w:r>
      <w:r w:rsidR="00FB0E23">
        <w:rPr>
          <w:rFonts w:ascii="Book Antiqua" w:hAnsi="Book Antiqua" w:cs="Arial"/>
        </w:rPr>
        <w:t>.  T</w:t>
      </w:r>
      <w:r>
        <w:rPr>
          <w:rFonts w:ascii="Book Antiqua" w:hAnsi="Book Antiqua" w:cs="Arial"/>
        </w:rPr>
        <w:t>here are virtually no disputes as</w:t>
      </w:r>
      <w:r w:rsidR="00FB0E23">
        <w:rPr>
          <w:rFonts w:ascii="Book Antiqua" w:hAnsi="Book Antiqua" w:cs="Arial"/>
        </w:rPr>
        <w:t xml:space="preserve"> to the facts in these cases</w:t>
      </w:r>
      <w:r>
        <w:rPr>
          <w:rFonts w:ascii="Book Antiqua" w:hAnsi="Book Antiqua" w:cs="Arial"/>
        </w:rPr>
        <w:t xml:space="preserve"> </w:t>
      </w:r>
      <w:r w:rsidR="002A0036">
        <w:rPr>
          <w:rFonts w:ascii="Book Antiqua" w:hAnsi="Book Antiqua" w:cs="Arial"/>
        </w:rPr>
        <w:t xml:space="preserve">and </w:t>
      </w:r>
      <w:r>
        <w:rPr>
          <w:rFonts w:ascii="Book Antiqua" w:hAnsi="Book Antiqua" w:cs="Arial"/>
        </w:rPr>
        <w:t xml:space="preserve">no further evidence is necessary.  </w:t>
      </w:r>
    </w:p>
    <w:p w14:paraId="621E7570" w14:textId="6AC43C1C" w:rsidR="002A0036" w:rsidRDefault="00360FA1" w:rsidP="00CD4CF3">
      <w:pPr>
        <w:numPr>
          <w:ilvl w:val="0"/>
          <w:numId w:val="1"/>
        </w:numPr>
        <w:tabs>
          <w:tab w:val="clear" w:pos="567"/>
        </w:tabs>
        <w:spacing w:before="240"/>
        <w:jc w:val="both"/>
        <w:rPr>
          <w:rFonts w:ascii="Book Antiqua" w:hAnsi="Book Antiqua" w:cs="Arial"/>
        </w:rPr>
      </w:pPr>
      <w:r>
        <w:rPr>
          <w:rFonts w:ascii="Book Antiqua" w:hAnsi="Book Antiqua" w:cs="Arial"/>
        </w:rPr>
        <w:t>In remaking the decision</w:t>
      </w:r>
      <w:r w:rsidR="00FB0E23">
        <w:rPr>
          <w:rFonts w:ascii="Book Antiqua" w:hAnsi="Book Antiqua" w:cs="Arial"/>
        </w:rPr>
        <w:t>,</w:t>
      </w:r>
      <w:r>
        <w:rPr>
          <w:rFonts w:ascii="Book Antiqua" w:hAnsi="Book Antiqua" w:cs="Arial"/>
        </w:rPr>
        <w:t xml:space="preserve"> I have had regard to the judge’s findings, the Respondent’s reasons for refusal letter and the Appellants’ bundle</w:t>
      </w:r>
      <w:r w:rsidR="002A0036">
        <w:rPr>
          <w:rFonts w:ascii="Book Antiqua" w:hAnsi="Book Antiqua" w:cs="Arial"/>
        </w:rPr>
        <w:t xml:space="preserve">, with particular reference to the unchallenged expert report. </w:t>
      </w:r>
      <w:r>
        <w:rPr>
          <w:rFonts w:ascii="Book Antiqua" w:hAnsi="Book Antiqua" w:cs="Arial"/>
        </w:rPr>
        <w:t xml:space="preserve"> </w:t>
      </w:r>
      <w:r w:rsidR="00FB0E23">
        <w:rPr>
          <w:rFonts w:ascii="Book Antiqua" w:hAnsi="Book Antiqua" w:cs="Arial"/>
        </w:rPr>
        <w:t xml:space="preserve"> </w:t>
      </w:r>
    </w:p>
    <w:p w14:paraId="3DF0BF86" w14:textId="77777777" w:rsidR="00D93B4C" w:rsidRDefault="00360FA1"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Mr Harding submitted that there </w:t>
      </w:r>
      <w:r w:rsidR="002A0036">
        <w:rPr>
          <w:rFonts w:ascii="Book Antiqua" w:hAnsi="Book Antiqua" w:cs="Arial"/>
        </w:rPr>
        <w:t>was a risk throughout Pakistan. T</w:t>
      </w:r>
      <w:r>
        <w:rPr>
          <w:rFonts w:ascii="Book Antiqua" w:hAnsi="Book Antiqua" w:cs="Arial"/>
        </w:rPr>
        <w:t xml:space="preserve">he first Appellant and his family could not be expected to live in any confined </w:t>
      </w:r>
      <w:r w:rsidR="00D93B4C">
        <w:rPr>
          <w:rFonts w:ascii="Book Antiqua" w:hAnsi="Book Antiqua" w:cs="Arial"/>
        </w:rPr>
        <w:t>so-called “</w:t>
      </w:r>
      <w:r>
        <w:rPr>
          <w:rFonts w:ascii="Book Antiqua" w:hAnsi="Book Antiqua" w:cs="Arial"/>
        </w:rPr>
        <w:t>safe areas</w:t>
      </w:r>
      <w:r w:rsidR="00D93B4C">
        <w:rPr>
          <w:rFonts w:ascii="Book Antiqua" w:hAnsi="Book Antiqua" w:cs="Arial"/>
        </w:rPr>
        <w:t>”</w:t>
      </w:r>
      <w:r>
        <w:rPr>
          <w:rFonts w:ascii="Book Antiqua" w:hAnsi="Book Antiqua" w:cs="Arial"/>
        </w:rPr>
        <w:t xml:space="preserve"> within other cities</w:t>
      </w:r>
      <w:r w:rsidR="00D93B4C">
        <w:rPr>
          <w:rFonts w:ascii="Book Antiqua" w:hAnsi="Book Antiqua" w:cs="Arial"/>
        </w:rPr>
        <w:t>. W</w:t>
      </w:r>
      <w:r>
        <w:rPr>
          <w:rFonts w:ascii="Book Antiqua" w:hAnsi="Book Antiqua" w:cs="Arial"/>
        </w:rPr>
        <w:t xml:space="preserve">hether or not there was a home to sell in Peshawar was really beside the point.  </w:t>
      </w:r>
    </w:p>
    <w:p w14:paraId="2840E39B" w14:textId="77777777" w:rsidR="00D93B4C" w:rsidRDefault="00360FA1" w:rsidP="00CD4CF3">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For her </w:t>
      </w:r>
      <w:r w:rsidR="00D93B4C">
        <w:rPr>
          <w:rFonts w:ascii="Book Antiqua" w:hAnsi="Book Antiqua" w:cs="Arial"/>
        </w:rPr>
        <w:t>particular,</w:t>
      </w:r>
      <w:r>
        <w:rPr>
          <w:rFonts w:ascii="Book Antiqua" w:hAnsi="Book Antiqua" w:cs="Arial"/>
        </w:rPr>
        <w:t xml:space="preserve"> Ms Pal referred to par</w:t>
      </w:r>
      <w:r w:rsidR="00D93B4C">
        <w:rPr>
          <w:rFonts w:ascii="Book Antiqua" w:hAnsi="Book Antiqua" w:cs="Arial"/>
        </w:rPr>
        <w:t>agraph 25 of the expert report. S</w:t>
      </w:r>
      <w:r>
        <w:rPr>
          <w:rFonts w:ascii="Book Antiqua" w:hAnsi="Book Antiqua" w:cs="Arial"/>
        </w:rPr>
        <w:t xml:space="preserve">he submitted that the first Appellant was not of sufficiently high profile to be targeted even if he resided outside of any “safe areas”.  </w:t>
      </w:r>
    </w:p>
    <w:p w14:paraId="43ABB965" w14:textId="675BA767" w:rsidR="00360FA1" w:rsidRDefault="00360FA1"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In reply Mr Harding referred me </w:t>
      </w:r>
      <w:r w:rsidR="0022527E">
        <w:rPr>
          <w:rFonts w:ascii="Book Antiqua" w:hAnsi="Book Antiqua" w:cs="Arial"/>
        </w:rPr>
        <w:t xml:space="preserve">to paragraphs 14 and 19 of the expert report in relation to the ability of the Taliban to collect and </w:t>
      </w:r>
      <w:r w:rsidR="00FB0E23">
        <w:rPr>
          <w:rFonts w:ascii="Book Antiqua" w:hAnsi="Book Antiqua" w:cs="Arial"/>
        </w:rPr>
        <w:t>dis</w:t>
      </w:r>
      <w:r w:rsidR="0022527E">
        <w:rPr>
          <w:rFonts w:ascii="Book Antiqua" w:hAnsi="Book Antiqua" w:cs="Arial"/>
        </w:rPr>
        <w:t>seminate intelligence.  In relation to the issue of state protection he referred me to pa</w:t>
      </w:r>
      <w:r w:rsidR="00D93B4C">
        <w:rPr>
          <w:rFonts w:ascii="Book Antiqua" w:hAnsi="Book Antiqua" w:cs="Arial"/>
        </w:rPr>
        <w:t xml:space="preserve">ragraphs 20 to 22 of the </w:t>
      </w:r>
      <w:r w:rsidR="0022527E">
        <w:rPr>
          <w:rFonts w:ascii="Book Antiqua" w:hAnsi="Book Antiqua" w:cs="Arial"/>
        </w:rPr>
        <w:t>report and paragraphs 2.2.1 and 2.2.3 of the Respondent’s Country Policy Information Note</w:t>
      </w:r>
      <w:r w:rsidR="00FB0E23">
        <w:rPr>
          <w:rFonts w:ascii="Book Antiqua" w:hAnsi="Book Antiqua" w:cs="Arial"/>
        </w:rPr>
        <w:t>s</w:t>
      </w:r>
      <w:r w:rsidR="0022527E">
        <w:rPr>
          <w:rFonts w:ascii="Book Antiqua" w:hAnsi="Book Antiqua" w:cs="Arial"/>
        </w:rPr>
        <w:t xml:space="preserve"> on Pakistan, dated June 2017.</w:t>
      </w:r>
    </w:p>
    <w:p w14:paraId="423203B1" w14:textId="77777777" w:rsidR="00D93B4C" w:rsidRDefault="00D93B4C" w:rsidP="00D93B4C">
      <w:pPr>
        <w:spacing w:before="240"/>
        <w:ind w:left="567"/>
        <w:jc w:val="both"/>
        <w:rPr>
          <w:rFonts w:ascii="Book Antiqua" w:hAnsi="Book Antiqua" w:cs="Arial"/>
        </w:rPr>
      </w:pPr>
    </w:p>
    <w:p w14:paraId="2DF429BD" w14:textId="7449442B" w:rsidR="0022527E" w:rsidRDefault="00D93B4C" w:rsidP="00FB0E23">
      <w:pPr>
        <w:spacing w:before="240"/>
        <w:jc w:val="both"/>
        <w:rPr>
          <w:rFonts w:ascii="Book Antiqua" w:hAnsi="Book Antiqua" w:cs="Arial"/>
        </w:rPr>
      </w:pPr>
      <w:r>
        <w:rPr>
          <w:rFonts w:ascii="Book Antiqua" w:hAnsi="Book Antiqua" w:cs="Arial"/>
          <w:b/>
          <w:u w:val="single"/>
        </w:rPr>
        <w:t>Findings of f</w:t>
      </w:r>
      <w:r w:rsidR="0022527E">
        <w:rPr>
          <w:rFonts w:ascii="Book Antiqua" w:hAnsi="Book Antiqua" w:cs="Arial"/>
          <w:b/>
          <w:u w:val="single"/>
        </w:rPr>
        <w:t>act</w:t>
      </w:r>
    </w:p>
    <w:p w14:paraId="0AF20D88" w14:textId="150E8264" w:rsidR="0022527E" w:rsidRDefault="00944BFF"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In the circumstances of these appeals, my findings can be briefly stated. </w:t>
      </w:r>
      <w:r w:rsidR="0022527E">
        <w:rPr>
          <w:rFonts w:ascii="Book Antiqua" w:hAnsi="Book Antiqua" w:cs="Arial"/>
        </w:rPr>
        <w:t xml:space="preserve">I find that the first Appellant has the profile accepted by the Respondent throughout and reaffirmed by the judge below.  He was involved in the transfer of missiles and in the establishment of school and clinic.  Both these activities were quite obviously seen as being extremely adverse to the </w:t>
      </w:r>
      <w:r w:rsidR="00261EB2">
        <w:rPr>
          <w:rFonts w:ascii="Book Antiqua" w:hAnsi="Book Antiqua" w:cs="Arial"/>
        </w:rPr>
        <w:t>whole “</w:t>
      </w:r>
      <w:r w:rsidR="0022527E">
        <w:rPr>
          <w:rFonts w:ascii="Book Antiqua" w:hAnsi="Book Antiqua" w:cs="Arial"/>
        </w:rPr>
        <w:t>ethos</w:t>
      </w:r>
      <w:r w:rsidR="00261EB2">
        <w:rPr>
          <w:rFonts w:ascii="Book Antiqua" w:hAnsi="Book Antiqua" w:cs="Arial"/>
        </w:rPr>
        <w:t>”</w:t>
      </w:r>
      <w:r w:rsidR="0022527E">
        <w:rPr>
          <w:rFonts w:ascii="Book Antiqua" w:hAnsi="Book Antiqua" w:cs="Arial"/>
        </w:rPr>
        <w:t xml:space="preserve"> of the Taliban and T</w:t>
      </w:r>
      <w:r w:rsidR="00FB0E23">
        <w:rPr>
          <w:rFonts w:ascii="Book Antiqua" w:hAnsi="Book Antiqua" w:cs="Arial"/>
        </w:rPr>
        <w:t>P</w:t>
      </w:r>
      <w:r w:rsidR="0022527E">
        <w:rPr>
          <w:rFonts w:ascii="Book Antiqua" w:hAnsi="Book Antiqua" w:cs="Arial"/>
        </w:rPr>
        <w:t xml:space="preserve">P.  </w:t>
      </w:r>
      <w:r w:rsidR="00261EB2">
        <w:rPr>
          <w:rFonts w:ascii="Book Antiqua" w:hAnsi="Book Antiqua" w:cs="Arial"/>
        </w:rPr>
        <w:t xml:space="preserve">It has been accepted throughout that the family faced serious threats from these tow organisations. </w:t>
      </w:r>
      <w:r w:rsidR="0022527E">
        <w:rPr>
          <w:rFonts w:ascii="Book Antiqua" w:hAnsi="Book Antiqua" w:cs="Arial"/>
        </w:rPr>
        <w:t>I find that the first Appellant may indeed have a property in Peshawar</w:t>
      </w:r>
      <w:r w:rsidR="00261EB2">
        <w:rPr>
          <w:rFonts w:ascii="Book Antiqua" w:hAnsi="Book Antiqua" w:cs="Arial"/>
        </w:rPr>
        <w:t>.</w:t>
      </w:r>
      <w:r w:rsidR="0022527E">
        <w:rPr>
          <w:rFonts w:ascii="Book Antiqua" w:hAnsi="Book Antiqua" w:cs="Arial"/>
        </w:rPr>
        <w:t xml:space="preserve"> I find that the first Appellant w</w:t>
      </w:r>
      <w:r w:rsidR="00FB0E23">
        <w:rPr>
          <w:rFonts w:ascii="Book Antiqua" w:hAnsi="Book Antiqua" w:cs="Arial"/>
        </w:rPr>
        <w:t>a</w:t>
      </w:r>
      <w:r w:rsidR="0022527E">
        <w:rPr>
          <w:rFonts w:ascii="Book Antiqua" w:hAnsi="Book Antiqua" w:cs="Arial"/>
        </w:rPr>
        <w:t>s able to conduct limited business activities in Islamabad for a</w:t>
      </w:r>
      <w:r w:rsidR="00FB0E23">
        <w:rPr>
          <w:rFonts w:ascii="Book Antiqua" w:hAnsi="Book Antiqua" w:cs="Arial"/>
        </w:rPr>
        <w:t xml:space="preserve"> </w:t>
      </w:r>
      <w:r w:rsidR="0022527E">
        <w:rPr>
          <w:rFonts w:ascii="Book Antiqua" w:hAnsi="Book Antiqua" w:cs="Arial"/>
        </w:rPr>
        <w:t xml:space="preserve">period of only two months in late 2013.  Looking at the evidence of the first Appellant’s earnings for myself, I am satisfied that his previous reference to figures of between 100,000 and 200,00 relates to rupees and </w:t>
      </w:r>
      <w:r w:rsidR="0022527E" w:rsidRPr="00261EB2">
        <w:rPr>
          <w:rFonts w:ascii="Book Antiqua" w:hAnsi="Book Antiqua" w:cs="Arial"/>
          <w:i/>
        </w:rPr>
        <w:t>not</w:t>
      </w:r>
      <w:r w:rsidR="0022527E">
        <w:rPr>
          <w:rFonts w:ascii="Book Antiqua" w:hAnsi="Book Antiqua" w:cs="Arial"/>
        </w:rPr>
        <w:t xml:space="preserve"> to pounds sterling.  The Appellant has been </w:t>
      </w:r>
      <w:r w:rsidR="005707E3">
        <w:rPr>
          <w:rFonts w:ascii="Book Antiqua" w:hAnsi="Book Antiqua" w:cs="Arial"/>
        </w:rPr>
        <w:t>deemed</w:t>
      </w:r>
      <w:r w:rsidR="0022527E">
        <w:rPr>
          <w:rFonts w:ascii="Book Antiqua" w:hAnsi="Book Antiqua" w:cs="Arial"/>
        </w:rPr>
        <w:t xml:space="preserve"> to be generally credible by both the Respondent and the First-tier Tribunal and in my view it is wholly plausible that the figures related to local currency, something that the first Appellant would have been thinking of as a matter of second nature</w:t>
      </w:r>
      <w:r w:rsidR="00261EB2">
        <w:rPr>
          <w:rFonts w:ascii="Book Antiqua" w:hAnsi="Book Antiqua" w:cs="Arial"/>
        </w:rPr>
        <w:t>,</w:t>
      </w:r>
      <w:r w:rsidR="0022527E">
        <w:rPr>
          <w:rFonts w:ascii="Book Antiqua" w:hAnsi="Book Antiqua" w:cs="Arial"/>
        </w:rPr>
        <w:t xml:space="preserve"> as it were.</w:t>
      </w:r>
    </w:p>
    <w:p w14:paraId="77A482EC" w14:textId="77777777" w:rsidR="00261EB2" w:rsidRDefault="00261EB2" w:rsidP="00261EB2">
      <w:pPr>
        <w:spacing w:before="240"/>
        <w:ind w:left="567"/>
        <w:jc w:val="both"/>
        <w:rPr>
          <w:rFonts w:ascii="Book Antiqua" w:hAnsi="Book Antiqua" w:cs="Arial"/>
        </w:rPr>
      </w:pPr>
    </w:p>
    <w:p w14:paraId="02FDD408" w14:textId="2509FCC9" w:rsidR="0022527E" w:rsidRDefault="00261EB2" w:rsidP="005707E3">
      <w:pPr>
        <w:spacing w:before="240"/>
        <w:jc w:val="both"/>
        <w:rPr>
          <w:rFonts w:ascii="Book Antiqua" w:hAnsi="Book Antiqua" w:cs="Arial"/>
        </w:rPr>
      </w:pPr>
      <w:r>
        <w:rPr>
          <w:rFonts w:ascii="Book Antiqua" w:hAnsi="Book Antiqua" w:cs="Arial"/>
          <w:b/>
          <w:u w:val="single"/>
        </w:rPr>
        <w:t>Conclusions on the p</w:t>
      </w:r>
      <w:r w:rsidR="0022527E">
        <w:rPr>
          <w:rFonts w:ascii="Book Antiqua" w:hAnsi="Book Antiqua" w:cs="Arial"/>
          <w:b/>
          <w:u w:val="single"/>
        </w:rPr>
        <w:t>ro</w:t>
      </w:r>
      <w:r w:rsidR="005707E3">
        <w:rPr>
          <w:rFonts w:ascii="Book Antiqua" w:hAnsi="Book Antiqua" w:cs="Arial"/>
          <w:b/>
          <w:u w:val="single"/>
        </w:rPr>
        <w:t>t</w:t>
      </w:r>
      <w:r>
        <w:rPr>
          <w:rFonts w:ascii="Book Antiqua" w:hAnsi="Book Antiqua" w:cs="Arial"/>
          <w:b/>
          <w:u w:val="single"/>
        </w:rPr>
        <w:t>ection c</w:t>
      </w:r>
      <w:r w:rsidR="0022527E">
        <w:rPr>
          <w:rFonts w:ascii="Book Antiqua" w:hAnsi="Book Antiqua" w:cs="Arial"/>
          <w:b/>
          <w:u w:val="single"/>
        </w:rPr>
        <w:t>laim</w:t>
      </w:r>
    </w:p>
    <w:p w14:paraId="5F192B3C" w14:textId="77777777" w:rsidR="00261EB2" w:rsidRDefault="0022527E" w:rsidP="00CD4CF3">
      <w:pPr>
        <w:numPr>
          <w:ilvl w:val="0"/>
          <w:numId w:val="1"/>
        </w:numPr>
        <w:tabs>
          <w:tab w:val="clear" w:pos="567"/>
        </w:tabs>
        <w:spacing w:before="240"/>
        <w:jc w:val="both"/>
        <w:rPr>
          <w:rFonts w:ascii="Book Antiqua" w:hAnsi="Book Antiqua" w:cs="Arial"/>
        </w:rPr>
      </w:pPr>
      <w:r>
        <w:rPr>
          <w:rFonts w:ascii="Book Antiqua" w:hAnsi="Book Antiqua" w:cs="Arial"/>
        </w:rPr>
        <w:t>First and foremost</w:t>
      </w:r>
      <w:r w:rsidR="005707E3">
        <w:rPr>
          <w:rFonts w:ascii="Book Antiqua" w:hAnsi="Book Antiqua" w:cs="Arial"/>
        </w:rPr>
        <w:t>,</w:t>
      </w:r>
      <w:r>
        <w:rPr>
          <w:rFonts w:ascii="Book Antiqua" w:hAnsi="Book Antiqua" w:cs="Arial"/>
        </w:rPr>
        <w:t xml:space="preserve"> I conclude that the Appellant and his family would be at risk in their home area of Peshawar</w:t>
      </w:r>
      <w:r w:rsidR="00261EB2">
        <w:rPr>
          <w:rFonts w:ascii="Book Antiqua" w:hAnsi="Book Antiqua" w:cs="Arial"/>
        </w:rPr>
        <w:t>. I</w:t>
      </w:r>
      <w:r>
        <w:rPr>
          <w:rFonts w:ascii="Book Antiqua" w:hAnsi="Book Antiqua" w:cs="Arial"/>
        </w:rPr>
        <w:t xml:space="preserve">t is quite obvious that there would be no state protection for them </w:t>
      </w:r>
      <w:r w:rsidR="00261EB2">
        <w:rPr>
          <w:rFonts w:ascii="Book Antiqua" w:hAnsi="Book Antiqua" w:cs="Arial"/>
        </w:rPr>
        <w:t>here whatsoever</w:t>
      </w:r>
      <w:r>
        <w:rPr>
          <w:rFonts w:ascii="Book Antiqua" w:hAnsi="Book Antiqua" w:cs="Arial"/>
        </w:rPr>
        <w:t xml:space="preserve">.  </w:t>
      </w:r>
      <w:r w:rsidR="00261EB2">
        <w:rPr>
          <w:rFonts w:ascii="Book Antiqua" w:hAnsi="Book Antiqua" w:cs="Arial"/>
        </w:rPr>
        <w:t>In so saying I have regard to the</w:t>
      </w:r>
      <w:r>
        <w:rPr>
          <w:rFonts w:ascii="Book Antiqua" w:hAnsi="Book Antiqua" w:cs="Arial"/>
        </w:rPr>
        <w:t xml:space="preserve"> expert report and the Respondent’s own policy guidance on Pakistan.</w:t>
      </w:r>
      <w:r w:rsidR="00C0573E">
        <w:rPr>
          <w:rFonts w:ascii="Book Antiqua" w:hAnsi="Book Antiqua" w:cs="Arial"/>
        </w:rPr>
        <w:t xml:space="preserve">  </w:t>
      </w:r>
    </w:p>
    <w:p w14:paraId="5EBBDE2B" w14:textId="2E47407D" w:rsidR="00712D3B" w:rsidRDefault="00C0573E" w:rsidP="00CD4CF3">
      <w:pPr>
        <w:numPr>
          <w:ilvl w:val="0"/>
          <w:numId w:val="1"/>
        </w:numPr>
        <w:tabs>
          <w:tab w:val="clear" w:pos="567"/>
        </w:tabs>
        <w:spacing w:before="240"/>
        <w:jc w:val="both"/>
        <w:rPr>
          <w:rFonts w:ascii="Book Antiqua" w:hAnsi="Book Antiqua" w:cs="Arial"/>
        </w:rPr>
      </w:pPr>
      <w:r>
        <w:rPr>
          <w:rFonts w:ascii="Book Antiqua" w:hAnsi="Book Antiqua" w:cs="Arial"/>
        </w:rPr>
        <w:t>I turn to the issue of risk elsewhere in Pakistan.  Again</w:t>
      </w:r>
      <w:r w:rsidR="00E56B5A">
        <w:rPr>
          <w:rFonts w:ascii="Book Antiqua" w:hAnsi="Book Antiqua" w:cs="Arial"/>
        </w:rPr>
        <w:t>,</w:t>
      </w:r>
      <w:r>
        <w:rPr>
          <w:rFonts w:ascii="Book Antiqua" w:hAnsi="Book Antiqua" w:cs="Arial"/>
        </w:rPr>
        <w:t xml:space="preserve"> with reference to the expert report and having regard to </w:t>
      </w:r>
      <w:r w:rsidR="00261EB2">
        <w:rPr>
          <w:rFonts w:ascii="Book Antiqua" w:hAnsi="Book Antiqua" w:cs="Arial"/>
        </w:rPr>
        <w:t>what the First-tier Tribunal</w:t>
      </w:r>
      <w:r>
        <w:rPr>
          <w:rFonts w:ascii="Book Antiqua" w:hAnsi="Book Antiqua" w:cs="Arial"/>
        </w:rPr>
        <w:t xml:space="preserve"> said, it is possible that the Appellant and his family could attempt to reduce the risk to them by living in restricted, affluent, and protected areas within other cities in Pakistan, including Islamabad.  Before turning to the question of whether this would be realistic and reasonabl</w:t>
      </w:r>
      <w:r w:rsidR="00E56B5A">
        <w:rPr>
          <w:rFonts w:ascii="Book Antiqua" w:hAnsi="Book Antiqua" w:cs="Arial"/>
        </w:rPr>
        <w:t>e</w:t>
      </w:r>
      <w:r w:rsidR="00261EB2">
        <w:rPr>
          <w:rFonts w:ascii="Book Antiqua" w:hAnsi="Book Antiqua" w:cs="Arial"/>
        </w:rPr>
        <w:t>, I deal with the existence of a risk outside</w:t>
      </w:r>
      <w:r>
        <w:rPr>
          <w:rFonts w:ascii="Book Antiqua" w:hAnsi="Book Antiqua" w:cs="Arial"/>
        </w:rPr>
        <w:t xml:space="preserve"> these potentially safe zones.  In</w:t>
      </w:r>
      <w:r w:rsidR="00261EB2">
        <w:rPr>
          <w:rFonts w:ascii="Book Antiqua" w:hAnsi="Book Antiqua" w:cs="Arial"/>
        </w:rPr>
        <w:t xml:space="preserve"> my view there is such a risk. T</w:t>
      </w:r>
      <w:r>
        <w:rPr>
          <w:rFonts w:ascii="Book Antiqua" w:hAnsi="Book Antiqua" w:cs="Arial"/>
        </w:rPr>
        <w:t xml:space="preserve">he first Appellant may not have the highest of profiles, but his historical circumstances are nonetheless significant.  He </w:t>
      </w:r>
      <w:r w:rsidR="00EA3FEA">
        <w:rPr>
          <w:rFonts w:ascii="Book Antiqua" w:hAnsi="Book Antiqua" w:cs="Arial"/>
        </w:rPr>
        <w:t xml:space="preserve">undoubtedly remains </w:t>
      </w:r>
      <w:r>
        <w:rPr>
          <w:rFonts w:ascii="Book Antiqua" w:hAnsi="Book Antiqua" w:cs="Arial"/>
        </w:rPr>
        <w:t>at risk in his home area and I place significant we</w:t>
      </w:r>
      <w:r w:rsidR="00EA3FEA">
        <w:rPr>
          <w:rFonts w:ascii="Book Antiqua" w:hAnsi="Book Antiqua" w:cs="Arial"/>
        </w:rPr>
        <w:t xml:space="preserve">ight upon the expert report, </w:t>
      </w:r>
      <w:r>
        <w:rPr>
          <w:rFonts w:ascii="Book Antiqua" w:hAnsi="Book Antiqua" w:cs="Arial"/>
        </w:rPr>
        <w:t xml:space="preserve">in </w:t>
      </w:r>
      <w:r>
        <w:rPr>
          <w:rFonts w:ascii="Book Antiqua" w:hAnsi="Book Antiqua" w:cs="Arial"/>
        </w:rPr>
        <w:lastRenderedPageBreak/>
        <w:t>particular passages relating to the ability of the</w:t>
      </w:r>
      <w:r w:rsidR="00E56B5A">
        <w:rPr>
          <w:rFonts w:ascii="Book Antiqua" w:hAnsi="Book Antiqua" w:cs="Arial"/>
        </w:rPr>
        <w:t xml:space="preserve"> Taliban and TPP to gather and di</w:t>
      </w:r>
      <w:r w:rsidR="00EA3FEA">
        <w:rPr>
          <w:rFonts w:ascii="Book Antiqua" w:hAnsi="Book Antiqua" w:cs="Arial"/>
        </w:rPr>
        <w:t>sseminate information about those of adverse interest to them</w:t>
      </w:r>
      <w:r>
        <w:rPr>
          <w:rFonts w:ascii="Book Antiqua" w:hAnsi="Book Antiqua" w:cs="Arial"/>
        </w:rPr>
        <w:t xml:space="preserve">.  There was no suggestion that this </w:t>
      </w:r>
      <w:r w:rsidR="00EA3FEA">
        <w:rPr>
          <w:rFonts w:ascii="Book Antiqua" w:hAnsi="Book Antiqua" w:cs="Arial"/>
        </w:rPr>
        <w:t xml:space="preserve">ability would somehow disappear or prove entirely ineffective simply because </w:t>
      </w:r>
      <w:r>
        <w:rPr>
          <w:rFonts w:ascii="Book Antiqua" w:hAnsi="Book Antiqua" w:cs="Arial"/>
        </w:rPr>
        <w:t xml:space="preserve">the family </w:t>
      </w:r>
      <w:r w:rsidR="00EA3FEA">
        <w:rPr>
          <w:rFonts w:ascii="Book Antiqua" w:hAnsi="Book Antiqua" w:cs="Arial"/>
        </w:rPr>
        <w:t xml:space="preserve">moved </w:t>
      </w:r>
      <w:r>
        <w:rPr>
          <w:rFonts w:ascii="Book Antiqua" w:hAnsi="Book Antiqua" w:cs="Arial"/>
        </w:rPr>
        <w:t xml:space="preserve">to Islamabad or </w:t>
      </w:r>
      <w:r w:rsidR="00EA3FEA">
        <w:rPr>
          <w:rFonts w:ascii="Book Antiqua" w:hAnsi="Book Antiqua" w:cs="Arial"/>
        </w:rPr>
        <w:t>another major city</w:t>
      </w:r>
      <w:r>
        <w:rPr>
          <w:rFonts w:ascii="Book Antiqua" w:hAnsi="Book Antiqua" w:cs="Arial"/>
        </w:rPr>
        <w:t xml:space="preserve"> in the country.  The risk may possibly reduce somewhat in an extremely large metropolis such as Karachi,</w:t>
      </w:r>
      <w:r w:rsidR="00EA3FEA">
        <w:rPr>
          <w:rFonts w:ascii="Book Antiqua" w:hAnsi="Book Antiqua" w:cs="Arial"/>
        </w:rPr>
        <w:t xml:space="preserve"> but in my view</w:t>
      </w:r>
      <w:r>
        <w:rPr>
          <w:rFonts w:ascii="Book Antiqua" w:hAnsi="Book Antiqua" w:cs="Arial"/>
        </w:rPr>
        <w:t xml:space="preserve"> it would still cross the threshold of being reasonably lik</w:t>
      </w:r>
      <w:r w:rsidR="00944BFF">
        <w:rPr>
          <w:rFonts w:ascii="Book Antiqua" w:hAnsi="Book Antiqua" w:cs="Arial"/>
        </w:rPr>
        <w:t xml:space="preserve">ely to exist.  In all the circumstances, </w:t>
      </w:r>
      <w:r>
        <w:rPr>
          <w:rFonts w:ascii="Book Antiqua" w:hAnsi="Book Antiqua" w:cs="Arial"/>
        </w:rPr>
        <w:t>I conclude that there would not be state protection</w:t>
      </w:r>
      <w:r w:rsidR="00EA3FEA">
        <w:rPr>
          <w:rFonts w:ascii="Book Antiqua" w:hAnsi="Book Antiqua" w:cs="Arial"/>
        </w:rPr>
        <w:t>,</w:t>
      </w:r>
      <w:r>
        <w:rPr>
          <w:rFonts w:ascii="Book Antiqua" w:hAnsi="Book Antiqua" w:cs="Arial"/>
        </w:rPr>
        <w:t xml:space="preserve"> having regard to the expert repo</w:t>
      </w:r>
      <w:r w:rsidR="00EA3FEA">
        <w:rPr>
          <w:rFonts w:ascii="Book Antiqua" w:hAnsi="Book Antiqua" w:cs="Arial"/>
        </w:rPr>
        <w:t>rt and the Respondent’s own position, as expressed in the CPIN</w:t>
      </w:r>
      <w:r w:rsidR="00944BFF">
        <w:rPr>
          <w:rFonts w:ascii="Book Antiqua" w:hAnsi="Book Antiqua" w:cs="Arial"/>
        </w:rPr>
        <w:t>.  The Taliban and TPP</w:t>
      </w:r>
      <w:r w:rsidR="00E744F7">
        <w:rPr>
          <w:rFonts w:ascii="Book Antiqua" w:hAnsi="Book Antiqua" w:cs="Arial"/>
        </w:rPr>
        <w:t xml:space="preserve"> intend to do the Appellant his family</w:t>
      </w:r>
      <w:r>
        <w:rPr>
          <w:rFonts w:ascii="Book Antiqua" w:hAnsi="Book Antiqua" w:cs="Arial"/>
        </w:rPr>
        <w:t xml:space="preserve"> harm</w:t>
      </w:r>
      <w:r w:rsidR="00EA3FEA">
        <w:rPr>
          <w:rFonts w:ascii="Book Antiqua" w:hAnsi="Book Antiqua" w:cs="Arial"/>
        </w:rPr>
        <w:t>,</w:t>
      </w:r>
      <w:r>
        <w:rPr>
          <w:rFonts w:ascii="Book Antiqua" w:hAnsi="Book Antiqua" w:cs="Arial"/>
        </w:rPr>
        <w:t xml:space="preserve"> and the Pakistani authorities would simply be unable to</w:t>
      </w:r>
      <w:r w:rsidR="00EA3FEA">
        <w:rPr>
          <w:rFonts w:ascii="Book Antiqua" w:hAnsi="Book Antiqua" w:cs="Arial"/>
        </w:rPr>
        <w:t xml:space="preserve"> offer</w:t>
      </w:r>
      <w:r>
        <w:rPr>
          <w:rFonts w:ascii="Book Antiqua" w:hAnsi="Book Antiqua" w:cs="Arial"/>
        </w:rPr>
        <w:t xml:space="preserve"> sufficient protection. </w:t>
      </w:r>
    </w:p>
    <w:p w14:paraId="31E7E8F9" w14:textId="77777777" w:rsidR="00274BEE" w:rsidRDefault="00C0573E" w:rsidP="00274BEE">
      <w:pPr>
        <w:numPr>
          <w:ilvl w:val="0"/>
          <w:numId w:val="1"/>
        </w:numPr>
        <w:tabs>
          <w:tab w:val="clear" w:pos="567"/>
        </w:tabs>
        <w:spacing w:before="240"/>
        <w:jc w:val="both"/>
        <w:rPr>
          <w:rFonts w:ascii="Book Antiqua" w:hAnsi="Book Antiqua" w:cs="Arial"/>
        </w:rPr>
      </w:pPr>
      <w:r>
        <w:rPr>
          <w:rFonts w:ascii="Book Antiqua" w:hAnsi="Book Antiqua" w:cs="Arial"/>
        </w:rPr>
        <w:t xml:space="preserve">I return to the issue of the </w:t>
      </w:r>
      <w:r w:rsidR="00EA3FEA">
        <w:rPr>
          <w:rFonts w:ascii="Book Antiqua" w:hAnsi="Book Antiqua" w:cs="Arial"/>
        </w:rPr>
        <w:t>“</w:t>
      </w:r>
      <w:r>
        <w:rPr>
          <w:rFonts w:ascii="Book Antiqua" w:hAnsi="Book Antiqua" w:cs="Arial"/>
        </w:rPr>
        <w:t>safe</w:t>
      </w:r>
      <w:r w:rsidR="00EA3FEA">
        <w:rPr>
          <w:rFonts w:ascii="Book Antiqua" w:hAnsi="Book Antiqua" w:cs="Arial"/>
        </w:rPr>
        <w:t>”</w:t>
      </w:r>
      <w:r>
        <w:rPr>
          <w:rFonts w:ascii="Book Antiqua" w:hAnsi="Book Antiqua" w:cs="Arial"/>
        </w:rPr>
        <w:t xml:space="preserve"> zones.  I take into account the possibility that the Appellant could sell the house in Peshawar and raise a certain amount of f</w:t>
      </w:r>
      <w:r w:rsidR="00EA3FEA">
        <w:rPr>
          <w:rFonts w:ascii="Book Antiqua" w:hAnsi="Book Antiqua" w:cs="Arial"/>
        </w:rPr>
        <w:t>unds.  This would be a finite p</w:t>
      </w:r>
      <w:r>
        <w:rPr>
          <w:rFonts w:ascii="Book Antiqua" w:hAnsi="Book Antiqua" w:cs="Arial"/>
        </w:rPr>
        <w:t>ot, as it were.  It may assist in finding certain accommodation in the short term but on any view</w:t>
      </w:r>
      <w:r w:rsidR="00522E3A">
        <w:rPr>
          <w:rFonts w:ascii="Book Antiqua" w:hAnsi="Book Antiqua" w:cs="Arial"/>
        </w:rPr>
        <w:t>,</w:t>
      </w:r>
      <w:r>
        <w:rPr>
          <w:rFonts w:ascii="Book Antiqua" w:hAnsi="Book Antiqua" w:cs="Arial"/>
        </w:rPr>
        <w:t xml:space="preserve"> </w:t>
      </w:r>
      <w:r w:rsidR="00EA3FEA">
        <w:rPr>
          <w:rFonts w:ascii="Book Antiqua" w:hAnsi="Book Antiqua" w:cs="Arial"/>
        </w:rPr>
        <w:t xml:space="preserve">it </w:t>
      </w:r>
      <w:r>
        <w:rPr>
          <w:rFonts w:ascii="Book Antiqua" w:hAnsi="Book Antiqua" w:cs="Arial"/>
        </w:rPr>
        <w:t>cannot reasonably be expected to form an ongoing source in the medium term.  I take into account the fact that the Appellants must all be able to live</w:t>
      </w:r>
      <w:r w:rsidR="00E744F7">
        <w:rPr>
          <w:rFonts w:ascii="Book Antiqua" w:hAnsi="Book Antiqua" w:cs="Arial"/>
        </w:rPr>
        <w:t xml:space="preserve"> a reasonable life, at least</w:t>
      </w:r>
      <w:r>
        <w:rPr>
          <w:rFonts w:ascii="Book Antiqua" w:hAnsi="Book Antiqua" w:cs="Arial"/>
        </w:rPr>
        <w:t xml:space="preserve"> by Pakistani standards</w:t>
      </w:r>
      <w:r w:rsidR="00EA3FEA">
        <w:rPr>
          <w:rFonts w:ascii="Book Antiqua" w:hAnsi="Book Antiqua" w:cs="Arial"/>
        </w:rPr>
        <w:t>. T</w:t>
      </w:r>
      <w:r>
        <w:rPr>
          <w:rFonts w:ascii="Book Antiqua" w:hAnsi="Book Antiqua" w:cs="Arial"/>
        </w:rPr>
        <w:t xml:space="preserve">his would include the ability to work and to attend educational institutions if appropriate.  </w:t>
      </w:r>
      <w:r w:rsidR="00E744F7">
        <w:rPr>
          <w:rFonts w:ascii="Book Antiqua" w:hAnsi="Book Antiqua" w:cs="Arial"/>
        </w:rPr>
        <w:t xml:space="preserve">In my view it is near impossible to conclude that the Appellants would be able to reasonably function as citizens of their country by having to remain within the tight geographical confines of any possible “safe” zone.  </w:t>
      </w:r>
      <w:r w:rsidR="00E744F7" w:rsidRPr="00274BEE">
        <w:rPr>
          <w:rFonts w:ascii="Book Antiqua" w:hAnsi="Book Antiqua" w:cs="Arial"/>
        </w:rPr>
        <w:t>In addition, t</w:t>
      </w:r>
      <w:r w:rsidRPr="00274BEE">
        <w:rPr>
          <w:rFonts w:ascii="Book Antiqua" w:hAnsi="Book Antiqua" w:cs="Arial"/>
        </w:rPr>
        <w:t>he</w:t>
      </w:r>
      <w:r w:rsidR="00E744F7" w:rsidRPr="00274BEE">
        <w:rPr>
          <w:rFonts w:ascii="Book Antiqua" w:hAnsi="Book Antiqua" w:cs="Arial"/>
        </w:rPr>
        <w:t>se</w:t>
      </w:r>
      <w:r w:rsidRPr="00274BEE">
        <w:rPr>
          <w:rFonts w:ascii="Book Antiqua" w:hAnsi="Book Antiqua" w:cs="Arial"/>
        </w:rPr>
        <w:t xml:space="preserve"> </w:t>
      </w:r>
      <w:r w:rsidR="00243685" w:rsidRPr="00274BEE">
        <w:rPr>
          <w:rFonts w:ascii="Book Antiqua" w:hAnsi="Book Antiqua" w:cs="Arial"/>
        </w:rPr>
        <w:t>“</w:t>
      </w:r>
      <w:r w:rsidRPr="00274BEE">
        <w:rPr>
          <w:rFonts w:ascii="Book Antiqua" w:hAnsi="Book Antiqua" w:cs="Arial"/>
        </w:rPr>
        <w:t>safe</w:t>
      </w:r>
      <w:r w:rsidR="00243685" w:rsidRPr="00274BEE">
        <w:rPr>
          <w:rFonts w:ascii="Book Antiqua" w:hAnsi="Book Antiqua" w:cs="Arial"/>
        </w:rPr>
        <w:t>”</w:t>
      </w:r>
      <w:r w:rsidRPr="00274BEE">
        <w:rPr>
          <w:rFonts w:ascii="Book Antiqua" w:hAnsi="Book Antiqua" w:cs="Arial"/>
        </w:rPr>
        <w:t xml:space="preserve"> zones are</w:t>
      </w:r>
      <w:r w:rsidR="00243685" w:rsidRPr="00274BEE">
        <w:rPr>
          <w:rFonts w:ascii="Book Antiqua" w:hAnsi="Book Antiqua" w:cs="Arial"/>
        </w:rPr>
        <w:t>,</w:t>
      </w:r>
      <w:r w:rsidRPr="00274BEE">
        <w:rPr>
          <w:rFonts w:ascii="Book Antiqua" w:hAnsi="Book Antiqua" w:cs="Arial"/>
        </w:rPr>
        <w:t xml:space="preserve"> in a sense</w:t>
      </w:r>
      <w:r w:rsidR="00243685" w:rsidRPr="00274BEE">
        <w:rPr>
          <w:rFonts w:ascii="Book Antiqua" w:hAnsi="Book Antiqua" w:cs="Arial"/>
        </w:rPr>
        <w:t>,</w:t>
      </w:r>
      <w:r w:rsidRPr="00274BEE">
        <w:rPr>
          <w:rFonts w:ascii="Book Antiqua" w:hAnsi="Book Antiqua" w:cs="Arial"/>
        </w:rPr>
        <w:t xml:space="preserve"> unknowable, and it is almost impossible to be able to ascertain what they might consist of.  </w:t>
      </w:r>
    </w:p>
    <w:p w14:paraId="1EBC78E3" w14:textId="74C4A88E" w:rsidR="00E744F7" w:rsidRPr="00274BEE" w:rsidRDefault="00C0573E" w:rsidP="00274BEE">
      <w:pPr>
        <w:numPr>
          <w:ilvl w:val="0"/>
          <w:numId w:val="1"/>
        </w:numPr>
        <w:tabs>
          <w:tab w:val="clear" w:pos="567"/>
        </w:tabs>
        <w:spacing w:before="240"/>
        <w:jc w:val="both"/>
        <w:rPr>
          <w:rFonts w:ascii="Book Antiqua" w:hAnsi="Book Antiqua" w:cs="Arial"/>
        </w:rPr>
      </w:pPr>
      <w:r w:rsidRPr="00274BEE">
        <w:rPr>
          <w:rFonts w:ascii="Book Antiqua" w:hAnsi="Book Antiqua" w:cs="Arial"/>
        </w:rPr>
        <w:t xml:space="preserve">In order to avoid the risk of detection by the Taliban and TPP the Appellants would have to in effect live in </w:t>
      </w:r>
      <w:r w:rsidR="00243685" w:rsidRPr="00274BEE">
        <w:rPr>
          <w:rFonts w:ascii="Book Antiqua" w:hAnsi="Book Antiqua" w:cs="Arial"/>
        </w:rPr>
        <w:t>what Mr Harding accurately referred to as “</w:t>
      </w:r>
      <w:r w:rsidRPr="00274BEE">
        <w:rPr>
          <w:rFonts w:ascii="Book Antiqua" w:hAnsi="Book Antiqua" w:cs="Arial"/>
        </w:rPr>
        <w:t>self-confinement</w:t>
      </w:r>
      <w:r w:rsidR="00243685" w:rsidRPr="00274BEE">
        <w:rPr>
          <w:rFonts w:ascii="Book Antiqua" w:hAnsi="Book Antiqua" w:cs="Arial"/>
        </w:rPr>
        <w:t>”</w:t>
      </w:r>
      <w:r w:rsidRPr="00274BEE">
        <w:rPr>
          <w:rFonts w:ascii="Book Antiqua" w:hAnsi="Book Antiqua" w:cs="Arial"/>
        </w:rPr>
        <w:t xml:space="preserve"> within very restricted geographical areas.  These areas may well include diplomatic enclaves where private security is in place</w:t>
      </w:r>
      <w:r w:rsidR="00712D3B" w:rsidRPr="00274BEE">
        <w:rPr>
          <w:rFonts w:ascii="Book Antiqua" w:hAnsi="Book Antiqua" w:cs="Arial"/>
        </w:rPr>
        <w:t>.  The cost of residing in such an area, particularly where there is a family of five, would undoubtedly be high</w:t>
      </w:r>
      <w:r w:rsidR="00243685" w:rsidRPr="00274BEE">
        <w:rPr>
          <w:rFonts w:ascii="Book Antiqua" w:hAnsi="Book Antiqua" w:cs="Arial"/>
        </w:rPr>
        <w:t xml:space="preserve">. </w:t>
      </w:r>
      <w:r w:rsidR="00712D3B" w:rsidRPr="00274BEE">
        <w:rPr>
          <w:rFonts w:ascii="Book Antiqua" w:hAnsi="Book Antiqua" w:cs="Arial"/>
        </w:rPr>
        <w:t>Having regard to the well-known case law on internal relocation</w:t>
      </w:r>
      <w:r w:rsidR="00243685" w:rsidRPr="00274BEE">
        <w:rPr>
          <w:rFonts w:ascii="Book Antiqua" w:hAnsi="Book Antiqua" w:cs="Arial"/>
        </w:rPr>
        <w:t>,</w:t>
      </w:r>
      <w:r w:rsidR="00712D3B" w:rsidRPr="00274BEE">
        <w:rPr>
          <w:rFonts w:ascii="Book Antiqua" w:hAnsi="Book Antiqua" w:cs="Arial"/>
        </w:rPr>
        <w:t xml:space="preserve"> including for example </w:t>
      </w:r>
      <w:r w:rsidR="00712D3B" w:rsidRPr="00274BEE">
        <w:rPr>
          <w:rFonts w:ascii="Book Antiqua" w:hAnsi="Book Antiqua" w:cs="Arial"/>
          <w:u w:val="single"/>
        </w:rPr>
        <w:t>Januzi</w:t>
      </w:r>
      <w:r w:rsidR="00712D3B" w:rsidRPr="00274BEE">
        <w:rPr>
          <w:rFonts w:ascii="Book Antiqua" w:hAnsi="Book Antiqua" w:cs="Arial"/>
        </w:rPr>
        <w:t xml:space="preserve">, I conclude that even if a real risk could be avoided by living within these </w:t>
      </w:r>
      <w:r w:rsidR="00243685" w:rsidRPr="00274BEE">
        <w:rPr>
          <w:rFonts w:ascii="Book Antiqua" w:hAnsi="Book Antiqua" w:cs="Arial"/>
        </w:rPr>
        <w:t>“</w:t>
      </w:r>
      <w:r w:rsidR="00712D3B" w:rsidRPr="00274BEE">
        <w:rPr>
          <w:rFonts w:ascii="Book Antiqua" w:hAnsi="Book Antiqua" w:cs="Arial"/>
        </w:rPr>
        <w:t>safe</w:t>
      </w:r>
      <w:r w:rsidR="00243685" w:rsidRPr="00274BEE">
        <w:rPr>
          <w:rFonts w:ascii="Book Antiqua" w:hAnsi="Book Antiqua" w:cs="Arial"/>
        </w:rPr>
        <w:t>”</w:t>
      </w:r>
      <w:r w:rsidR="00712D3B" w:rsidRPr="00274BEE">
        <w:rPr>
          <w:rFonts w:ascii="Book Antiqua" w:hAnsi="Book Antiqua" w:cs="Arial"/>
        </w:rPr>
        <w:t xml:space="preserve"> zones, this would not be a reasonable option in all the circumstances.  It would amount in eff</w:t>
      </w:r>
      <w:r w:rsidR="00274BEE">
        <w:rPr>
          <w:rFonts w:ascii="Book Antiqua" w:hAnsi="Book Antiqua" w:cs="Arial"/>
        </w:rPr>
        <w:t>ect to a form of captivity, or at least a severe restriction of liberty</w:t>
      </w:r>
      <w:r w:rsidR="00243685" w:rsidRPr="00274BEE">
        <w:rPr>
          <w:rFonts w:ascii="Book Antiqua" w:hAnsi="Book Antiqua" w:cs="Arial"/>
        </w:rPr>
        <w:t>, and</w:t>
      </w:r>
      <w:r w:rsidR="00712D3B" w:rsidRPr="00274BEE">
        <w:rPr>
          <w:rFonts w:ascii="Book Antiqua" w:hAnsi="Book Antiqua" w:cs="Arial"/>
        </w:rPr>
        <w:t xml:space="preserve"> that cannot be an appropriate option for a family s</w:t>
      </w:r>
      <w:r w:rsidR="00243685" w:rsidRPr="00274BEE">
        <w:rPr>
          <w:rFonts w:ascii="Book Antiqua" w:hAnsi="Book Antiqua" w:cs="Arial"/>
        </w:rPr>
        <w:t>eeking to avoid persecution by</w:t>
      </w:r>
      <w:r w:rsidR="00712D3B" w:rsidRPr="00274BEE">
        <w:rPr>
          <w:rFonts w:ascii="Book Antiqua" w:hAnsi="Book Antiqua" w:cs="Arial"/>
        </w:rPr>
        <w:t xml:space="preserve"> ruthless and brutal organisation</w:t>
      </w:r>
      <w:r w:rsidR="00243685" w:rsidRPr="00274BEE">
        <w:rPr>
          <w:rFonts w:ascii="Book Antiqua" w:hAnsi="Book Antiqua" w:cs="Arial"/>
        </w:rPr>
        <w:t>s</w:t>
      </w:r>
      <w:r w:rsidR="00712D3B" w:rsidRPr="00274BEE">
        <w:rPr>
          <w:rFonts w:ascii="Book Antiqua" w:hAnsi="Book Antiqua" w:cs="Arial"/>
        </w:rPr>
        <w:t xml:space="preserve">.  </w:t>
      </w:r>
      <w:r w:rsidR="00274BEE">
        <w:rPr>
          <w:rFonts w:ascii="Book Antiqua" w:hAnsi="Book Antiqua" w:cs="Arial"/>
        </w:rPr>
        <w:t>A proper application of the internal relocation principle does not countenance such a state of affairs.</w:t>
      </w:r>
    </w:p>
    <w:p w14:paraId="71BA40F7" w14:textId="3F7652DD" w:rsidR="00243685" w:rsidRDefault="00712D3B" w:rsidP="00CD4CF3">
      <w:pPr>
        <w:numPr>
          <w:ilvl w:val="0"/>
          <w:numId w:val="1"/>
        </w:numPr>
        <w:tabs>
          <w:tab w:val="clear" w:pos="567"/>
        </w:tabs>
        <w:spacing w:before="240"/>
        <w:jc w:val="both"/>
        <w:rPr>
          <w:rFonts w:ascii="Book Antiqua" w:hAnsi="Book Antiqua" w:cs="Arial"/>
        </w:rPr>
      </w:pPr>
      <w:r>
        <w:rPr>
          <w:rFonts w:ascii="Book Antiqua" w:hAnsi="Book Antiqua" w:cs="Arial"/>
        </w:rPr>
        <w:t>In light of the above</w:t>
      </w:r>
      <w:r w:rsidR="00243685">
        <w:rPr>
          <w:rFonts w:ascii="Book Antiqua" w:hAnsi="Book Antiqua" w:cs="Arial"/>
        </w:rPr>
        <w:t>,</w:t>
      </w:r>
      <w:r>
        <w:rPr>
          <w:rFonts w:ascii="Book Antiqua" w:hAnsi="Book Antiqua" w:cs="Arial"/>
        </w:rPr>
        <w:t xml:space="preserve"> the Appellants are </w:t>
      </w:r>
      <w:r w:rsidR="00243685">
        <w:rPr>
          <w:rFonts w:ascii="Book Antiqua" w:hAnsi="Book Antiqua" w:cs="Arial"/>
        </w:rPr>
        <w:t xml:space="preserve">all </w:t>
      </w:r>
      <w:r>
        <w:rPr>
          <w:rFonts w:ascii="Book Antiqua" w:hAnsi="Book Antiqua" w:cs="Arial"/>
        </w:rPr>
        <w:t xml:space="preserve">refugees and persons whose return to Pakistan would expose them to Article 3 ill-treatment.  </w:t>
      </w:r>
    </w:p>
    <w:p w14:paraId="6846F85B" w14:textId="115B2777" w:rsidR="0022527E" w:rsidRPr="009B7433" w:rsidRDefault="00712D3B" w:rsidP="00CD4CF3">
      <w:pPr>
        <w:numPr>
          <w:ilvl w:val="0"/>
          <w:numId w:val="1"/>
        </w:numPr>
        <w:tabs>
          <w:tab w:val="clear" w:pos="567"/>
        </w:tabs>
        <w:spacing w:before="240"/>
        <w:jc w:val="both"/>
        <w:rPr>
          <w:rFonts w:ascii="Book Antiqua" w:hAnsi="Book Antiqua" w:cs="Arial"/>
        </w:rPr>
      </w:pPr>
      <w:r>
        <w:rPr>
          <w:rFonts w:ascii="Book Antiqua" w:hAnsi="Book Antiqua" w:cs="Arial"/>
        </w:rPr>
        <w:t>The appeals are therefore all allowed.</w:t>
      </w:r>
    </w:p>
    <w:p w14:paraId="7105AAB6" w14:textId="77777777" w:rsidR="00243685" w:rsidRDefault="00243685" w:rsidP="00CD4CF3">
      <w:pPr>
        <w:spacing w:before="240"/>
        <w:jc w:val="both"/>
        <w:rPr>
          <w:rFonts w:ascii="Book Antiqua" w:hAnsi="Book Antiqua" w:cs="Arial"/>
        </w:rPr>
      </w:pPr>
    </w:p>
    <w:p w14:paraId="017307F3" w14:textId="79394127" w:rsidR="00243685" w:rsidRPr="00274BEE" w:rsidRDefault="00274BEE" w:rsidP="00CD4CF3">
      <w:pPr>
        <w:spacing w:before="240"/>
        <w:jc w:val="both"/>
        <w:rPr>
          <w:rFonts w:ascii="Book Antiqua" w:hAnsi="Book Antiqua" w:cs="Arial"/>
          <w:b/>
          <w:u w:val="single"/>
        </w:rPr>
      </w:pPr>
      <w:r w:rsidRPr="00274BEE">
        <w:rPr>
          <w:rFonts w:ascii="Book Antiqua" w:hAnsi="Book Antiqua" w:cs="Arial"/>
          <w:b/>
          <w:u w:val="single"/>
        </w:rPr>
        <w:t xml:space="preserve">Notice of Decision </w:t>
      </w:r>
    </w:p>
    <w:p w14:paraId="0C3278ED" w14:textId="18A1D350" w:rsidR="009F5220" w:rsidRPr="00B25AEF" w:rsidRDefault="00274BEE" w:rsidP="00CD4CF3">
      <w:pPr>
        <w:spacing w:before="240"/>
        <w:jc w:val="both"/>
        <w:rPr>
          <w:rFonts w:ascii="Book Antiqua" w:hAnsi="Book Antiqua" w:cs="Arial"/>
          <w:b/>
        </w:rPr>
      </w:pPr>
      <w:r w:rsidRPr="00B25AEF">
        <w:rPr>
          <w:rFonts w:ascii="Book Antiqua" w:hAnsi="Book Antiqua" w:cs="Arial"/>
          <w:b/>
        </w:rPr>
        <w:t>The decision of the First-tier Tribunal contains material errors of law and I set it aside.</w:t>
      </w:r>
    </w:p>
    <w:p w14:paraId="797856AB" w14:textId="77777777" w:rsidR="00274BEE" w:rsidRDefault="00274BEE" w:rsidP="00CD4CF3">
      <w:pPr>
        <w:spacing w:before="240"/>
        <w:jc w:val="both"/>
        <w:rPr>
          <w:rFonts w:ascii="Book Antiqua" w:hAnsi="Book Antiqua" w:cs="Arial"/>
        </w:rPr>
      </w:pPr>
    </w:p>
    <w:p w14:paraId="13345AD7" w14:textId="656653E4" w:rsidR="00274BEE" w:rsidRPr="00B25AEF" w:rsidRDefault="00274BEE" w:rsidP="00CD4CF3">
      <w:pPr>
        <w:spacing w:before="240"/>
        <w:jc w:val="both"/>
        <w:rPr>
          <w:rFonts w:ascii="Book Antiqua" w:hAnsi="Book Antiqua" w:cs="Arial"/>
          <w:b/>
        </w:rPr>
      </w:pPr>
      <w:r w:rsidRPr="00B25AEF">
        <w:rPr>
          <w:rFonts w:ascii="Book Antiqua" w:hAnsi="Book Antiqua" w:cs="Arial"/>
          <w:b/>
        </w:rPr>
        <w:t xml:space="preserve">I remake the decision by </w:t>
      </w:r>
      <w:r w:rsidRPr="00B25AEF">
        <w:rPr>
          <w:rFonts w:ascii="Book Antiqua" w:hAnsi="Book Antiqua" w:cs="Arial"/>
          <w:b/>
          <w:u w:val="single"/>
        </w:rPr>
        <w:t>allowing</w:t>
      </w:r>
      <w:r w:rsidRPr="00B25AEF">
        <w:rPr>
          <w:rFonts w:ascii="Book Antiqua" w:hAnsi="Book Antiqua" w:cs="Arial"/>
          <w:b/>
        </w:rPr>
        <w:t xml:space="preserve"> the Appellants’ appeals on the basis that the </w:t>
      </w:r>
      <w:r w:rsidR="00B25AEF" w:rsidRPr="00B25AEF">
        <w:rPr>
          <w:rFonts w:ascii="Book Antiqua" w:hAnsi="Book Antiqua" w:cs="Arial"/>
          <w:b/>
        </w:rPr>
        <w:t xml:space="preserve">Respondent’s refusals of their protection </w:t>
      </w:r>
      <w:r w:rsidR="00B25AEF">
        <w:rPr>
          <w:rFonts w:ascii="Book Antiqua" w:hAnsi="Book Antiqua" w:cs="Arial"/>
          <w:b/>
        </w:rPr>
        <w:t>claims are contrary to the United Kingdom’s obligations under the Refugee Convention and the Respondent’s refusals of the</w:t>
      </w:r>
      <w:r w:rsidR="00B25AEF" w:rsidRPr="00B25AEF">
        <w:rPr>
          <w:rFonts w:ascii="Book Antiqua" w:hAnsi="Book Antiqua" w:cs="Arial"/>
          <w:b/>
        </w:rPr>
        <w:t xml:space="preserve"> h</w:t>
      </w:r>
      <w:r w:rsidR="00B25AEF">
        <w:rPr>
          <w:rFonts w:ascii="Book Antiqua" w:hAnsi="Book Antiqua" w:cs="Arial"/>
          <w:b/>
        </w:rPr>
        <w:t>uman rights claims are unlawful under section 6 of the Human Rights Act 1998.</w:t>
      </w:r>
    </w:p>
    <w:p w14:paraId="5F99246D" w14:textId="1C040CA3" w:rsidR="001F2716" w:rsidRPr="009B7433" w:rsidRDefault="00780F86"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231738">
        <w:rPr>
          <w:noProof/>
        </w:rPr>
        <w:drawing>
          <wp:inline distT="0" distB="0" distL="0" distR="0" wp14:anchorId="64616143" wp14:editId="06DD30B1">
            <wp:extent cx="2287494" cy="6743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888" cy="674781"/>
                    </a:xfrm>
                    <a:prstGeom prst="rect">
                      <a:avLst/>
                    </a:prstGeom>
                    <a:noFill/>
                    <a:ln>
                      <a:noFill/>
                    </a:ln>
                  </pic:spPr>
                </pic:pic>
              </a:graphicData>
            </a:graphic>
          </wp:inline>
        </w:drawing>
      </w:r>
      <w:r w:rsidR="00231738">
        <w:rPr>
          <w:rFonts w:ascii="Book Antiqua" w:hAnsi="Book Antiqua" w:cs="Arial"/>
        </w:rPr>
        <w:tab/>
      </w:r>
      <w:r w:rsidR="00231738">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B25AEF">
        <w:rPr>
          <w:rFonts w:ascii="Book Antiqua" w:hAnsi="Book Antiqua" w:cs="Arial"/>
        </w:rPr>
        <w:t>: 18 June 2018</w:t>
      </w:r>
    </w:p>
    <w:p w14:paraId="11175AF8" w14:textId="77777777" w:rsidR="004A2D15" w:rsidRPr="001C5703" w:rsidRDefault="00FE6895" w:rsidP="00CD4CF3">
      <w:pPr>
        <w:spacing w:before="240"/>
        <w:jc w:val="both"/>
        <w:rPr>
          <w:rFonts w:ascii="Book Antiqua" w:hAnsi="Book Antiqua" w:cs="Arial"/>
          <w:color w:val="000000"/>
        </w:rPr>
      </w:pPr>
      <w:r>
        <w:rPr>
          <w:rFonts w:ascii="Book Antiqua" w:hAnsi="Book Antiqua" w:cs="Arial"/>
          <w:color w:val="000000"/>
        </w:rPr>
        <w:t>Deputy Upper Tribunal Judge Norton-Taylor</w:t>
      </w:r>
    </w:p>
    <w:p w14:paraId="48099437" w14:textId="54DC92A8" w:rsidR="00D949B7" w:rsidRDefault="00D949B7" w:rsidP="00CD4CF3">
      <w:pPr>
        <w:spacing w:before="240"/>
        <w:jc w:val="both"/>
        <w:rPr>
          <w:rFonts w:ascii="Book Antiqua" w:hAnsi="Book Antiqua" w:cs="Arial"/>
          <w:color w:val="000000"/>
        </w:rPr>
      </w:pPr>
    </w:p>
    <w:p w14:paraId="2CF31FB5" w14:textId="77777777" w:rsidR="000C42A8" w:rsidRDefault="000C42A8" w:rsidP="00CD4CF3">
      <w:pPr>
        <w:spacing w:before="240"/>
        <w:jc w:val="both"/>
        <w:rPr>
          <w:rFonts w:ascii="Book Antiqua" w:hAnsi="Book Antiqua" w:cs="Arial"/>
          <w:color w:val="000000"/>
        </w:rPr>
      </w:pPr>
    </w:p>
    <w:p w14:paraId="3287DDB2" w14:textId="77777777" w:rsidR="00D949B7" w:rsidRPr="00D949B7" w:rsidRDefault="00D949B7" w:rsidP="00CD4CF3">
      <w:pPr>
        <w:spacing w:before="240"/>
        <w:jc w:val="both"/>
        <w:rPr>
          <w:rFonts w:ascii="Book Antiqua" w:hAnsi="Book Antiqua" w:cs="Arial"/>
          <w:b/>
          <w:u w:val="single"/>
        </w:rPr>
      </w:pPr>
      <w:r w:rsidRPr="00D949B7">
        <w:rPr>
          <w:rFonts w:ascii="Book Antiqua" w:hAnsi="Book Antiqua" w:cs="Arial"/>
          <w:b/>
          <w:u w:val="single"/>
        </w:rPr>
        <w:t>TO THE RESPONDENT</w:t>
      </w:r>
    </w:p>
    <w:p w14:paraId="2150B5BB" w14:textId="77777777" w:rsidR="00D949B7" w:rsidRPr="00D949B7" w:rsidRDefault="00D949B7" w:rsidP="00CD4CF3">
      <w:pPr>
        <w:spacing w:before="240"/>
        <w:jc w:val="both"/>
        <w:rPr>
          <w:rFonts w:ascii="Book Antiqua" w:hAnsi="Book Antiqua" w:cs="Arial"/>
        </w:rPr>
      </w:pPr>
      <w:r w:rsidRPr="00D949B7">
        <w:rPr>
          <w:rFonts w:ascii="Book Antiqua" w:hAnsi="Book Antiqua" w:cs="Arial"/>
          <w:b/>
          <w:u w:val="single"/>
        </w:rPr>
        <w:t>FEE AWARD</w:t>
      </w:r>
    </w:p>
    <w:p w14:paraId="30588606" w14:textId="070DF682" w:rsidR="00D949B7" w:rsidRPr="00D949B7" w:rsidRDefault="00D949B7" w:rsidP="00CD4CF3">
      <w:pPr>
        <w:spacing w:before="240"/>
        <w:jc w:val="both"/>
        <w:rPr>
          <w:rFonts w:ascii="Book Antiqua" w:hAnsi="Book Antiqua" w:cs="Arial"/>
        </w:rPr>
      </w:pPr>
      <w:r w:rsidRPr="00D949B7">
        <w:rPr>
          <w:rFonts w:ascii="Book Antiqua" w:hAnsi="Book Antiqua" w:cs="Arial"/>
        </w:rPr>
        <w:t xml:space="preserve">As I have allowed the appeal and because a fee has been paid or is payable, I have considered making a fee award and have decided to make </w:t>
      </w:r>
      <w:r w:rsidR="00231738">
        <w:rPr>
          <w:rFonts w:ascii="Book Antiqua" w:hAnsi="Book Antiqua" w:cs="Arial"/>
        </w:rPr>
        <w:t>full fee awards of £140.00 in each appeal, making a total of  £700.00.</w:t>
      </w:r>
    </w:p>
    <w:p w14:paraId="268E0EDC" w14:textId="3DB67ACB" w:rsidR="00D949B7" w:rsidRPr="009B7433" w:rsidRDefault="00D949B7"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231738">
        <w:rPr>
          <w:noProof/>
        </w:rPr>
        <w:drawing>
          <wp:inline distT="0" distB="0" distL="0" distR="0" wp14:anchorId="6D0E05B5" wp14:editId="4DFDEB43">
            <wp:extent cx="2287494" cy="67437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888" cy="674781"/>
                    </a:xfrm>
                    <a:prstGeom prst="rect">
                      <a:avLst/>
                    </a:prstGeom>
                    <a:noFill/>
                    <a:ln>
                      <a:noFill/>
                    </a:ln>
                  </pic:spPr>
                </pic:pic>
              </a:graphicData>
            </a:graphic>
          </wp:inline>
        </w:drawing>
      </w:r>
      <w:r w:rsidR="00231738">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231738">
        <w:rPr>
          <w:rFonts w:ascii="Book Antiqua" w:hAnsi="Book Antiqua" w:cs="Arial"/>
        </w:rPr>
        <w:t>: 18 June 2018</w:t>
      </w:r>
    </w:p>
    <w:p w14:paraId="3481C35D" w14:textId="386E4653" w:rsidR="00B95326" w:rsidRPr="009B7433" w:rsidRDefault="00FE6895" w:rsidP="001D09D6">
      <w:pPr>
        <w:spacing w:before="240"/>
        <w:jc w:val="both"/>
        <w:rPr>
          <w:rFonts w:ascii="Book Antiqua" w:hAnsi="Book Antiqua" w:cs="Arial"/>
        </w:rPr>
      </w:pPr>
      <w:r>
        <w:rPr>
          <w:rFonts w:ascii="Book Antiqua" w:hAnsi="Book Antiqua" w:cs="Arial"/>
          <w:color w:val="000000"/>
        </w:rPr>
        <w:t>Deputy Upper Tribunal Judge Norton-Taylor</w:t>
      </w: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46554" w14:textId="77777777" w:rsidR="00231738" w:rsidRDefault="00231738">
      <w:r>
        <w:separator/>
      </w:r>
    </w:p>
  </w:endnote>
  <w:endnote w:type="continuationSeparator" w:id="0">
    <w:p w14:paraId="6793ED13" w14:textId="77777777" w:rsidR="00231738" w:rsidRDefault="00231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225EE" w14:textId="612631F0" w:rsidR="00231738" w:rsidRPr="009B7433" w:rsidRDefault="00231738"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0A114B">
      <w:rPr>
        <w:rStyle w:val="PageNumber"/>
        <w:rFonts w:ascii="Book Antiqua" w:hAnsi="Book Antiqua" w:cs="Arial"/>
        <w:noProof/>
        <w:sz w:val="16"/>
        <w:szCs w:val="16"/>
      </w:rPr>
      <w:t>2</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8A917" w14:textId="77777777" w:rsidR="00231738" w:rsidRPr="009B7433" w:rsidRDefault="00231738"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A76E5" w14:textId="77777777" w:rsidR="00231738" w:rsidRDefault="00231738">
      <w:r>
        <w:separator/>
      </w:r>
    </w:p>
  </w:footnote>
  <w:footnote w:type="continuationSeparator" w:id="0">
    <w:p w14:paraId="73D94BA5" w14:textId="77777777" w:rsidR="00231738" w:rsidRDefault="00231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512E2" w14:textId="77777777" w:rsidR="00231738" w:rsidRDefault="00231738"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s</w:t>
    </w:r>
    <w:r w:rsidRPr="009B7433">
      <w:rPr>
        <w:rFonts w:ascii="Book Antiqua" w:hAnsi="Book Antiqua" w:cs="Arial"/>
        <w:sz w:val="16"/>
        <w:szCs w:val="16"/>
      </w:rPr>
      <w:t>:</w:t>
    </w:r>
    <w:r>
      <w:rPr>
        <w:rFonts w:ascii="Book Antiqua" w:hAnsi="Book Antiqua" w:cs="Arial"/>
        <w:sz w:val="16"/>
        <w:szCs w:val="16"/>
      </w:rPr>
      <w:t xml:space="preserve"> PA/00730/2017, PA/00733/2017,</w:t>
    </w:r>
  </w:p>
  <w:p w14:paraId="46C23FB1" w14:textId="77777777" w:rsidR="00231738" w:rsidRDefault="00231738" w:rsidP="00593795">
    <w:pPr>
      <w:pStyle w:val="Header"/>
      <w:jc w:val="right"/>
      <w:rPr>
        <w:rFonts w:ascii="Book Antiqua" w:hAnsi="Book Antiqua" w:cs="Arial"/>
        <w:sz w:val="16"/>
        <w:szCs w:val="16"/>
      </w:rPr>
    </w:pPr>
    <w:r>
      <w:rPr>
        <w:rFonts w:ascii="Book Antiqua" w:hAnsi="Book Antiqua" w:cs="Arial"/>
        <w:sz w:val="16"/>
        <w:szCs w:val="16"/>
      </w:rPr>
      <w:t>PA/00737/2017, PA/00742/2017</w:t>
    </w:r>
  </w:p>
  <w:p w14:paraId="2512501B" w14:textId="125B92E2" w:rsidR="00231738" w:rsidRDefault="00231738" w:rsidP="00593795">
    <w:pPr>
      <w:pStyle w:val="Header"/>
      <w:jc w:val="right"/>
      <w:rPr>
        <w:rFonts w:ascii="Book Antiqua" w:hAnsi="Book Antiqua" w:cs="Arial"/>
        <w:sz w:val="16"/>
        <w:szCs w:val="16"/>
      </w:rPr>
    </w:pPr>
    <w:r>
      <w:rPr>
        <w:rFonts w:ascii="Book Antiqua" w:hAnsi="Book Antiqua" w:cs="Arial"/>
        <w:sz w:val="16"/>
        <w:szCs w:val="16"/>
      </w:rPr>
      <w:t>PA/00747/2017</w:t>
    </w:r>
    <w:r w:rsidRPr="009B7433">
      <w:rPr>
        <w:rFonts w:ascii="Book Antiqua" w:hAnsi="Book Antiqua" w:cs="Arial"/>
        <w:sz w:val="16"/>
        <w:szCs w:val="16"/>
      </w:rPr>
      <w:t xml:space="preserve"> </w:t>
    </w:r>
  </w:p>
  <w:p w14:paraId="5E1E9355" w14:textId="77777777" w:rsidR="000C42A8" w:rsidRPr="009B7433" w:rsidRDefault="000C42A8"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2B17B" w14:textId="77777777" w:rsidR="00231738" w:rsidRPr="009B7433" w:rsidRDefault="00231738">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FFD"/>
    <w:rsid w:val="00000621"/>
    <w:rsid w:val="00003131"/>
    <w:rsid w:val="000036C2"/>
    <w:rsid w:val="000111FC"/>
    <w:rsid w:val="00016C1A"/>
    <w:rsid w:val="00033588"/>
    <w:rsid w:val="00033D3D"/>
    <w:rsid w:val="0004776F"/>
    <w:rsid w:val="00052895"/>
    <w:rsid w:val="00062F02"/>
    <w:rsid w:val="0007011D"/>
    <w:rsid w:val="00071A7E"/>
    <w:rsid w:val="000746C0"/>
    <w:rsid w:val="00074D1D"/>
    <w:rsid w:val="00077715"/>
    <w:rsid w:val="00092580"/>
    <w:rsid w:val="00093D4D"/>
    <w:rsid w:val="000A114B"/>
    <w:rsid w:val="000C42A8"/>
    <w:rsid w:val="000D5D94"/>
    <w:rsid w:val="000F1A0E"/>
    <w:rsid w:val="001165A7"/>
    <w:rsid w:val="00160508"/>
    <w:rsid w:val="0016508E"/>
    <w:rsid w:val="00167D3A"/>
    <w:rsid w:val="00173F50"/>
    <w:rsid w:val="00185986"/>
    <w:rsid w:val="001A3082"/>
    <w:rsid w:val="001B186A"/>
    <w:rsid w:val="001B2F75"/>
    <w:rsid w:val="001C6F5F"/>
    <w:rsid w:val="001C7F77"/>
    <w:rsid w:val="001D09D6"/>
    <w:rsid w:val="001D6167"/>
    <w:rsid w:val="001E5948"/>
    <w:rsid w:val="001F2716"/>
    <w:rsid w:val="001F3AC0"/>
    <w:rsid w:val="00207617"/>
    <w:rsid w:val="0022527E"/>
    <w:rsid w:val="0023134B"/>
    <w:rsid w:val="00231738"/>
    <w:rsid w:val="00243685"/>
    <w:rsid w:val="00261EB2"/>
    <w:rsid w:val="00274BEE"/>
    <w:rsid w:val="00283659"/>
    <w:rsid w:val="0029177A"/>
    <w:rsid w:val="002A0036"/>
    <w:rsid w:val="002C6BD4"/>
    <w:rsid w:val="002D68BF"/>
    <w:rsid w:val="002E4541"/>
    <w:rsid w:val="002F6B98"/>
    <w:rsid w:val="003053D1"/>
    <w:rsid w:val="00336CBF"/>
    <w:rsid w:val="00343FE3"/>
    <w:rsid w:val="003546C8"/>
    <w:rsid w:val="00360FA1"/>
    <w:rsid w:val="003825D4"/>
    <w:rsid w:val="003A7CF2"/>
    <w:rsid w:val="003C5CE5"/>
    <w:rsid w:val="003D6FAD"/>
    <w:rsid w:val="003E267B"/>
    <w:rsid w:val="003E7CD1"/>
    <w:rsid w:val="00402B9E"/>
    <w:rsid w:val="004249CB"/>
    <w:rsid w:val="0043168C"/>
    <w:rsid w:val="0044127D"/>
    <w:rsid w:val="004448DB"/>
    <w:rsid w:val="00446C9A"/>
    <w:rsid w:val="00452F2B"/>
    <w:rsid w:val="00460717"/>
    <w:rsid w:val="00477193"/>
    <w:rsid w:val="00494716"/>
    <w:rsid w:val="004A1848"/>
    <w:rsid w:val="004A2D15"/>
    <w:rsid w:val="004A534C"/>
    <w:rsid w:val="004A6F4A"/>
    <w:rsid w:val="004B70D7"/>
    <w:rsid w:val="004D6B45"/>
    <w:rsid w:val="004E4717"/>
    <w:rsid w:val="00507FEC"/>
    <w:rsid w:val="00510F0E"/>
    <w:rsid w:val="00512F8C"/>
    <w:rsid w:val="00522E3A"/>
    <w:rsid w:val="005479E1"/>
    <w:rsid w:val="00553E0A"/>
    <w:rsid w:val="005570FD"/>
    <w:rsid w:val="005575EA"/>
    <w:rsid w:val="005707E3"/>
    <w:rsid w:val="0057790C"/>
    <w:rsid w:val="00593795"/>
    <w:rsid w:val="005A75FF"/>
    <w:rsid w:val="005D10AB"/>
    <w:rsid w:val="00601D8F"/>
    <w:rsid w:val="00604A72"/>
    <w:rsid w:val="00605582"/>
    <w:rsid w:val="00611F34"/>
    <w:rsid w:val="00620F3C"/>
    <w:rsid w:val="00621FE8"/>
    <w:rsid w:val="006434B6"/>
    <w:rsid w:val="00653E97"/>
    <w:rsid w:val="006667DB"/>
    <w:rsid w:val="00670EAF"/>
    <w:rsid w:val="0068413E"/>
    <w:rsid w:val="00684A74"/>
    <w:rsid w:val="0068620A"/>
    <w:rsid w:val="00690B8A"/>
    <w:rsid w:val="006C737E"/>
    <w:rsid w:val="006D2DF2"/>
    <w:rsid w:val="006F2CF1"/>
    <w:rsid w:val="007038ED"/>
    <w:rsid w:val="00703BC3"/>
    <w:rsid w:val="00704B61"/>
    <w:rsid w:val="00712D3B"/>
    <w:rsid w:val="00715A64"/>
    <w:rsid w:val="00740C1F"/>
    <w:rsid w:val="0074796D"/>
    <w:rsid w:val="007552A9"/>
    <w:rsid w:val="0075658A"/>
    <w:rsid w:val="00761858"/>
    <w:rsid w:val="00767D59"/>
    <w:rsid w:val="00776E97"/>
    <w:rsid w:val="00780F86"/>
    <w:rsid w:val="007912AD"/>
    <w:rsid w:val="007B0824"/>
    <w:rsid w:val="007B5D3C"/>
    <w:rsid w:val="007B6B4F"/>
    <w:rsid w:val="007C3F3D"/>
    <w:rsid w:val="007E24C3"/>
    <w:rsid w:val="007F2E69"/>
    <w:rsid w:val="00815011"/>
    <w:rsid w:val="00821B72"/>
    <w:rsid w:val="00823EF2"/>
    <w:rsid w:val="008303B8"/>
    <w:rsid w:val="00833DCE"/>
    <w:rsid w:val="0085036E"/>
    <w:rsid w:val="00871D34"/>
    <w:rsid w:val="0089702C"/>
    <w:rsid w:val="008A25EC"/>
    <w:rsid w:val="008A6059"/>
    <w:rsid w:val="008B270C"/>
    <w:rsid w:val="008B5078"/>
    <w:rsid w:val="008C3D3D"/>
    <w:rsid w:val="008D05F7"/>
    <w:rsid w:val="008D4131"/>
    <w:rsid w:val="008F1932"/>
    <w:rsid w:val="0090151B"/>
    <w:rsid w:val="009042A9"/>
    <w:rsid w:val="00921062"/>
    <w:rsid w:val="00944BFF"/>
    <w:rsid w:val="009722BC"/>
    <w:rsid w:val="009727A3"/>
    <w:rsid w:val="00987774"/>
    <w:rsid w:val="009A11E8"/>
    <w:rsid w:val="009B7433"/>
    <w:rsid w:val="009C57C8"/>
    <w:rsid w:val="009D5357"/>
    <w:rsid w:val="009F0077"/>
    <w:rsid w:val="009F5220"/>
    <w:rsid w:val="00A07919"/>
    <w:rsid w:val="00A15234"/>
    <w:rsid w:val="00A201AB"/>
    <w:rsid w:val="00A31C8B"/>
    <w:rsid w:val="00A509FA"/>
    <w:rsid w:val="00A845DC"/>
    <w:rsid w:val="00AD2088"/>
    <w:rsid w:val="00AD7143"/>
    <w:rsid w:val="00B01FFD"/>
    <w:rsid w:val="00B12405"/>
    <w:rsid w:val="00B16E35"/>
    <w:rsid w:val="00B255D1"/>
    <w:rsid w:val="00B25AEF"/>
    <w:rsid w:val="00B26AA2"/>
    <w:rsid w:val="00B3524D"/>
    <w:rsid w:val="00B40F69"/>
    <w:rsid w:val="00B46616"/>
    <w:rsid w:val="00B528BB"/>
    <w:rsid w:val="00B7040A"/>
    <w:rsid w:val="00B83391"/>
    <w:rsid w:val="00B95326"/>
    <w:rsid w:val="00BB0C31"/>
    <w:rsid w:val="00BD4196"/>
    <w:rsid w:val="00BF22CA"/>
    <w:rsid w:val="00BF23BB"/>
    <w:rsid w:val="00C0573E"/>
    <w:rsid w:val="00C26032"/>
    <w:rsid w:val="00C345E1"/>
    <w:rsid w:val="00C40B79"/>
    <w:rsid w:val="00C43BFD"/>
    <w:rsid w:val="00C6048A"/>
    <w:rsid w:val="00C70A4E"/>
    <w:rsid w:val="00CB6E35"/>
    <w:rsid w:val="00CD4CF3"/>
    <w:rsid w:val="00CE08DF"/>
    <w:rsid w:val="00CE09B1"/>
    <w:rsid w:val="00CE1A46"/>
    <w:rsid w:val="00D20757"/>
    <w:rsid w:val="00D22636"/>
    <w:rsid w:val="00D40FD9"/>
    <w:rsid w:val="00D53769"/>
    <w:rsid w:val="00D609F4"/>
    <w:rsid w:val="00D6602D"/>
    <w:rsid w:val="00D85C13"/>
    <w:rsid w:val="00D9111A"/>
    <w:rsid w:val="00D91BE3"/>
    <w:rsid w:val="00D93B4C"/>
    <w:rsid w:val="00D949B7"/>
    <w:rsid w:val="00D94AFC"/>
    <w:rsid w:val="00DA1ACB"/>
    <w:rsid w:val="00DB70AE"/>
    <w:rsid w:val="00DD5071"/>
    <w:rsid w:val="00DD5C39"/>
    <w:rsid w:val="00DE1FD4"/>
    <w:rsid w:val="00DE7DB7"/>
    <w:rsid w:val="00DF4F70"/>
    <w:rsid w:val="00E00A0A"/>
    <w:rsid w:val="00E066DE"/>
    <w:rsid w:val="00E07F57"/>
    <w:rsid w:val="00E30683"/>
    <w:rsid w:val="00E42107"/>
    <w:rsid w:val="00E453D8"/>
    <w:rsid w:val="00E50BCE"/>
    <w:rsid w:val="00E56B5A"/>
    <w:rsid w:val="00E574BF"/>
    <w:rsid w:val="00E61292"/>
    <w:rsid w:val="00E744F7"/>
    <w:rsid w:val="00E77C4D"/>
    <w:rsid w:val="00E81D01"/>
    <w:rsid w:val="00EA3FEA"/>
    <w:rsid w:val="00EB485A"/>
    <w:rsid w:val="00EE45D8"/>
    <w:rsid w:val="00EE5576"/>
    <w:rsid w:val="00F22EDA"/>
    <w:rsid w:val="00F5589A"/>
    <w:rsid w:val="00F82A20"/>
    <w:rsid w:val="00FB0E23"/>
    <w:rsid w:val="00FC40FA"/>
    <w:rsid w:val="00FE68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314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2662</Words>
  <Characters>13176</Characters>
  <Application>Microsoft Office Word</Application>
  <DocSecurity>0</DocSecurity>
  <Lines>109</Lines>
  <Paragraphs>31</Paragraphs>
  <ScaleCrop>false</ScaleCrop>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2018-07-13T15:29:00Z</dcterms:created>
  <dcterms:modified xsi:type="dcterms:W3CDTF">2018-07-13T15:30:00Z</dcterms:modified>
</cp:coreProperties>
</file>