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BA3DC9" w:rsidRDefault="006E7140" w:rsidP="008A6059">
      <w:pPr>
        <w:jc w:val="center"/>
        <w:rPr>
          <w:rFonts w:ascii="Book Antiqua" w:hAnsi="Book Antiqua" w:cs="Arial"/>
          <w:caps/>
          <w:color w:val="000000"/>
          <w:sz w:val="16"/>
          <w:szCs w:val="16"/>
        </w:rPr>
      </w:pPr>
      <w:r w:rsidRPr="00BA3DC9">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BA3DC9"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1B48FD">
        <w:rPr>
          <w:rFonts w:ascii="Book Antiqua" w:hAnsi="Book Antiqua" w:cs="Arial"/>
          <w:caps/>
          <w:color w:val="000000"/>
        </w:rPr>
        <w:t>PA/00817/2018</w:t>
      </w:r>
      <w:bookmarkEnd w:id="0"/>
    </w:p>
    <w:p w:rsidR="00C345E1" w:rsidRDefault="00C345E1" w:rsidP="00F36C3E">
      <w:pPr>
        <w:rPr>
          <w:rFonts w:ascii="Book Antiqua" w:hAnsi="Book Antiqua" w:cs="Arial"/>
          <w:color w:val="000000"/>
        </w:rPr>
      </w:pPr>
    </w:p>
    <w:p w:rsidR="00BA3DC9" w:rsidRPr="009B7433" w:rsidRDefault="00BA3DC9" w:rsidP="00F36C3E">
      <w:pPr>
        <w:rPr>
          <w:rFonts w:ascii="Book Antiqua" w:hAnsi="Book Antiqua" w:cs="Arial"/>
          <w:color w:val="000000"/>
        </w:rPr>
      </w:pPr>
    </w:p>
    <w:p w:rsidR="00C345E1"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BA3DC9" w:rsidRPr="009B7433" w:rsidRDefault="00BA3DC9" w:rsidP="00C345E1">
      <w:pPr>
        <w:jc w:val="center"/>
        <w:rPr>
          <w:rFonts w:ascii="Book Antiqua" w:hAnsi="Book Antiqua" w:cs="Arial"/>
          <w:b/>
          <w:color w:val="000000"/>
          <w:u w:val="single"/>
        </w:rPr>
      </w:pPr>
    </w:p>
    <w:p w:rsidR="00C345E1" w:rsidRPr="009B7433" w:rsidRDefault="00C345E1" w:rsidP="00B8764F">
      <w:pP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515284" w:rsidTr="00515284">
        <w:tc>
          <w:tcPr>
            <w:tcW w:w="6048" w:type="dxa"/>
            <w:shd w:val="clear" w:color="auto" w:fill="auto"/>
          </w:tcPr>
          <w:p w:rsidR="00D22636" w:rsidRPr="00515284" w:rsidRDefault="00D22636" w:rsidP="00515284">
            <w:pPr>
              <w:jc w:val="both"/>
              <w:rPr>
                <w:rFonts w:ascii="Book Antiqua" w:hAnsi="Book Antiqua" w:cs="Arial"/>
                <w:b/>
              </w:rPr>
            </w:pPr>
            <w:r w:rsidRPr="00515284">
              <w:rPr>
                <w:rFonts w:ascii="Book Antiqua" w:hAnsi="Book Antiqua" w:cs="Arial"/>
                <w:b/>
              </w:rPr>
              <w:t xml:space="preserve">Heard at </w:t>
            </w:r>
            <w:r w:rsidR="001B48FD" w:rsidRPr="00515284">
              <w:rPr>
                <w:rFonts w:ascii="Book Antiqua" w:hAnsi="Book Antiqua" w:cs="Arial"/>
                <w:b/>
              </w:rPr>
              <w:t>Field House</w:t>
            </w:r>
          </w:p>
        </w:tc>
        <w:tc>
          <w:tcPr>
            <w:tcW w:w="3960" w:type="dxa"/>
            <w:shd w:val="clear" w:color="auto" w:fill="auto"/>
          </w:tcPr>
          <w:p w:rsidR="00D22636" w:rsidRPr="00515284" w:rsidRDefault="00D949B7" w:rsidP="00515284">
            <w:pPr>
              <w:jc w:val="both"/>
              <w:rPr>
                <w:rFonts w:ascii="Book Antiqua" w:hAnsi="Book Antiqua" w:cs="Arial"/>
                <w:b/>
                <w:color w:val="000000"/>
              </w:rPr>
            </w:pPr>
            <w:r w:rsidRPr="00515284">
              <w:rPr>
                <w:rFonts w:ascii="Book Antiqua" w:hAnsi="Book Antiqua" w:cs="Arial"/>
                <w:b/>
                <w:color w:val="000000"/>
              </w:rPr>
              <w:t>Decision &amp; Reasons</w:t>
            </w:r>
            <w:r w:rsidR="00283659" w:rsidRPr="00515284">
              <w:rPr>
                <w:rFonts w:ascii="Book Antiqua" w:hAnsi="Book Antiqua" w:cs="Arial"/>
                <w:b/>
                <w:color w:val="000000"/>
              </w:rPr>
              <w:t xml:space="preserve"> Promulgated</w:t>
            </w:r>
          </w:p>
        </w:tc>
      </w:tr>
      <w:tr w:rsidR="00D22636" w:rsidRPr="00515284" w:rsidTr="00515284">
        <w:tc>
          <w:tcPr>
            <w:tcW w:w="6048" w:type="dxa"/>
            <w:shd w:val="clear" w:color="auto" w:fill="auto"/>
          </w:tcPr>
          <w:p w:rsidR="00D22636" w:rsidRPr="00515284" w:rsidRDefault="00D22636" w:rsidP="00515284">
            <w:pPr>
              <w:jc w:val="both"/>
              <w:rPr>
                <w:rFonts w:ascii="Book Antiqua" w:hAnsi="Book Antiqua" w:cs="Arial"/>
                <w:b/>
              </w:rPr>
            </w:pPr>
            <w:r w:rsidRPr="00515284">
              <w:rPr>
                <w:rFonts w:ascii="Book Antiqua" w:hAnsi="Book Antiqua" w:cs="Arial"/>
                <w:b/>
              </w:rPr>
              <w:t xml:space="preserve">On </w:t>
            </w:r>
            <w:r w:rsidR="001B48FD" w:rsidRPr="00515284">
              <w:rPr>
                <w:rFonts w:ascii="Book Antiqua" w:hAnsi="Book Antiqua" w:cs="Arial"/>
                <w:b/>
              </w:rPr>
              <w:t>15 May 2018</w:t>
            </w:r>
          </w:p>
        </w:tc>
        <w:tc>
          <w:tcPr>
            <w:tcW w:w="3960" w:type="dxa"/>
            <w:shd w:val="clear" w:color="auto" w:fill="auto"/>
          </w:tcPr>
          <w:p w:rsidR="00D22636" w:rsidRPr="00515284" w:rsidRDefault="00E37C92" w:rsidP="00515284">
            <w:pPr>
              <w:jc w:val="both"/>
              <w:rPr>
                <w:rFonts w:ascii="Book Antiqua" w:hAnsi="Book Antiqua" w:cs="Arial"/>
                <w:b/>
              </w:rPr>
            </w:pPr>
            <w:r>
              <w:rPr>
                <w:rFonts w:ascii="Book Antiqua" w:hAnsi="Book Antiqua" w:cs="Arial"/>
                <w:b/>
              </w:rPr>
              <w:t>On 24 May 2018</w:t>
            </w:r>
          </w:p>
        </w:tc>
      </w:tr>
      <w:tr w:rsidR="00E37C92" w:rsidRPr="00515284" w:rsidTr="00515284">
        <w:trPr>
          <w:gridAfter w:val="1"/>
          <w:wAfter w:w="3960" w:type="dxa"/>
        </w:trPr>
        <w:tc>
          <w:tcPr>
            <w:tcW w:w="6048" w:type="dxa"/>
            <w:shd w:val="clear" w:color="auto" w:fill="auto"/>
          </w:tcPr>
          <w:p w:rsidR="00E37C92" w:rsidRPr="00515284" w:rsidRDefault="00E37C92" w:rsidP="00515284">
            <w:pPr>
              <w:jc w:val="both"/>
              <w:rPr>
                <w:rFonts w:ascii="Book Antiqua" w:hAnsi="Book Antiqua" w:cs="Arial"/>
                <w:b/>
              </w:rPr>
            </w:pPr>
          </w:p>
        </w:tc>
      </w:tr>
    </w:tbl>
    <w:p w:rsidR="00A15234" w:rsidRPr="009B7433" w:rsidRDefault="00A15234" w:rsidP="00F36C3E">
      <w:pPr>
        <w:rPr>
          <w:rFonts w:ascii="Book Antiqua" w:hAnsi="Book Antiqua" w:cs="Arial"/>
        </w:rPr>
      </w:pPr>
    </w:p>
    <w:p w:rsidR="00A15234" w:rsidRDefault="00207617" w:rsidP="00F36C3E">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BA3DC9" w:rsidRPr="009B7433" w:rsidRDefault="00BA3DC9" w:rsidP="00F36C3E">
      <w:pPr>
        <w:jc w:val="center"/>
        <w:rPr>
          <w:rFonts w:ascii="Book Antiqua" w:hAnsi="Book Antiqua" w:cs="Arial"/>
          <w:b/>
        </w:rPr>
      </w:pPr>
    </w:p>
    <w:p w:rsidR="004A2D15" w:rsidRPr="001C5703" w:rsidRDefault="00FE6895" w:rsidP="004A2D15">
      <w:pPr>
        <w:jc w:val="center"/>
        <w:rPr>
          <w:rFonts w:ascii="Book Antiqua" w:hAnsi="Book Antiqua" w:cs="Arial"/>
          <w:b/>
          <w:color w:val="000000"/>
        </w:rPr>
      </w:pPr>
      <w:r>
        <w:rPr>
          <w:rFonts w:ascii="Book Antiqua" w:hAnsi="Book Antiqua" w:cs="Arial"/>
          <w:b/>
          <w:color w:val="000000"/>
        </w:rPr>
        <w:t>DEPUTY UPPER TRIBUNAL JUDGE NORTON-TAYLOR</w:t>
      </w:r>
    </w:p>
    <w:p w:rsidR="00D20757" w:rsidRDefault="00D20757" w:rsidP="00A15234">
      <w:pPr>
        <w:jc w:val="center"/>
        <w:rPr>
          <w:rFonts w:ascii="Book Antiqua" w:hAnsi="Book Antiqua" w:cs="Arial"/>
          <w:b/>
        </w:rPr>
      </w:pPr>
    </w:p>
    <w:p w:rsidR="00BA3DC9" w:rsidRPr="009B7433" w:rsidRDefault="00BA3DC9"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704B61" w:rsidRPr="00B8764F" w:rsidRDefault="001B48FD" w:rsidP="00B8764F">
      <w:pPr>
        <w:jc w:val="center"/>
        <w:rPr>
          <w:rFonts w:ascii="Book Antiqua" w:hAnsi="Book Antiqua" w:cs="Arial"/>
          <w:b/>
          <w:caps/>
        </w:rPr>
      </w:pPr>
      <w:r>
        <w:rPr>
          <w:rFonts w:ascii="Book Antiqua" w:hAnsi="Book Antiqua" w:cs="Arial"/>
          <w:b/>
          <w:caps/>
        </w:rPr>
        <w:t xml:space="preserve">Secretary of State for the Home Department </w:t>
      </w:r>
    </w:p>
    <w:p w:rsidR="00704B61" w:rsidRPr="009B7433" w:rsidRDefault="00E82343" w:rsidP="00704B61">
      <w:pPr>
        <w:jc w:val="right"/>
        <w:rPr>
          <w:rFonts w:ascii="Book Antiqua" w:hAnsi="Book Antiqua" w:cs="Arial"/>
          <w:u w:val="single"/>
        </w:rPr>
      </w:pPr>
      <w:r>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F36C3E">
      <w:pPr>
        <w:rPr>
          <w:rFonts w:ascii="Book Antiqua" w:hAnsi="Book Antiqua" w:cs="Arial"/>
          <w:b/>
        </w:rPr>
      </w:pPr>
    </w:p>
    <w:p w:rsidR="00DD5071" w:rsidRPr="009B7433" w:rsidRDefault="00B8764F" w:rsidP="00704B61">
      <w:pPr>
        <w:jc w:val="center"/>
        <w:rPr>
          <w:rFonts w:ascii="Book Antiqua" w:hAnsi="Book Antiqua" w:cs="Arial"/>
          <w:b/>
        </w:rPr>
      </w:pPr>
      <w:r>
        <w:rPr>
          <w:rFonts w:ascii="Book Antiqua" w:hAnsi="Book Antiqua" w:cs="Arial"/>
          <w:b/>
        </w:rPr>
        <w:t xml:space="preserve">S </w:t>
      </w:r>
      <w:r w:rsidR="001B48FD">
        <w:rPr>
          <w:rFonts w:ascii="Book Antiqua" w:hAnsi="Book Antiqua" w:cs="Arial"/>
          <w:b/>
        </w:rPr>
        <w:t>M</w:t>
      </w:r>
    </w:p>
    <w:p w:rsidR="00DD5071" w:rsidRPr="00BA3DC9" w:rsidRDefault="001B48FD" w:rsidP="00B8764F">
      <w:pPr>
        <w:jc w:val="center"/>
        <w:rPr>
          <w:rFonts w:ascii="Book Antiqua" w:hAnsi="Book Antiqua" w:cs="Arial"/>
          <w:b/>
          <w:caps/>
          <w:sz w:val="22"/>
        </w:rPr>
      </w:pPr>
      <w:r w:rsidRPr="00BA3DC9">
        <w:rPr>
          <w:rFonts w:ascii="Book Antiqua" w:hAnsi="Book Antiqua" w:cs="Arial"/>
          <w:b/>
          <w:caps/>
          <w:sz w:val="22"/>
        </w:rPr>
        <w:t>(ANONYMITY DIRECTION MADE)</w:t>
      </w:r>
    </w:p>
    <w:p w:rsidR="00DD5071" w:rsidRPr="009B7433" w:rsidRDefault="00E82343" w:rsidP="00DD5071">
      <w:pPr>
        <w:jc w:val="right"/>
        <w:rPr>
          <w:rFonts w:ascii="Book Antiqua" w:hAnsi="Book Antiqua" w:cs="Arial"/>
          <w:u w:val="single"/>
        </w:rPr>
      </w:pPr>
      <w:r>
        <w:rPr>
          <w:rFonts w:ascii="Book Antiqua" w:hAnsi="Book Antiqua" w:cs="Arial"/>
          <w:u w:val="single"/>
        </w:rPr>
        <w:t>Respondent</w:t>
      </w:r>
    </w:p>
    <w:p w:rsidR="00DD5071" w:rsidRDefault="00DD5071" w:rsidP="00DD5071">
      <w:pPr>
        <w:rPr>
          <w:rFonts w:ascii="Book Antiqua" w:hAnsi="Book Antiqua" w:cs="Arial"/>
          <w:u w:val="single"/>
        </w:rPr>
      </w:pPr>
    </w:p>
    <w:p w:rsidR="00F36C3E" w:rsidRPr="00F36C3E" w:rsidRDefault="00F36C3E" w:rsidP="00F36C3E">
      <w:pPr>
        <w:spacing w:before="240"/>
        <w:jc w:val="both"/>
        <w:rPr>
          <w:rFonts w:ascii="Book Antiqua" w:hAnsi="Book Antiqua" w:cs="Arial"/>
          <w:b/>
        </w:rPr>
      </w:pPr>
      <w:r w:rsidRPr="00F36C3E">
        <w:rPr>
          <w:rFonts w:ascii="Book Antiqua" w:hAnsi="Book Antiqua" w:cs="Arial"/>
          <w:b/>
          <w:u w:val="single"/>
        </w:rPr>
        <w:t>Direction Regarding Anonymity – Rule 14 of the Tribunal Procedure (Upper Tribunal) Rules 2008</w:t>
      </w:r>
    </w:p>
    <w:p w:rsidR="00F36C3E" w:rsidRPr="00F36C3E" w:rsidRDefault="00F36C3E" w:rsidP="00F36C3E">
      <w:pPr>
        <w:spacing w:before="240"/>
        <w:jc w:val="both"/>
        <w:rPr>
          <w:rFonts w:ascii="Book Antiqua" w:hAnsi="Book Antiqua" w:cs="Arial"/>
          <w:b/>
        </w:rPr>
      </w:pPr>
      <w:r w:rsidRPr="00F36C3E">
        <w:rPr>
          <w:rFonts w:ascii="Book Antiqua" w:hAnsi="Book Antiqua" w:cs="Arial"/>
          <w:b/>
        </w:rPr>
        <w:t xml:space="preserve">Unless and </w:t>
      </w:r>
      <w:r w:rsidRPr="00F36C3E">
        <w:rPr>
          <w:rFonts w:ascii="Book Antiqua" w:hAnsi="Book Antiqua"/>
          <w:b/>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F36C3E" w:rsidRDefault="00F36C3E" w:rsidP="00DD5071">
      <w:pPr>
        <w:rPr>
          <w:rFonts w:ascii="Book Antiqua" w:hAnsi="Book Antiqua" w:cs="Arial"/>
          <w:u w:val="single"/>
        </w:rPr>
      </w:pPr>
    </w:p>
    <w:p w:rsidR="00F36C3E" w:rsidRPr="009B7433" w:rsidRDefault="00F36C3E" w:rsidP="00DD5071">
      <w:pPr>
        <w:rPr>
          <w:rFonts w:ascii="Book Antiqua" w:hAnsi="Book Antiqua" w:cs="Arial"/>
          <w:u w:val="single"/>
        </w:rPr>
      </w:pPr>
    </w:p>
    <w:p w:rsidR="00DE7DB7"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E82343">
        <w:rPr>
          <w:rFonts w:ascii="Book Antiqua" w:hAnsi="Book Antiqua" w:cs="Arial"/>
        </w:rPr>
        <w:t>Appellant</w:t>
      </w:r>
      <w:r w:rsidRPr="009B7433">
        <w:rPr>
          <w:rFonts w:ascii="Book Antiqua" w:hAnsi="Book Antiqua" w:cs="Arial"/>
        </w:rPr>
        <w:t>:</w:t>
      </w:r>
      <w:r w:rsidRPr="009B7433">
        <w:rPr>
          <w:rFonts w:ascii="Book Antiqua" w:hAnsi="Book Antiqua" w:cs="Arial"/>
        </w:rPr>
        <w:tab/>
      </w:r>
      <w:r w:rsidR="001B48FD">
        <w:rPr>
          <w:rFonts w:ascii="Book Antiqua" w:hAnsi="Book Antiqua" w:cs="Arial"/>
        </w:rPr>
        <w:t xml:space="preserve">Mr D Clarke, </w:t>
      </w:r>
      <w:r w:rsidR="00B8764F">
        <w:rPr>
          <w:rFonts w:ascii="Book Antiqua" w:hAnsi="Book Antiqua" w:cs="Arial"/>
        </w:rPr>
        <w:t xml:space="preserve">Senior </w:t>
      </w:r>
      <w:r w:rsidR="001B48FD">
        <w:rPr>
          <w:rFonts w:ascii="Book Antiqua" w:hAnsi="Book Antiqua" w:cs="Arial"/>
        </w:rPr>
        <w:t xml:space="preserve">Home Office Presenting Officer </w:t>
      </w: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E82343">
        <w:rPr>
          <w:rFonts w:ascii="Book Antiqua" w:hAnsi="Book Antiqua" w:cs="Arial"/>
        </w:rPr>
        <w:t>Respondent</w:t>
      </w:r>
      <w:r w:rsidRPr="009B7433">
        <w:rPr>
          <w:rFonts w:ascii="Book Antiqua" w:hAnsi="Book Antiqua" w:cs="Arial"/>
        </w:rPr>
        <w:t>:</w:t>
      </w:r>
      <w:r w:rsidRPr="009B7433">
        <w:rPr>
          <w:rFonts w:ascii="Book Antiqua" w:hAnsi="Book Antiqua" w:cs="Arial"/>
        </w:rPr>
        <w:tab/>
      </w:r>
      <w:r w:rsidR="001B48FD">
        <w:rPr>
          <w:rFonts w:ascii="Book Antiqua" w:hAnsi="Book Antiqua" w:cs="Arial"/>
        </w:rPr>
        <w:t xml:space="preserve">Mr J </w:t>
      </w:r>
      <w:proofErr w:type="spellStart"/>
      <w:r w:rsidR="001B48FD">
        <w:rPr>
          <w:rFonts w:ascii="Book Antiqua" w:hAnsi="Book Antiqua" w:cs="Arial"/>
        </w:rPr>
        <w:t>Gajjar</w:t>
      </w:r>
      <w:proofErr w:type="spellEnd"/>
      <w:r w:rsidR="001B48FD">
        <w:rPr>
          <w:rFonts w:ascii="Book Antiqua" w:hAnsi="Book Antiqua" w:cs="Arial"/>
        </w:rPr>
        <w:t>, Counsel instructed by Malik &amp; Malik Solicitors</w:t>
      </w:r>
    </w:p>
    <w:p w:rsidR="00DE7DB7" w:rsidRPr="009B7433" w:rsidRDefault="00DE7DB7" w:rsidP="00D609F4">
      <w:pPr>
        <w:jc w:val="center"/>
        <w:rPr>
          <w:rFonts w:ascii="Book Antiqua" w:hAnsi="Book Antiqua" w:cs="Arial"/>
        </w:rPr>
      </w:pPr>
    </w:p>
    <w:p w:rsidR="00DE7DB7" w:rsidRPr="009B7433" w:rsidRDefault="00DE7DB7" w:rsidP="00402B9E">
      <w:pPr>
        <w:tabs>
          <w:tab w:val="left" w:pos="2520"/>
        </w:tabs>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lastRenderedPageBreak/>
        <w:t xml:space="preserve">DECISION </w:t>
      </w:r>
      <w:r w:rsidR="00402B9E" w:rsidRPr="009B7433">
        <w:rPr>
          <w:rFonts w:ascii="Book Antiqua" w:hAnsi="Book Antiqua" w:cs="Arial"/>
          <w:b/>
          <w:u w:val="single"/>
        </w:rPr>
        <w:t>AND REASONS</w:t>
      </w:r>
    </w:p>
    <w:p w:rsidR="00B8764F" w:rsidRDefault="001B48FD" w:rsidP="00CD4CF3">
      <w:pPr>
        <w:numPr>
          <w:ilvl w:val="0"/>
          <w:numId w:val="1"/>
        </w:numPr>
        <w:tabs>
          <w:tab w:val="clear" w:pos="567"/>
        </w:tabs>
        <w:spacing w:before="240"/>
        <w:jc w:val="both"/>
        <w:rPr>
          <w:rFonts w:ascii="Book Antiqua" w:hAnsi="Book Antiqua" w:cs="Arial"/>
        </w:rPr>
      </w:pPr>
      <w:r>
        <w:rPr>
          <w:rFonts w:ascii="Book Antiqua" w:hAnsi="Book Antiqua" w:cs="Arial"/>
        </w:rPr>
        <w:t>I shall refer to the parties as they were b</w:t>
      </w:r>
      <w:r w:rsidR="00B8764F">
        <w:rPr>
          <w:rFonts w:ascii="Book Antiqua" w:hAnsi="Book Antiqua" w:cs="Arial"/>
        </w:rPr>
        <w:t xml:space="preserve">efore the First-tier Tribunal. </w:t>
      </w:r>
      <w:proofErr w:type="gramStart"/>
      <w:r w:rsidR="00B8764F">
        <w:rPr>
          <w:rFonts w:ascii="Book Antiqua" w:hAnsi="Book Antiqua" w:cs="Arial"/>
        </w:rPr>
        <w:t>T</w:t>
      </w:r>
      <w:r>
        <w:rPr>
          <w:rFonts w:ascii="Book Antiqua" w:hAnsi="Book Antiqua" w:cs="Arial"/>
        </w:rPr>
        <w:t>herefore</w:t>
      </w:r>
      <w:proofErr w:type="gramEnd"/>
      <w:r>
        <w:rPr>
          <w:rFonts w:ascii="Book Antiqua" w:hAnsi="Book Antiqua" w:cs="Arial"/>
        </w:rPr>
        <w:t xml:space="preserve"> the Secretary of State is once more the </w:t>
      </w:r>
      <w:r w:rsidR="00E82343">
        <w:rPr>
          <w:rFonts w:ascii="Book Antiqua" w:hAnsi="Book Antiqua" w:cs="Arial"/>
        </w:rPr>
        <w:t>Respondent</w:t>
      </w:r>
      <w:r>
        <w:rPr>
          <w:rFonts w:ascii="Book Antiqua" w:hAnsi="Book Antiqua" w:cs="Arial"/>
        </w:rPr>
        <w:t xml:space="preserve"> and Mr M is the </w:t>
      </w:r>
      <w:r w:rsidR="00E82343">
        <w:rPr>
          <w:rFonts w:ascii="Book Antiqua" w:hAnsi="Book Antiqua" w:cs="Arial"/>
        </w:rPr>
        <w:t>Appellant</w:t>
      </w:r>
      <w:r>
        <w:rPr>
          <w:rFonts w:ascii="Book Antiqua" w:hAnsi="Book Antiqua" w:cs="Arial"/>
        </w:rPr>
        <w:t xml:space="preserve">.  </w:t>
      </w:r>
    </w:p>
    <w:p w:rsidR="00D609F4" w:rsidRDefault="001B48FD"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This is a challenge by the </w:t>
      </w:r>
      <w:r w:rsidR="00E82343">
        <w:rPr>
          <w:rFonts w:ascii="Book Antiqua" w:hAnsi="Book Antiqua" w:cs="Arial"/>
        </w:rPr>
        <w:t>Respondent</w:t>
      </w:r>
      <w:r>
        <w:rPr>
          <w:rFonts w:ascii="Book Antiqua" w:hAnsi="Book Antiqua" w:cs="Arial"/>
        </w:rPr>
        <w:t xml:space="preserve"> to the decision of First-tier Tribunal Judge Carroll (the Judge)</w:t>
      </w:r>
      <w:r w:rsidR="00B8764F">
        <w:rPr>
          <w:rFonts w:ascii="Book Antiqua" w:hAnsi="Book Antiqua" w:cs="Arial"/>
        </w:rPr>
        <w:t>,</w:t>
      </w:r>
      <w:r>
        <w:rPr>
          <w:rFonts w:ascii="Book Antiqua" w:hAnsi="Book Antiqua" w:cs="Arial"/>
        </w:rPr>
        <w:t xml:space="preserve"> promulgated on 27 February 2018</w:t>
      </w:r>
      <w:r w:rsidR="00B8764F">
        <w:rPr>
          <w:rFonts w:ascii="Book Antiqua" w:hAnsi="Book Antiqua" w:cs="Arial"/>
        </w:rPr>
        <w:t>,</w:t>
      </w:r>
      <w:r>
        <w:rPr>
          <w:rFonts w:ascii="Book Antiqua" w:hAnsi="Book Antiqua" w:cs="Arial"/>
        </w:rPr>
        <w:t xml:space="preserve"> in which she allowed the </w:t>
      </w:r>
      <w:r w:rsidR="00E82343">
        <w:rPr>
          <w:rFonts w:ascii="Book Antiqua" w:hAnsi="Book Antiqua" w:cs="Arial"/>
        </w:rPr>
        <w:t>Appellant</w:t>
      </w:r>
      <w:r>
        <w:rPr>
          <w:rFonts w:ascii="Book Antiqua" w:hAnsi="Book Antiqua" w:cs="Arial"/>
        </w:rPr>
        <w:t xml:space="preserve">’s appeal against the </w:t>
      </w:r>
      <w:r w:rsidR="00E82343">
        <w:rPr>
          <w:rFonts w:ascii="Book Antiqua" w:hAnsi="Book Antiqua" w:cs="Arial"/>
        </w:rPr>
        <w:t>Respondent</w:t>
      </w:r>
      <w:r>
        <w:rPr>
          <w:rFonts w:ascii="Book Antiqua" w:hAnsi="Book Antiqua" w:cs="Arial"/>
        </w:rPr>
        <w:t xml:space="preserve">’s decision of 4 January 2018, refusing his protection claim.  The central elements of the </w:t>
      </w:r>
      <w:r w:rsidR="00E82343">
        <w:rPr>
          <w:rFonts w:ascii="Book Antiqua" w:hAnsi="Book Antiqua" w:cs="Arial"/>
        </w:rPr>
        <w:t>Appellant</w:t>
      </w:r>
      <w:r>
        <w:rPr>
          <w:rFonts w:ascii="Book Antiqua" w:hAnsi="Book Antiqua" w:cs="Arial"/>
        </w:rPr>
        <w:t xml:space="preserve">’s case were that he had worked for a charity in Afghanistan, </w:t>
      </w:r>
      <w:r w:rsidR="00B30B7A">
        <w:rPr>
          <w:rFonts w:ascii="Book Antiqua" w:hAnsi="Book Antiqua" w:cs="Arial"/>
        </w:rPr>
        <w:t>which I will call “XX”</w:t>
      </w:r>
      <w:r>
        <w:rPr>
          <w:rFonts w:ascii="Book Antiqua" w:hAnsi="Book Antiqua" w:cs="Arial"/>
        </w:rPr>
        <w:t xml:space="preserve">, that he had converted to Christianity, and that he has come to the adverse attention of the Taliban as a result.  </w:t>
      </w:r>
    </w:p>
    <w:p w:rsidR="00B8764F" w:rsidRDefault="00B8764F" w:rsidP="00B8764F">
      <w:pPr>
        <w:spacing w:before="240"/>
        <w:ind w:left="567"/>
        <w:jc w:val="both"/>
        <w:rPr>
          <w:rFonts w:ascii="Book Antiqua" w:hAnsi="Book Antiqua" w:cs="Arial"/>
        </w:rPr>
      </w:pPr>
    </w:p>
    <w:p w:rsidR="001B48FD" w:rsidRDefault="001B48FD" w:rsidP="001B48FD">
      <w:pPr>
        <w:spacing w:before="240"/>
        <w:jc w:val="both"/>
        <w:rPr>
          <w:rFonts w:ascii="Book Antiqua" w:hAnsi="Book Antiqua" w:cs="Arial"/>
        </w:rPr>
      </w:pPr>
      <w:r>
        <w:rPr>
          <w:rFonts w:ascii="Book Antiqua" w:hAnsi="Book Antiqua" w:cs="Arial"/>
          <w:b/>
          <w:u w:val="single"/>
        </w:rPr>
        <w:t>The judge’s decision</w:t>
      </w:r>
    </w:p>
    <w:p w:rsidR="001B48FD" w:rsidRDefault="00B8764F" w:rsidP="00CD4CF3">
      <w:pPr>
        <w:numPr>
          <w:ilvl w:val="0"/>
          <w:numId w:val="1"/>
        </w:numPr>
        <w:tabs>
          <w:tab w:val="clear" w:pos="567"/>
        </w:tabs>
        <w:spacing w:before="240"/>
        <w:jc w:val="both"/>
        <w:rPr>
          <w:rFonts w:ascii="Book Antiqua" w:hAnsi="Book Antiqua" w:cs="Arial"/>
        </w:rPr>
      </w:pPr>
      <w:r>
        <w:rPr>
          <w:rFonts w:ascii="Book Antiqua" w:hAnsi="Book Antiqua" w:cs="Arial"/>
        </w:rPr>
        <w:t>At [</w:t>
      </w:r>
      <w:r w:rsidR="001B48FD">
        <w:rPr>
          <w:rFonts w:ascii="Book Antiqua" w:hAnsi="Book Antiqua" w:cs="Arial"/>
        </w:rPr>
        <w:t>16-29</w:t>
      </w:r>
      <w:r w:rsidR="00B30B7A">
        <w:rPr>
          <w:rFonts w:ascii="Book Antiqua" w:hAnsi="Book Antiqua" w:cs="Arial"/>
        </w:rPr>
        <w:t>]</w:t>
      </w:r>
      <w:r w:rsidR="001B48FD">
        <w:rPr>
          <w:rFonts w:ascii="Book Antiqua" w:hAnsi="Book Antiqua" w:cs="Arial"/>
        </w:rPr>
        <w:t xml:space="preserve"> the judge rejects almost all of the </w:t>
      </w:r>
      <w:r w:rsidR="00E82343">
        <w:rPr>
          <w:rFonts w:ascii="Book Antiqua" w:hAnsi="Book Antiqua" w:cs="Arial"/>
        </w:rPr>
        <w:t>Appellant</w:t>
      </w:r>
      <w:r w:rsidR="001B48FD">
        <w:rPr>
          <w:rFonts w:ascii="Book Antiqua" w:hAnsi="Book Antiqua" w:cs="Arial"/>
        </w:rPr>
        <w:t xml:space="preserve">’s account in robust terms.  She finds that the </w:t>
      </w:r>
      <w:r w:rsidR="00E82343">
        <w:rPr>
          <w:rFonts w:ascii="Book Antiqua" w:hAnsi="Book Antiqua" w:cs="Arial"/>
        </w:rPr>
        <w:t>Appellant</w:t>
      </w:r>
      <w:r w:rsidR="001B48FD">
        <w:rPr>
          <w:rFonts w:ascii="Book Antiqua" w:hAnsi="Book Antiqua" w:cs="Arial"/>
        </w:rPr>
        <w:t xml:space="preserve">’s evidence contained very significant inconsistencies, was implausible in several respects, and that other aspects of his case were “highly contrived”.  She specifically rejected the reliability of documentary evidence provided by the </w:t>
      </w:r>
      <w:r w:rsidR="00E82343">
        <w:rPr>
          <w:rFonts w:ascii="Book Antiqua" w:hAnsi="Book Antiqua" w:cs="Arial"/>
        </w:rPr>
        <w:t>Appellant</w:t>
      </w:r>
      <w:r w:rsidR="001B48FD">
        <w:rPr>
          <w:rFonts w:ascii="Book Antiqua" w:hAnsi="Book Antiqua" w:cs="Arial"/>
        </w:rPr>
        <w:t xml:space="preserve"> and his claimed conversion to Christianity.  </w:t>
      </w:r>
      <w:r w:rsidR="00B30B7A">
        <w:rPr>
          <w:rFonts w:ascii="Book Antiqua" w:hAnsi="Book Antiqua" w:cs="Arial"/>
        </w:rPr>
        <w:t>Then at [</w:t>
      </w:r>
      <w:r w:rsidR="005C7297">
        <w:rPr>
          <w:rFonts w:ascii="Book Antiqua" w:hAnsi="Book Antiqua" w:cs="Arial"/>
        </w:rPr>
        <w:t>30</w:t>
      </w:r>
      <w:r w:rsidR="00B30B7A">
        <w:rPr>
          <w:rFonts w:ascii="Book Antiqua" w:hAnsi="Book Antiqua" w:cs="Arial"/>
        </w:rPr>
        <w:t>]</w:t>
      </w:r>
      <w:r w:rsidR="005C7297">
        <w:rPr>
          <w:rFonts w:ascii="Book Antiqua" w:hAnsi="Book Antiqua" w:cs="Arial"/>
        </w:rPr>
        <w:t xml:space="preserve"> the judge finds as follows:</w:t>
      </w:r>
    </w:p>
    <w:p w:rsidR="005C7297" w:rsidRDefault="005C7297" w:rsidP="005C7297">
      <w:pPr>
        <w:spacing w:before="240"/>
        <w:ind w:left="1134"/>
        <w:jc w:val="both"/>
        <w:rPr>
          <w:rFonts w:ascii="Book Antiqua" w:hAnsi="Book Antiqua" w:cs="Arial"/>
        </w:rPr>
      </w:pPr>
      <w:r>
        <w:rPr>
          <w:rFonts w:ascii="Book Antiqua" w:hAnsi="Book Antiqua" w:cs="Arial"/>
        </w:rPr>
        <w:t xml:space="preserve">“The only aspect of the </w:t>
      </w:r>
      <w:r w:rsidR="00E82343">
        <w:rPr>
          <w:rFonts w:ascii="Book Antiqua" w:hAnsi="Book Antiqua" w:cs="Arial"/>
        </w:rPr>
        <w:t>Appellant</w:t>
      </w:r>
      <w:r>
        <w:rPr>
          <w:rFonts w:ascii="Book Antiqua" w:hAnsi="Book Antiqua" w:cs="Arial"/>
        </w:rPr>
        <w:t>’s account which I find to be c</w:t>
      </w:r>
      <w:r w:rsidR="00B30B7A">
        <w:rPr>
          <w:rFonts w:ascii="Book Antiqua" w:hAnsi="Book Antiqua" w:cs="Arial"/>
        </w:rPr>
        <w:t>redible is his employment by [XX</w:t>
      </w:r>
      <w:r>
        <w:rPr>
          <w:rFonts w:ascii="Book Antiqua" w:hAnsi="Book Antiqua" w:cs="Arial"/>
        </w:rPr>
        <w:t xml:space="preserve">].  The objective evidence points to a significant number of casualties amongst NGO workers by anti-government elements who see such workers as supportive of the government.  The evidence does not show that there is, in reality, state protection or that it would be open to the </w:t>
      </w:r>
      <w:r w:rsidR="00E82343">
        <w:rPr>
          <w:rFonts w:ascii="Book Antiqua" w:hAnsi="Book Antiqua" w:cs="Arial"/>
        </w:rPr>
        <w:t>Appellant</w:t>
      </w:r>
      <w:r>
        <w:rPr>
          <w:rFonts w:ascii="Book Antiqua" w:hAnsi="Book Antiqua" w:cs="Arial"/>
        </w:rPr>
        <w:t xml:space="preserve"> safely to relocate within Afghanistan.  Accordingly, I find that his case engages the United Kingdom’s obligations under the Protection Regulations and I find also that return to Afghanistan would give rise to a real risk of a breach of Article 3 of the 1950 Convention.”</w:t>
      </w:r>
    </w:p>
    <w:p w:rsidR="005C7297" w:rsidRDefault="0051462A" w:rsidP="0051462A">
      <w:pPr>
        <w:spacing w:before="240"/>
        <w:ind w:left="567"/>
        <w:jc w:val="both"/>
        <w:rPr>
          <w:rFonts w:ascii="Book Antiqua" w:hAnsi="Book Antiqua" w:cs="Arial"/>
        </w:rPr>
      </w:pPr>
      <w:r>
        <w:rPr>
          <w:rFonts w:ascii="Book Antiqua" w:hAnsi="Book Antiqua" w:cs="Arial"/>
        </w:rPr>
        <w:t xml:space="preserve">On the basis of this passage alone, the judge duly allowed the </w:t>
      </w:r>
      <w:r w:rsidR="00E82343">
        <w:rPr>
          <w:rFonts w:ascii="Book Antiqua" w:hAnsi="Book Antiqua" w:cs="Arial"/>
        </w:rPr>
        <w:t>Appellant</w:t>
      </w:r>
      <w:r>
        <w:rPr>
          <w:rFonts w:ascii="Book Antiqua" w:hAnsi="Book Antiqua" w:cs="Arial"/>
        </w:rPr>
        <w:t xml:space="preserve">’s appeal on refugee grounds. </w:t>
      </w:r>
    </w:p>
    <w:p w:rsidR="00B30B7A" w:rsidRDefault="00B30B7A" w:rsidP="0051462A">
      <w:pPr>
        <w:spacing w:before="240"/>
        <w:ind w:left="567"/>
        <w:jc w:val="both"/>
        <w:rPr>
          <w:rFonts w:ascii="Book Antiqua" w:hAnsi="Book Antiqua" w:cs="Arial"/>
        </w:rPr>
      </w:pPr>
    </w:p>
    <w:p w:rsidR="0051462A" w:rsidRPr="0051462A" w:rsidRDefault="0051462A" w:rsidP="0051462A">
      <w:pPr>
        <w:spacing w:before="240"/>
        <w:jc w:val="both"/>
        <w:rPr>
          <w:rFonts w:ascii="Book Antiqua" w:hAnsi="Book Antiqua" w:cs="Arial"/>
          <w:b/>
          <w:u w:val="single"/>
        </w:rPr>
      </w:pPr>
      <w:r w:rsidRPr="0051462A">
        <w:rPr>
          <w:rFonts w:ascii="Book Antiqua" w:hAnsi="Book Antiqua" w:cs="Arial"/>
          <w:b/>
          <w:u w:val="single"/>
        </w:rPr>
        <w:t>The grounds of appeal and grant of permission</w:t>
      </w:r>
    </w:p>
    <w:p w:rsidR="00B30B7A" w:rsidRDefault="0051462A"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E82343">
        <w:rPr>
          <w:rFonts w:ascii="Book Antiqua" w:hAnsi="Book Antiqua" w:cs="Arial"/>
        </w:rPr>
        <w:t>Respondent</w:t>
      </w:r>
      <w:r>
        <w:rPr>
          <w:rFonts w:ascii="Book Antiqua" w:hAnsi="Book Antiqua" w:cs="Arial"/>
        </w:rPr>
        <w:t xml:space="preserve">’s grounds put forward a reasons challenge to the judge’s decision.  It is acknowledged that country information did indicate that some NGOs may be targeted by non-state actors, but it is said that it was not the case that all employees of NGOs were “automatically” at risk throughout Afghanistan.  It is said that the judge failed to provide reasons, or at least adequate reasons, as to why the </w:t>
      </w:r>
      <w:r w:rsidR="00E82343">
        <w:rPr>
          <w:rFonts w:ascii="Book Antiqua" w:hAnsi="Book Antiqua" w:cs="Arial"/>
        </w:rPr>
        <w:t>Appellant</w:t>
      </w:r>
      <w:r>
        <w:rPr>
          <w:rFonts w:ascii="Book Antiqua" w:hAnsi="Book Antiqua" w:cs="Arial"/>
        </w:rPr>
        <w:t xml:space="preserve"> would be personally at risk from the Taliban throughout Afghanistan.  </w:t>
      </w:r>
    </w:p>
    <w:p w:rsidR="0051462A" w:rsidRDefault="0051462A"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Permission to appeal was granted by First-tier Tribunal Judge J N Holmes on 15 March 2018.  </w:t>
      </w:r>
    </w:p>
    <w:p w:rsidR="00B30B7A" w:rsidRDefault="00B30B7A" w:rsidP="00B30B7A">
      <w:pPr>
        <w:spacing w:before="240"/>
        <w:ind w:left="567"/>
        <w:jc w:val="both"/>
        <w:rPr>
          <w:rFonts w:ascii="Book Antiqua" w:hAnsi="Book Antiqua" w:cs="Arial"/>
        </w:rPr>
      </w:pPr>
    </w:p>
    <w:p w:rsidR="0051462A" w:rsidRDefault="0051462A" w:rsidP="0051462A">
      <w:pPr>
        <w:spacing w:before="240"/>
        <w:jc w:val="both"/>
        <w:rPr>
          <w:rFonts w:ascii="Book Antiqua" w:hAnsi="Book Antiqua" w:cs="Arial"/>
        </w:rPr>
      </w:pPr>
      <w:r>
        <w:rPr>
          <w:rFonts w:ascii="Book Antiqua" w:hAnsi="Book Antiqua" w:cs="Arial"/>
          <w:b/>
          <w:u w:val="single"/>
        </w:rPr>
        <w:t>The hearing before me</w:t>
      </w:r>
    </w:p>
    <w:p w:rsidR="00B30B7A" w:rsidRDefault="0051462A"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Mr Clarke relied on the grounds of appeal and noted that the </w:t>
      </w:r>
      <w:r w:rsidR="00E82343">
        <w:rPr>
          <w:rFonts w:ascii="Book Antiqua" w:hAnsi="Book Antiqua" w:cs="Arial"/>
        </w:rPr>
        <w:t>Appellant</w:t>
      </w:r>
      <w:r>
        <w:rPr>
          <w:rFonts w:ascii="Book Antiqua" w:hAnsi="Book Antiqua" w:cs="Arial"/>
        </w:rPr>
        <w:t>’s success before the First-tier Tribunal was based upon a single and very narrow factual finding, namely that he ha</w:t>
      </w:r>
      <w:r w:rsidR="00B30B7A">
        <w:rPr>
          <w:rFonts w:ascii="Book Antiqua" w:hAnsi="Book Antiqua" w:cs="Arial"/>
        </w:rPr>
        <w:t>d in fact been an employee of XX</w:t>
      </w:r>
      <w:r>
        <w:rPr>
          <w:rFonts w:ascii="Book Antiqua" w:hAnsi="Book Antiqua" w:cs="Arial"/>
        </w:rPr>
        <w:t xml:space="preserve">.  He submitted that the country information did not show that there was a risk to any and all NGO workers throughout the country.  </w:t>
      </w:r>
    </w:p>
    <w:p w:rsidR="0051462A" w:rsidRDefault="0051462A"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G</w:t>
      </w:r>
      <w:r w:rsidR="00B30B7A">
        <w:rPr>
          <w:rFonts w:ascii="Book Antiqua" w:hAnsi="Book Antiqua" w:cs="Arial"/>
        </w:rPr>
        <w:t>ajjar</w:t>
      </w:r>
      <w:proofErr w:type="spellEnd"/>
      <w:r w:rsidR="00B30B7A">
        <w:rPr>
          <w:rFonts w:ascii="Book Antiqua" w:hAnsi="Book Antiqua" w:cs="Arial"/>
        </w:rPr>
        <w:t xml:space="preserve"> referred me to [</w:t>
      </w:r>
      <w:r>
        <w:rPr>
          <w:rFonts w:ascii="Book Antiqua" w:hAnsi="Book Antiqua" w:cs="Arial"/>
        </w:rPr>
        <w:t>12</w:t>
      </w:r>
      <w:r w:rsidR="00B30B7A">
        <w:rPr>
          <w:rFonts w:ascii="Book Antiqua" w:hAnsi="Book Antiqua" w:cs="Arial"/>
        </w:rPr>
        <w:t>]</w:t>
      </w:r>
      <w:r>
        <w:rPr>
          <w:rFonts w:ascii="Book Antiqua" w:hAnsi="Book Antiqua" w:cs="Arial"/>
        </w:rPr>
        <w:t xml:space="preserve"> and </w:t>
      </w:r>
      <w:r w:rsidR="00B30B7A">
        <w:rPr>
          <w:rFonts w:ascii="Book Antiqua" w:hAnsi="Book Antiqua" w:cs="Arial"/>
        </w:rPr>
        <w:t>[</w:t>
      </w:r>
      <w:r>
        <w:rPr>
          <w:rFonts w:ascii="Book Antiqua" w:hAnsi="Book Antiqua" w:cs="Arial"/>
        </w:rPr>
        <w:t>13</w:t>
      </w:r>
      <w:r w:rsidR="00B30B7A">
        <w:rPr>
          <w:rFonts w:ascii="Book Antiqua" w:hAnsi="Book Antiqua" w:cs="Arial"/>
        </w:rPr>
        <w:t>]</w:t>
      </w:r>
      <w:r>
        <w:rPr>
          <w:rFonts w:ascii="Book Antiqua" w:hAnsi="Book Antiqua" w:cs="Arial"/>
        </w:rPr>
        <w:t xml:space="preserve"> of the judge’s decision in which </w:t>
      </w:r>
      <w:r w:rsidR="00B30B7A">
        <w:rPr>
          <w:rFonts w:ascii="Book Antiqua" w:hAnsi="Book Antiqua" w:cs="Arial"/>
        </w:rPr>
        <w:t>s</w:t>
      </w:r>
      <w:r>
        <w:rPr>
          <w:rFonts w:ascii="Book Antiqua" w:hAnsi="Book Antiqua" w:cs="Arial"/>
        </w:rPr>
        <w:t>he sets out the country information relied upon when reaching h</w:t>
      </w:r>
      <w:r w:rsidR="00B30B7A">
        <w:rPr>
          <w:rFonts w:ascii="Book Antiqua" w:hAnsi="Book Antiqua" w:cs="Arial"/>
        </w:rPr>
        <w:t>er conclusions in [</w:t>
      </w:r>
      <w:r>
        <w:rPr>
          <w:rFonts w:ascii="Book Antiqua" w:hAnsi="Book Antiqua" w:cs="Arial"/>
        </w:rPr>
        <w:t>30</w:t>
      </w:r>
      <w:r w:rsidR="00B30B7A">
        <w:rPr>
          <w:rFonts w:ascii="Book Antiqua" w:hAnsi="Book Antiqua" w:cs="Arial"/>
        </w:rPr>
        <w:t>]</w:t>
      </w:r>
      <w:r>
        <w:rPr>
          <w:rFonts w:ascii="Book Antiqua" w:hAnsi="Book Antiqua" w:cs="Arial"/>
        </w:rPr>
        <w:t xml:space="preserve">.  It was open to the judge to find that the </w:t>
      </w:r>
      <w:r w:rsidR="00E82343">
        <w:rPr>
          <w:rFonts w:ascii="Book Antiqua" w:hAnsi="Book Antiqua" w:cs="Arial"/>
        </w:rPr>
        <w:t>Appellant</w:t>
      </w:r>
      <w:r w:rsidR="00B30B7A">
        <w:rPr>
          <w:rFonts w:ascii="Book Antiqua" w:hAnsi="Book Antiqua" w:cs="Arial"/>
        </w:rPr>
        <w:t xml:space="preserve"> had been an employee of XX</w:t>
      </w:r>
      <w:r>
        <w:rPr>
          <w:rFonts w:ascii="Book Antiqua" w:hAnsi="Book Antiqua" w:cs="Arial"/>
        </w:rPr>
        <w:t xml:space="preserve"> and, in light of the country information, it was also open to the judge to conclude that there was a risk to him on return.  </w:t>
      </w:r>
    </w:p>
    <w:p w:rsidR="00B30B7A" w:rsidRDefault="00B30B7A" w:rsidP="00B30B7A">
      <w:pPr>
        <w:spacing w:before="240"/>
        <w:ind w:left="567"/>
        <w:jc w:val="both"/>
        <w:rPr>
          <w:rFonts w:ascii="Book Antiqua" w:hAnsi="Book Antiqua" w:cs="Arial"/>
        </w:rPr>
      </w:pPr>
    </w:p>
    <w:p w:rsidR="0051462A" w:rsidRDefault="0051462A" w:rsidP="0051462A">
      <w:pPr>
        <w:spacing w:before="240"/>
        <w:jc w:val="both"/>
        <w:rPr>
          <w:rFonts w:ascii="Book Antiqua" w:hAnsi="Book Antiqua" w:cs="Arial"/>
        </w:rPr>
      </w:pPr>
      <w:r>
        <w:rPr>
          <w:rFonts w:ascii="Book Antiqua" w:hAnsi="Book Antiqua" w:cs="Arial"/>
          <w:b/>
          <w:u w:val="single"/>
        </w:rPr>
        <w:t>Decision on error of law</w:t>
      </w:r>
    </w:p>
    <w:p w:rsidR="0051462A" w:rsidRDefault="0051462A" w:rsidP="00CD4CF3">
      <w:pPr>
        <w:numPr>
          <w:ilvl w:val="0"/>
          <w:numId w:val="1"/>
        </w:numPr>
        <w:tabs>
          <w:tab w:val="clear" w:pos="567"/>
        </w:tabs>
        <w:spacing w:before="240"/>
        <w:jc w:val="both"/>
        <w:rPr>
          <w:rFonts w:ascii="Book Antiqua" w:hAnsi="Book Antiqua" w:cs="Arial"/>
        </w:rPr>
      </w:pPr>
      <w:r>
        <w:rPr>
          <w:rFonts w:ascii="Book Antiqua" w:hAnsi="Book Antiqua" w:cs="Arial"/>
        </w:rPr>
        <w:t>As I announced to the parties at the hearing I conclude that there are material errors of law in the judge’s decision and that I shoul</w:t>
      </w:r>
      <w:r w:rsidR="00B30B7A">
        <w:rPr>
          <w:rFonts w:ascii="Book Antiqua" w:hAnsi="Book Antiqua" w:cs="Arial"/>
        </w:rPr>
        <w:t>d exercise my discretion under s</w:t>
      </w:r>
      <w:r>
        <w:rPr>
          <w:rFonts w:ascii="Book Antiqua" w:hAnsi="Book Antiqua" w:cs="Arial"/>
        </w:rPr>
        <w:t xml:space="preserve">ection 12(2)(a) of the Tribunal, Courts and Enforcement Act 2007 and set the judge’s decision aside.  </w:t>
      </w:r>
      <w:r w:rsidR="00467F46">
        <w:rPr>
          <w:rFonts w:ascii="Book Antiqua" w:hAnsi="Book Antiqua" w:cs="Arial"/>
        </w:rPr>
        <w:t>My reasons for this conclusion are as follows.</w:t>
      </w:r>
    </w:p>
    <w:p w:rsidR="00467F46" w:rsidRDefault="00B30B7A" w:rsidP="00CD4CF3">
      <w:pPr>
        <w:numPr>
          <w:ilvl w:val="0"/>
          <w:numId w:val="1"/>
        </w:numPr>
        <w:tabs>
          <w:tab w:val="clear" w:pos="567"/>
        </w:tabs>
        <w:spacing w:before="240"/>
        <w:jc w:val="both"/>
        <w:rPr>
          <w:rFonts w:ascii="Book Antiqua" w:hAnsi="Book Antiqua" w:cs="Arial"/>
        </w:rPr>
      </w:pPr>
      <w:r>
        <w:rPr>
          <w:rFonts w:ascii="Book Antiqua" w:hAnsi="Book Antiqua" w:cs="Arial"/>
        </w:rPr>
        <w:t>[</w:t>
      </w:r>
      <w:r w:rsidR="00467F46">
        <w:rPr>
          <w:rFonts w:ascii="Book Antiqua" w:hAnsi="Book Antiqua" w:cs="Arial"/>
        </w:rPr>
        <w:t>30</w:t>
      </w:r>
      <w:r>
        <w:rPr>
          <w:rFonts w:ascii="Book Antiqua" w:hAnsi="Book Antiqua" w:cs="Arial"/>
        </w:rPr>
        <w:t>]</w:t>
      </w:r>
      <w:r w:rsidR="00467F46">
        <w:rPr>
          <w:rFonts w:ascii="Book Antiqua" w:hAnsi="Book Antiqua" w:cs="Arial"/>
        </w:rPr>
        <w:t xml:space="preserve"> contains only the bare finding that the </w:t>
      </w:r>
      <w:r w:rsidR="00E82343">
        <w:rPr>
          <w:rFonts w:ascii="Book Antiqua" w:hAnsi="Book Antiqua" w:cs="Arial"/>
        </w:rPr>
        <w:t>Appellant</w:t>
      </w:r>
      <w:r>
        <w:rPr>
          <w:rFonts w:ascii="Book Antiqua" w:hAnsi="Book Antiqua" w:cs="Arial"/>
        </w:rPr>
        <w:t xml:space="preserve"> was any employee of XX</w:t>
      </w:r>
      <w:r w:rsidR="00467F46">
        <w:rPr>
          <w:rFonts w:ascii="Book Antiqua" w:hAnsi="Book Antiqua" w:cs="Arial"/>
        </w:rPr>
        <w:t>.  There are no specific findings as to what he actually did for the charity, whether the charity had any particular profile in Afghanistan</w:t>
      </w:r>
      <w:r>
        <w:rPr>
          <w:rFonts w:ascii="Book Antiqua" w:hAnsi="Book Antiqua" w:cs="Arial"/>
        </w:rPr>
        <w:t>,</w:t>
      </w:r>
      <w:r w:rsidR="00467F46">
        <w:rPr>
          <w:rFonts w:ascii="Book Antiqua" w:hAnsi="Book Antiqua" w:cs="Arial"/>
        </w:rPr>
        <w:t xml:space="preserve"> or whether it had been targeted by the Taliban or anyone else in respect of its activities.  Given the judge’s almost wholesale rejection of the </w:t>
      </w:r>
      <w:r w:rsidR="00E82343">
        <w:rPr>
          <w:rFonts w:ascii="Book Antiqua" w:hAnsi="Book Antiqua" w:cs="Arial"/>
        </w:rPr>
        <w:t>Appellant</w:t>
      </w:r>
      <w:r w:rsidR="00467F46">
        <w:rPr>
          <w:rFonts w:ascii="Book Antiqua" w:hAnsi="Book Antiqua" w:cs="Arial"/>
        </w:rPr>
        <w:t xml:space="preserve">’s claim in general, it can really only have been the case that the judge was assessing risk on return in the context of the </w:t>
      </w:r>
      <w:r w:rsidR="00E82343">
        <w:rPr>
          <w:rFonts w:ascii="Book Antiqua" w:hAnsi="Book Antiqua" w:cs="Arial"/>
        </w:rPr>
        <w:t>Appellant</w:t>
      </w:r>
      <w:r w:rsidR="00467F46">
        <w:rPr>
          <w:rFonts w:ascii="Book Antiqua" w:hAnsi="Book Antiqua" w:cs="Arial"/>
        </w:rPr>
        <w:t xml:space="preserve"> simply being a “normal” employee with no prominent profile.  It is certainly the case that he was not a Christian convert, nor that he had ever come to the adverse attention of any non-state actor.  </w:t>
      </w:r>
    </w:p>
    <w:p w:rsidR="00467F46" w:rsidRDefault="00467F46" w:rsidP="00CD4CF3">
      <w:pPr>
        <w:numPr>
          <w:ilvl w:val="0"/>
          <w:numId w:val="1"/>
        </w:numPr>
        <w:tabs>
          <w:tab w:val="clear" w:pos="567"/>
        </w:tabs>
        <w:spacing w:before="240"/>
        <w:jc w:val="both"/>
        <w:rPr>
          <w:rFonts w:ascii="Book Antiqua" w:hAnsi="Book Antiqua" w:cs="Arial"/>
        </w:rPr>
      </w:pPr>
      <w:r>
        <w:rPr>
          <w:rFonts w:ascii="Book Antiqua" w:hAnsi="Book Antiqua" w:cs="Arial"/>
        </w:rPr>
        <w:t>The judge the</w:t>
      </w:r>
      <w:r w:rsidR="00B30B7A">
        <w:rPr>
          <w:rFonts w:ascii="Book Antiqua" w:hAnsi="Book Antiqua" w:cs="Arial"/>
        </w:rPr>
        <w:t>n</w:t>
      </w:r>
      <w:r>
        <w:rPr>
          <w:rFonts w:ascii="Book Antiqua" w:hAnsi="Book Antiqua" w:cs="Arial"/>
        </w:rPr>
        <w:t xml:space="preserve"> set this very narrow factual finding in the context of the country </w:t>
      </w:r>
      <w:r w:rsidR="00ED3F08">
        <w:rPr>
          <w:rFonts w:ascii="Book Antiqua" w:hAnsi="Book Antiqua" w:cs="Arial"/>
        </w:rPr>
        <w:t>information cited in [</w:t>
      </w:r>
      <w:r>
        <w:rPr>
          <w:rFonts w:ascii="Book Antiqua" w:hAnsi="Book Antiqua" w:cs="Arial"/>
        </w:rPr>
        <w:t>12</w:t>
      </w:r>
      <w:r w:rsidR="00ED3F08">
        <w:rPr>
          <w:rFonts w:ascii="Book Antiqua" w:hAnsi="Book Antiqua" w:cs="Arial"/>
        </w:rPr>
        <w:t>]</w:t>
      </w:r>
      <w:r>
        <w:rPr>
          <w:rFonts w:ascii="Book Antiqua" w:hAnsi="Book Antiqua" w:cs="Arial"/>
        </w:rPr>
        <w:t xml:space="preserve"> and </w:t>
      </w:r>
      <w:r w:rsidR="00ED3F08">
        <w:rPr>
          <w:rFonts w:ascii="Book Antiqua" w:hAnsi="Book Antiqua" w:cs="Arial"/>
        </w:rPr>
        <w:t>[</w:t>
      </w:r>
      <w:r>
        <w:rPr>
          <w:rFonts w:ascii="Book Antiqua" w:hAnsi="Book Antiqua" w:cs="Arial"/>
        </w:rPr>
        <w:t>13</w:t>
      </w:r>
      <w:r w:rsidR="00ED3F08">
        <w:rPr>
          <w:rFonts w:ascii="Book Antiqua" w:hAnsi="Book Antiqua" w:cs="Arial"/>
        </w:rPr>
        <w:t>]</w:t>
      </w:r>
      <w:r>
        <w:rPr>
          <w:rFonts w:ascii="Book Antiqua" w:hAnsi="Book Antiqua" w:cs="Arial"/>
        </w:rPr>
        <w:t xml:space="preserve"> of her decision.  I have looked at that country information for myself.  Pages 104 to 108 of the </w:t>
      </w:r>
      <w:r w:rsidR="00E82343">
        <w:rPr>
          <w:rFonts w:ascii="Book Antiqua" w:hAnsi="Book Antiqua" w:cs="Arial"/>
        </w:rPr>
        <w:t>Appellant</w:t>
      </w:r>
      <w:r>
        <w:rPr>
          <w:rFonts w:ascii="Book Antiqua" w:hAnsi="Book Antiqua" w:cs="Arial"/>
        </w:rPr>
        <w:t xml:space="preserve">’s bundle cover a report by the Canadian Immigration and Refugee Board, dated February 2016.  The judge has accurately summarised this evidence in </w:t>
      </w:r>
      <w:r w:rsidR="00ED3F08">
        <w:rPr>
          <w:rFonts w:ascii="Book Antiqua" w:hAnsi="Book Antiqua" w:cs="Arial"/>
        </w:rPr>
        <w:t>[</w:t>
      </w:r>
      <w:r>
        <w:rPr>
          <w:rFonts w:ascii="Book Antiqua" w:hAnsi="Book Antiqua" w:cs="Arial"/>
        </w:rPr>
        <w:t>12</w:t>
      </w:r>
      <w:r w:rsidR="00ED3F08">
        <w:rPr>
          <w:rFonts w:ascii="Book Antiqua" w:hAnsi="Book Antiqua" w:cs="Arial"/>
        </w:rPr>
        <w:t>]</w:t>
      </w:r>
      <w:r>
        <w:rPr>
          <w:rFonts w:ascii="Book Antiqua" w:hAnsi="Book Antiqua" w:cs="Arial"/>
        </w:rPr>
        <w:t>.  It is right that the information indicates that there had been an increase in attacks on aid agencies in districts where the security situation had been transferred to Afghan forces.  It is also the case that one source indicated that there were “prominent cases” in 2015 where Afghan NGOs were targe</w:t>
      </w:r>
      <w:r w:rsidR="00ED3F08">
        <w:rPr>
          <w:rFonts w:ascii="Book Antiqua" w:hAnsi="Book Antiqua" w:cs="Arial"/>
        </w:rPr>
        <w:t>ted by armed groups.  It is, however, stated</w:t>
      </w:r>
      <w:r>
        <w:rPr>
          <w:rFonts w:ascii="Book Antiqua" w:hAnsi="Book Antiqua" w:cs="Arial"/>
        </w:rPr>
        <w:t xml:space="preserve"> that the targeting of NGOs directly was “rare”.  </w:t>
      </w:r>
      <w:r w:rsidR="00521438">
        <w:rPr>
          <w:rFonts w:ascii="Book Antiqua" w:hAnsi="Book Antiqua" w:cs="Arial"/>
        </w:rPr>
        <w:t xml:space="preserve">At page 105 of the </w:t>
      </w:r>
      <w:r w:rsidR="00E82343">
        <w:rPr>
          <w:rFonts w:ascii="Book Antiqua" w:hAnsi="Book Antiqua" w:cs="Arial"/>
        </w:rPr>
        <w:t>Appellant</w:t>
      </w:r>
      <w:r w:rsidR="00521438">
        <w:rPr>
          <w:rFonts w:ascii="Book Antiqua" w:hAnsi="Book Antiqua" w:cs="Arial"/>
        </w:rPr>
        <w:t xml:space="preserve">’s bundle there is reference to information suggesting that the Taliban continued to target local aid workers and local staff of international organisations.  Provinces including the </w:t>
      </w:r>
      <w:r w:rsidR="00E82343">
        <w:rPr>
          <w:rFonts w:ascii="Book Antiqua" w:hAnsi="Book Antiqua" w:cs="Arial"/>
        </w:rPr>
        <w:t>Appellant</w:t>
      </w:r>
      <w:r w:rsidR="00521438">
        <w:rPr>
          <w:rFonts w:ascii="Book Antiqua" w:hAnsi="Book Antiqua" w:cs="Arial"/>
        </w:rPr>
        <w:t xml:space="preserve">’s home area of </w:t>
      </w:r>
      <w:proofErr w:type="spellStart"/>
      <w:r w:rsidR="00521438">
        <w:rPr>
          <w:rFonts w:ascii="Book Antiqua" w:hAnsi="Book Antiqua" w:cs="Arial"/>
        </w:rPr>
        <w:t>Ghazni</w:t>
      </w:r>
      <w:proofErr w:type="spellEnd"/>
      <w:r w:rsidR="00521438">
        <w:rPr>
          <w:rFonts w:ascii="Book Antiqua" w:hAnsi="Book Antiqua" w:cs="Arial"/>
        </w:rPr>
        <w:t xml:space="preserve"> were said to have experienced relatively higher levels of incidents involving NGO </w:t>
      </w:r>
      <w:r w:rsidR="00521438">
        <w:rPr>
          <w:rFonts w:ascii="Book Antiqua" w:hAnsi="Book Antiqua" w:cs="Arial"/>
        </w:rPr>
        <w:lastRenderedPageBreak/>
        <w:t xml:space="preserve">workers than other parts of the country.  At page 108 it is said that the police did not have the resources or capacity to deal with threats or security problems encountered by NGO employees as a result of their work.  </w:t>
      </w:r>
    </w:p>
    <w:p w:rsidR="00521438" w:rsidRDefault="00521438"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It is right to say that there was some support for the judge’s conclusion that NGO workers may, in certain circumstances, be targeted and therefore at risk.  There was some evidence to suggest that that risk might be higher in the </w:t>
      </w:r>
      <w:r w:rsidR="00E82343">
        <w:rPr>
          <w:rFonts w:ascii="Book Antiqua" w:hAnsi="Book Antiqua" w:cs="Arial"/>
        </w:rPr>
        <w:t>Appellant</w:t>
      </w:r>
      <w:r>
        <w:rPr>
          <w:rFonts w:ascii="Book Antiqua" w:hAnsi="Book Antiqua" w:cs="Arial"/>
        </w:rPr>
        <w:t xml:space="preserve">’s home province of </w:t>
      </w:r>
      <w:proofErr w:type="spellStart"/>
      <w:r>
        <w:rPr>
          <w:rFonts w:ascii="Book Antiqua" w:hAnsi="Book Antiqua" w:cs="Arial"/>
        </w:rPr>
        <w:t>Ghazni</w:t>
      </w:r>
      <w:proofErr w:type="spellEnd"/>
      <w:r>
        <w:rPr>
          <w:rFonts w:ascii="Book Antiqua" w:hAnsi="Book Antiqua" w:cs="Arial"/>
        </w:rPr>
        <w:t xml:space="preserve"> than it would be elsewhere.  </w:t>
      </w:r>
      <w:r w:rsidR="004E2C01">
        <w:rPr>
          <w:rFonts w:ascii="Book Antiqua" w:hAnsi="Book Antiqua" w:cs="Arial"/>
        </w:rPr>
        <w:t xml:space="preserve">Notwithstanding this, and with all due respect to the judge, in my view there are insufficient reasons provided as to why this particular </w:t>
      </w:r>
      <w:r w:rsidR="00E82343">
        <w:rPr>
          <w:rFonts w:ascii="Book Antiqua" w:hAnsi="Book Antiqua" w:cs="Arial"/>
        </w:rPr>
        <w:t>Appellant</w:t>
      </w:r>
      <w:r w:rsidR="004E2C01">
        <w:rPr>
          <w:rFonts w:ascii="Book Antiqua" w:hAnsi="Book Antiqua" w:cs="Arial"/>
        </w:rPr>
        <w:t>, in light of all the adverse findings and the lack of any specific positive</w:t>
      </w:r>
      <w:r w:rsidR="00ED3F08">
        <w:rPr>
          <w:rFonts w:ascii="Book Antiqua" w:hAnsi="Book Antiqua" w:cs="Arial"/>
        </w:rPr>
        <w:t xml:space="preserve"> findings as to his role with XX</w:t>
      </w:r>
      <w:r w:rsidR="004E2C01">
        <w:rPr>
          <w:rFonts w:ascii="Book Antiqua" w:hAnsi="Book Antiqua" w:cs="Arial"/>
        </w:rPr>
        <w:t xml:space="preserve"> and such like, would be at risk on return to his home area now.  The country information does not indicate that any and all NGO employees (or indeed ex-employees, as the </w:t>
      </w:r>
      <w:r w:rsidR="00E82343">
        <w:rPr>
          <w:rFonts w:ascii="Book Antiqua" w:hAnsi="Book Antiqua" w:cs="Arial"/>
        </w:rPr>
        <w:t>Appellant</w:t>
      </w:r>
      <w:r w:rsidR="004E2C01">
        <w:rPr>
          <w:rFonts w:ascii="Book Antiqua" w:hAnsi="Book Antiqua" w:cs="Arial"/>
        </w:rPr>
        <w:t xml:space="preserve"> would be on return) are, on that basis alone, at risk from the Taliban.  The judge has failed to explain why the </w:t>
      </w:r>
      <w:r w:rsidR="00E82343">
        <w:rPr>
          <w:rFonts w:ascii="Book Antiqua" w:hAnsi="Book Antiqua" w:cs="Arial"/>
        </w:rPr>
        <w:t>Appellant</w:t>
      </w:r>
      <w:r w:rsidR="004E2C01">
        <w:rPr>
          <w:rFonts w:ascii="Book Antiqua" w:hAnsi="Book Antiqua" w:cs="Arial"/>
        </w:rPr>
        <w:t xml:space="preserve">’s profile would place him at risk.  </w:t>
      </w:r>
      <w:r w:rsidR="00ED3F08">
        <w:rPr>
          <w:rFonts w:ascii="Book Antiqua" w:hAnsi="Book Antiqua" w:cs="Arial"/>
        </w:rPr>
        <w:t>There is a material error here.</w:t>
      </w:r>
    </w:p>
    <w:p w:rsidR="004E2C01" w:rsidRDefault="004E2C01" w:rsidP="00CD4CF3">
      <w:pPr>
        <w:numPr>
          <w:ilvl w:val="0"/>
          <w:numId w:val="1"/>
        </w:numPr>
        <w:tabs>
          <w:tab w:val="clear" w:pos="567"/>
        </w:tabs>
        <w:spacing w:before="240"/>
        <w:jc w:val="both"/>
        <w:rPr>
          <w:rFonts w:ascii="Book Antiqua" w:hAnsi="Book Antiqua" w:cs="Arial"/>
        </w:rPr>
      </w:pPr>
      <w:r>
        <w:rPr>
          <w:rFonts w:ascii="Book Antiqua" w:hAnsi="Book Antiqua" w:cs="Arial"/>
        </w:rPr>
        <w:t>Even if the judge was entitled to find that there was a risk in the home area (where there would be more of a chance of him being recognised)</w:t>
      </w:r>
      <w:r w:rsidR="00ED3F08">
        <w:rPr>
          <w:rFonts w:ascii="Book Antiqua" w:hAnsi="Book Antiqua" w:cs="Arial"/>
        </w:rPr>
        <w:t>,</w:t>
      </w:r>
      <w:r>
        <w:rPr>
          <w:rFonts w:ascii="Book Antiqua" w:hAnsi="Book Antiqua" w:cs="Arial"/>
        </w:rPr>
        <w:t xml:space="preserve"> there is no reasoning at all as to why he would be at risk in Kabul.  On the basis that he has no profile other th</w:t>
      </w:r>
      <w:r w:rsidR="00ED3F08">
        <w:rPr>
          <w:rFonts w:ascii="Book Antiqua" w:hAnsi="Book Antiqua" w:cs="Arial"/>
        </w:rPr>
        <w:t>an as an ordinary (ex) employee of XX</w:t>
      </w:r>
      <w:r>
        <w:rPr>
          <w:rFonts w:ascii="Book Antiqua" w:hAnsi="Book Antiqua" w:cs="Arial"/>
        </w:rPr>
        <w:t xml:space="preserve">, it required a degree of reasoning to show why the judge concluded that the risk pertained in Kabul (and in effect throughout </w:t>
      </w:r>
      <w:r w:rsidR="00BA3DC9">
        <w:rPr>
          <w:rFonts w:ascii="Book Antiqua" w:hAnsi="Book Antiqua" w:cs="Arial"/>
        </w:rPr>
        <w:t>Afghanistan as</w:t>
      </w:r>
      <w:r>
        <w:rPr>
          <w:rFonts w:ascii="Book Antiqua" w:hAnsi="Book Antiqua" w:cs="Arial"/>
        </w:rPr>
        <w:t xml:space="preserve"> a whole).  Nothing is said about why or whether the Taliban would want to or be able to track him down in the capital.  There is no analysis of whether, if his employment</w:t>
      </w:r>
      <w:r w:rsidR="00ED3F08">
        <w:rPr>
          <w:rFonts w:ascii="Book Antiqua" w:hAnsi="Book Antiqua" w:cs="Arial"/>
        </w:rPr>
        <w:t xml:space="preserve"> history did come to light,</w:t>
      </w:r>
      <w:r>
        <w:rPr>
          <w:rFonts w:ascii="Book Antiqua" w:hAnsi="Book Antiqua" w:cs="Arial"/>
        </w:rPr>
        <w:t xml:space="preserve"> this information would get back to the Taliban who would then have the inclination to do him harm.  I conclude that this is a material error of law.</w:t>
      </w:r>
    </w:p>
    <w:p w:rsidR="004E2C01" w:rsidRDefault="00240019" w:rsidP="00CD4CF3">
      <w:pPr>
        <w:numPr>
          <w:ilvl w:val="0"/>
          <w:numId w:val="1"/>
        </w:numPr>
        <w:tabs>
          <w:tab w:val="clear" w:pos="567"/>
        </w:tabs>
        <w:spacing w:before="240"/>
        <w:jc w:val="both"/>
        <w:rPr>
          <w:rFonts w:ascii="Book Antiqua" w:hAnsi="Book Antiqua" w:cs="Arial"/>
        </w:rPr>
      </w:pPr>
      <w:r>
        <w:rPr>
          <w:rFonts w:ascii="Book Antiqua" w:hAnsi="Book Antiqua" w:cs="Arial"/>
        </w:rPr>
        <w:t>Further, or in the alternative, there is no reasoning from the j</w:t>
      </w:r>
      <w:r w:rsidR="00ED3F08">
        <w:rPr>
          <w:rFonts w:ascii="Book Antiqua" w:hAnsi="Book Antiqua" w:cs="Arial"/>
        </w:rPr>
        <w:t>udge as to why, if there were</w:t>
      </w:r>
      <w:r>
        <w:rPr>
          <w:rFonts w:ascii="Book Antiqua" w:hAnsi="Book Antiqua" w:cs="Arial"/>
        </w:rPr>
        <w:t xml:space="preserve"> no risk in Kabul, it would nonetheless be unduly harsh for this </w:t>
      </w:r>
      <w:r w:rsidR="00E82343">
        <w:rPr>
          <w:rFonts w:ascii="Book Antiqua" w:hAnsi="Book Antiqua" w:cs="Arial"/>
        </w:rPr>
        <w:t>Appellant</w:t>
      </w:r>
      <w:r>
        <w:rPr>
          <w:rFonts w:ascii="Book Antiqua" w:hAnsi="Book Antiqua" w:cs="Arial"/>
        </w:rPr>
        <w:t xml:space="preserve"> to have relocated there.  I find this to be a further material error of law.  </w:t>
      </w:r>
    </w:p>
    <w:p w:rsidR="00ED3F08" w:rsidRDefault="00ED3F08" w:rsidP="00ED3F08">
      <w:pPr>
        <w:spacing w:before="240"/>
        <w:ind w:left="567"/>
        <w:jc w:val="both"/>
        <w:rPr>
          <w:rFonts w:ascii="Book Antiqua" w:hAnsi="Book Antiqua" w:cs="Arial"/>
        </w:rPr>
      </w:pPr>
    </w:p>
    <w:p w:rsidR="00240019" w:rsidRDefault="006141A7" w:rsidP="006141A7">
      <w:pPr>
        <w:spacing w:before="240"/>
        <w:jc w:val="both"/>
        <w:rPr>
          <w:rFonts w:ascii="Book Antiqua" w:hAnsi="Book Antiqua" w:cs="Arial"/>
        </w:rPr>
      </w:pPr>
      <w:r>
        <w:rPr>
          <w:rFonts w:ascii="Book Antiqua" w:hAnsi="Book Antiqua" w:cs="Arial"/>
          <w:b/>
          <w:u w:val="single"/>
        </w:rPr>
        <w:t>Disposal</w:t>
      </w:r>
    </w:p>
    <w:p w:rsidR="006141A7" w:rsidRDefault="006141A7"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 indicated to the representatives that there was absolutely no reason for this case to be remitted back to the First-tier Tribunal: I could and should remake the decision on the evidence before me, and in light of the very recent country guidance decision in </w:t>
      </w:r>
      <w:r w:rsidR="00141288">
        <w:rPr>
          <w:rFonts w:ascii="Book Antiqua" w:hAnsi="Book Antiqua" w:cs="Arial"/>
          <w:u w:val="single"/>
        </w:rPr>
        <w:t>AS (Safety of Kabul</w:t>
      </w:r>
      <w:r w:rsidRPr="00ED3F08">
        <w:rPr>
          <w:rFonts w:ascii="Book Antiqua" w:hAnsi="Book Antiqua" w:cs="Arial"/>
          <w:u w:val="single"/>
        </w:rPr>
        <w:t>) Afghanistan</w:t>
      </w:r>
      <w:r w:rsidR="00F84B77" w:rsidRPr="00ED3F08">
        <w:rPr>
          <w:rFonts w:ascii="Book Antiqua" w:hAnsi="Book Antiqua" w:cs="Arial"/>
          <w:u w:val="single"/>
        </w:rPr>
        <w:t xml:space="preserve"> CG</w:t>
      </w:r>
      <w:r w:rsidR="00F84B77">
        <w:rPr>
          <w:rFonts w:ascii="Book Antiqua" w:hAnsi="Book Antiqua" w:cs="Arial"/>
        </w:rPr>
        <w:t xml:space="preserve"> [2018] UKUT 00118 (IAC)</w:t>
      </w:r>
      <w:r>
        <w:rPr>
          <w:rFonts w:ascii="Book Antiqua" w:hAnsi="Book Antiqua" w:cs="Arial"/>
        </w:rPr>
        <w:t xml:space="preserve"> and submissions.  Both representatives were agreed on this course of action.  I then put the case back for a while in order that both representatives could consider </w:t>
      </w:r>
      <w:r w:rsidRPr="006141A7">
        <w:rPr>
          <w:rFonts w:ascii="Book Antiqua" w:hAnsi="Book Antiqua" w:cs="Arial"/>
          <w:u w:val="single"/>
        </w:rPr>
        <w:t>AS</w:t>
      </w:r>
      <w:r w:rsidRPr="006141A7">
        <w:rPr>
          <w:rFonts w:ascii="Book Antiqua" w:hAnsi="Book Antiqua" w:cs="Arial"/>
        </w:rPr>
        <w:t xml:space="preserve"> </w:t>
      </w:r>
      <w:r>
        <w:rPr>
          <w:rFonts w:ascii="Book Antiqua" w:hAnsi="Book Antiqua" w:cs="Arial"/>
        </w:rPr>
        <w:t xml:space="preserve">and the submissions that they wished to make.  The hearing then resumed and the following submissions were put forward.  </w:t>
      </w:r>
    </w:p>
    <w:p w:rsidR="006141A7" w:rsidRDefault="006141A7"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Gajjar</w:t>
      </w:r>
      <w:proofErr w:type="spellEnd"/>
      <w:r>
        <w:rPr>
          <w:rFonts w:ascii="Book Antiqua" w:hAnsi="Book Antiqua" w:cs="Arial"/>
        </w:rPr>
        <w:t xml:space="preserve"> acknowledged that he could only rely on the single factual finding made by the judge, namely that the </w:t>
      </w:r>
      <w:r w:rsidR="00E82343">
        <w:rPr>
          <w:rFonts w:ascii="Book Antiqua" w:hAnsi="Book Antiqua" w:cs="Arial"/>
        </w:rPr>
        <w:t>Appellant</w:t>
      </w:r>
      <w:r w:rsidR="00ED3F08">
        <w:rPr>
          <w:rFonts w:ascii="Book Antiqua" w:hAnsi="Book Antiqua" w:cs="Arial"/>
        </w:rPr>
        <w:t xml:space="preserve"> had been an employee of XX</w:t>
      </w:r>
      <w:r>
        <w:rPr>
          <w:rFonts w:ascii="Book Antiqua" w:hAnsi="Book Antiqua" w:cs="Arial"/>
        </w:rPr>
        <w:t xml:space="preserve">.  With reference to pages 104-105 of the </w:t>
      </w:r>
      <w:r w:rsidR="00E82343">
        <w:rPr>
          <w:rFonts w:ascii="Book Antiqua" w:hAnsi="Book Antiqua" w:cs="Arial"/>
        </w:rPr>
        <w:t>Appellant</w:t>
      </w:r>
      <w:r>
        <w:rPr>
          <w:rFonts w:ascii="Book Antiqua" w:hAnsi="Book Antiqua" w:cs="Arial"/>
        </w:rPr>
        <w:t xml:space="preserve">’s bundle he submitted that the </w:t>
      </w:r>
      <w:r w:rsidR="00E82343">
        <w:rPr>
          <w:rFonts w:ascii="Book Antiqua" w:hAnsi="Book Antiqua" w:cs="Arial"/>
        </w:rPr>
        <w:t>Appellant</w:t>
      </w:r>
      <w:r>
        <w:rPr>
          <w:rFonts w:ascii="Book Antiqua" w:hAnsi="Book Antiqua" w:cs="Arial"/>
        </w:rPr>
        <w:t xml:space="preserve"> was at risk in his home area.  In respect of Kabul Mr </w:t>
      </w:r>
      <w:proofErr w:type="spellStart"/>
      <w:r>
        <w:rPr>
          <w:rFonts w:ascii="Book Antiqua" w:hAnsi="Book Antiqua" w:cs="Arial"/>
        </w:rPr>
        <w:t>Gajjar</w:t>
      </w:r>
      <w:proofErr w:type="spellEnd"/>
      <w:r>
        <w:rPr>
          <w:rFonts w:ascii="Book Antiqua" w:hAnsi="Book Antiqua" w:cs="Arial"/>
        </w:rPr>
        <w:t xml:space="preserve"> acknowledged that in light of </w:t>
      </w:r>
      <w:r>
        <w:rPr>
          <w:rFonts w:ascii="Book Antiqua" w:hAnsi="Book Antiqua" w:cs="Arial"/>
          <w:u w:val="single"/>
        </w:rPr>
        <w:t>AS</w:t>
      </w:r>
      <w:r>
        <w:rPr>
          <w:rFonts w:ascii="Book Antiqua" w:hAnsi="Book Antiqua" w:cs="Arial"/>
        </w:rPr>
        <w:t xml:space="preserve"> he could </w:t>
      </w:r>
      <w:r>
        <w:rPr>
          <w:rFonts w:ascii="Book Antiqua" w:hAnsi="Book Antiqua" w:cs="Arial"/>
        </w:rPr>
        <w:lastRenderedPageBreak/>
        <w:t xml:space="preserve">not argue that there was a risk under Article 15(c) of the Qualification Directive.  In reliance on paragraph 174 of </w:t>
      </w:r>
      <w:r>
        <w:rPr>
          <w:rFonts w:ascii="Book Antiqua" w:hAnsi="Book Antiqua" w:cs="Arial"/>
          <w:u w:val="single"/>
        </w:rPr>
        <w:t>AS</w:t>
      </w:r>
      <w:r>
        <w:rPr>
          <w:rFonts w:ascii="Book Antiqua" w:hAnsi="Book Antiqua" w:cs="Arial"/>
        </w:rPr>
        <w:t xml:space="preserve"> he did submit that the </w:t>
      </w:r>
      <w:r w:rsidR="00E82343">
        <w:rPr>
          <w:rFonts w:ascii="Book Antiqua" w:hAnsi="Book Antiqua" w:cs="Arial"/>
        </w:rPr>
        <w:t>Appellant</w:t>
      </w:r>
      <w:r>
        <w:rPr>
          <w:rFonts w:ascii="Book Antiqua" w:hAnsi="Book Antiqua" w:cs="Arial"/>
        </w:rPr>
        <w:t xml:space="preserve"> would be at risk in the capital, although he acknowledged the Upper Tribunal’s conclusions on the ability and willingness of the Taliban to track people down.  In respect of internal relocation, paragraphs 202, 205, 217 and 222 of </w:t>
      </w:r>
      <w:r>
        <w:rPr>
          <w:rFonts w:ascii="Book Antiqua" w:hAnsi="Book Antiqua" w:cs="Arial"/>
          <w:u w:val="single"/>
        </w:rPr>
        <w:t>AS</w:t>
      </w:r>
      <w:r>
        <w:rPr>
          <w:rFonts w:ascii="Book Antiqua" w:hAnsi="Book Antiqua" w:cs="Arial"/>
        </w:rPr>
        <w:t xml:space="preserve"> were relied on.  The </w:t>
      </w:r>
      <w:r w:rsidR="00E82343">
        <w:rPr>
          <w:rFonts w:ascii="Book Antiqua" w:hAnsi="Book Antiqua" w:cs="Arial"/>
        </w:rPr>
        <w:t>Appellant</w:t>
      </w:r>
      <w:r>
        <w:rPr>
          <w:rFonts w:ascii="Book Antiqua" w:hAnsi="Book Antiqua" w:cs="Arial"/>
        </w:rPr>
        <w:t xml:space="preserve"> has a family network in the United Kingdom consisting of his brother and cousins, but would not have any such network in Kabul.  The </w:t>
      </w:r>
      <w:r w:rsidR="00E82343">
        <w:rPr>
          <w:rFonts w:ascii="Book Antiqua" w:hAnsi="Book Antiqua" w:cs="Arial"/>
        </w:rPr>
        <w:t>Appellant</w:t>
      </w:r>
      <w:r>
        <w:rPr>
          <w:rFonts w:ascii="Book Antiqua" w:hAnsi="Book Antiqua" w:cs="Arial"/>
        </w:rPr>
        <w:t xml:space="preserve"> would struggle to find accommodation on return.  It was acknowledged that the brother in the United Kingdom could potentially provide financial support to the </w:t>
      </w:r>
      <w:r w:rsidR="00E82343">
        <w:rPr>
          <w:rFonts w:ascii="Book Antiqua" w:hAnsi="Book Antiqua" w:cs="Arial"/>
        </w:rPr>
        <w:t>Appellant</w:t>
      </w:r>
      <w:r>
        <w:rPr>
          <w:rFonts w:ascii="Book Antiqua" w:hAnsi="Book Antiqua" w:cs="Arial"/>
        </w:rPr>
        <w:t xml:space="preserve"> on return but this was not the same as having a practical and immediate support network.  Mr </w:t>
      </w:r>
      <w:proofErr w:type="spellStart"/>
      <w:r>
        <w:rPr>
          <w:rFonts w:ascii="Book Antiqua" w:hAnsi="Book Antiqua" w:cs="Arial"/>
        </w:rPr>
        <w:t>Gajjar</w:t>
      </w:r>
      <w:proofErr w:type="spellEnd"/>
      <w:r>
        <w:rPr>
          <w:rFonts w:ascii="Book Antiqua" w:hAnsi="Book Antiqua" w:cs="Arial"/>
        </w:rPr>
        <w:t xml:space="preserve"> acknowledged that the </w:t>
      </w:r>
      <w:r w:rsidR="00E82343">
        <w:rPr>
          <w:rFonts w:ascii="Book Antiqua" w:hAnsi="Book Antiqua" w:cs="Arial"/>
        </w:rPr>
        <w:t>Appellant</w:t>
      </w:r>
      <w:r>
        <w:rPr>
          <w:rFonts w:ascii="Book Antiqua" w:hAnsi="Book Antiqua" w:cs="Arial"/>
        </w:rPr>
        <w:t xml:space="preserve"> was physically and mentally healthy.  </w:t>
      </w:r>
    </w:p>
    <w:p w:rsidR="006141A7" w:rsidRDefault="006141A7"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Mr Clarke relied on paragraphs 173-188 of </w:t>
      </w:r>
      <w:r>
        <w:rPr>
          <w:rFonts w:ascii="Book Antiqua" w:hAnsi="Book Antiqua" w:cs="Arial"/>
          <w:u w:val="single"/>
        </w:rPr>
        <w:t>AS</w:t>
      </w:r>
      <w:r>
        <w:rPr>
          <w:rFonts w:ascii="Book Antiqua" w:hAnsi="Book Antiqua" w:cs="Arial"/>
        </w:rPr>
        <w:t xml:space="preserve">.  He submitted that there was no risk to the </w:t>
      </w:r>
      <w:r w:rsidR="00E82343">
        <w:rPr>
          <w:rFonts w:ascii="Book Antiqua" w:hAnsi="Book Antiqua" w:cs="Arial"/>
        </w:rPr>
        <w:t>Appellant</w:t>
      </w:r>
      <w:r>
        <w:rPr>
          <w:rFonts w:ascii="Book Antiqua" w:hAnsi="Book Antiqua" w:cs="Arial"/>
        </w:rPr>
        <w:t xml:space="preserve"> in any part of Afghanistan.  If internal relocation was a live issue, he relied on the fact that the </w:t>
      </w:r>
      <w:r w:rsidR="00E82343">
        <w:rPr>
          <w:rFonts w:ascii="Book Antiqua" w:hAnsi="Book Antiqua" w:cs="Arial"/>
        </w:rPr>
        <w:t>Appellant</w:t>
      </w:r>
      <w:r>
        <w:rPr>
          <w:rFonts w:ascii="Book Antiqua" w:hAnsi="Book Antiqua" w:cs="Arial"/>
        </w:rPr>
        <w:t xml:space="preserve"> was a single, adult male who was healthy in all respects.  It was not necessary for him to have a support network on return.  He would be able to access employment and accommodation.  The </w:t>
      </w:r>
      <w:r w:rsidR="00E82343">
        <w:rPr>
          <w:rFonts w:ascii="Book Antiqua" w:hAnsi="Book Antiqua" w:cs="Arial"/>
        </w:rPr>
        <w:t>Appellant</w:t>
      </w:r>
      <w:r>
        <w:rPr>
          <w:rFonts w:ascii="Book Antiqua" w:hAnsi="Book Antiqua" w:cs="Arial"/>
        </w:rPr>
        <w:t xml:space="preserve"> left Afghanistan as an adult, could get financial assistance from the United Kingdom, had a certain amount of skills, and spoke Pashtu.  </w:t>
      </w:r>
    </w:p>
    <w:p w:rsidR="006141A7" w:rsidRDefault="006141A7"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Gajjar</w:t>
      </w:r>
      <w:proofErr w:type="spellEnd"/>
      <w:r>
        <w:rPr>
          <w:rFonts w:ascii="Book Antiqua" w:hAnsi="Book Antiqua" w:cs="Arial"/>
        </w:rPr>
        <w:t xml:space="preserve"> had nothing to add by way of reply.  </w:t>
      </w:r>
    </w:p>
    <w:p w:rsidR="006141A7" w:rsidRDefault="005A4680" w:rsidP="00CD4CF3">
      <w:pPr>
        <w:numPr>
          <w:ilvl w:val="0"/>
          <w:numId w:val="1"/>
        </w:numPr>
        <w:tabs>
          <w:tab w:val="clear" w:pos="567"/>
        </w:tabs>
        <w:spacing w:before="240"/>
        <w:jc w:val="both"/>
        <w:rPr>
          <w:rFonts w:ascii="Book Antiqua" w:hAnsi="Book Antiqua" w:cs="Arial"/>
        </w:rPr>
      </w:pPr>
      <w:r>
        <w:rPr>
          <w:rFonts w:ascii="Book Antiqua" w:hAnsi="Book Antiqua" w:cs="Arial"/>
        </w:rPr>
        <w:t>I reserved my decision.</w:t>
      </w:r>
    </w:p>
    <w:p w:rsidR="00ED3F08" w:rsidRDefault="00ED3F08" w:rsidP="00ED3F08">
      <w:pPr>
        <w:spacing w:before="240"/>
        <w:ind w:left="567"/>
        <w:jc w:val="both"/>
        <w:rPr>
          <w:rFonts w:ascii="Book Antiqua" w:hAnsi="Book Antiqua" w:cs="Arial"/>
        </w:rPr>
      </w:pPr>
    </w:p>
    <w:p w:rsidR="005A4680" w:rsidRDefault="005A4680" w:rsidP="005A4680">
      <w:pPr>
        <w:spacing w:before="240"/>
        <w:jc w:val="both"/>
        <w:rPr>
          <w:rFonts w:ascii="Book Antiqua" w:hAnsi="Book Antiqua" w:cs="Arial"/>
        </w:rPr>
      </w:pPr>
      <w:r>
        <w:rPr>
          <w:rFonts w:ascii="Book Antiqua" w:hAnsi="Book Antiqua" w:cs="Arial"/>
          <w:b/>
          <w:u w:val="single"/>
        </w:rPr>
        <w:t>The remaking of the decision</w:t>
      </w:r>
    </w:p>
    <w:p w:rsidR="00F30C21" w:rsidRPr="00F30C21" w:rsidRDefault="00F30C21" w:rsidP="00F30C21">
      <w:pPr>
        <w:spacing w:before="240"/>
        <w:jc w:val="both"/>
        <w:rPr>
          <w:rFonts w:ascii="Book Antiqua" w:hAnsi="Book Antiqua" w:cs="Arial"/>
          <w:i/>
        </w:rPr>
      </w:pPr>
      <w:r w:rsidRPr="00F30C21">
        <w:rPr>
          <w:rFonts w:ascii="Book Antiqua" w:hAnsi="Book Antiqua" w:cs="Arial"/>
          <w:i/>
        </w:rPr>
        <w:t>The factual matrix</w:t>
      </w:r>
    </w:p>
    <w:p w:rsidR="00F30C21" w:rsidRDefault="005A4680"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In terms of the factual basis upon which I will consider the </w:t>
      </w:r>
      <w:r w:rsidR="00E82343">
        <w:rPr>
          <w:rFonts w:ascii="Book Antiqua" w:hAnsi="Book Antiqua" w:cs="Arial"/>
        </w:rPr>
        <w:t>Appellant</w:t>
      </w:r>
      <w:r>
        <w:rPr>
          <w:rFonts w:ascii="Book Antiqua" w:hAnsi="Book Antiqua" w:cs="Arial"/>
        </w:rPr>
        <w:t xml:space="preserve">’s situation on return, all adverse credibility matters set out by the judge in her decision shall stand.  </w:t>
      </w:r>
      <w:r w:rsidR="007B2C7B">
        <w:rPr>
          <w:rFonts w:ascii="Book Antiqua" w:hAnsi="Book Antiqua" w:cs="Arial"/>
        </w:rPr>
        <w:t xml:space="preserve">There has been no challenge to them and they were clearly open to the judge.  </w:t>
      </w:r>
    </w:p>
    <w:p w:rsidR="00F30C21" w:rsidRDefault="007B2C7B"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 like the judge, find that the </w:t>
      </w:r>
      <w:r w:rsidR="00E82343">
        <w:rPr>
          <w:rFonts w:ascii="Book Antiqua" w:hAnsi="Book Antiqua" w:cs="Arial"/>
        </w:rPr>
        <w:t>Appellant</w:t>
      </w:r>
      <w:r w:rsidR="00F30C21">
        <w:rPr>
          <w:rFonts w:ascii="Book Antiqua" w:hAnsi="Book Antiqua" w:cs="Arial"/>
        </w:rPr>
        <w:t xml:space="preserve"> was an employee of XX</w:t>
      </w:r>
      <w:r>
        <w:rPr>
          <w:rFonts w:ascii="Book Antiqua" w:hAnsi="Book Antiqua" w:cs="Arial"/>
        </w:rPr>
        <w:t xml:space="preserve">.  For the avoidance of any doubt I find that he was simply an ordinary employee, with no prominent profile and no involvement in the expression or teaching of any Christian values whatsoever.  I find that the </w:t>
      </w:r>
      <w:r w:rsidR="00E82343">
        <w:rPr>
          <w:rFonts w:ascii="Book Antiqua" w:hAnsi="Book Antiqua" w:cs="Arial"/>
        </w:rPr>
        <w:t>Appellant</w:t>
      </w:r>
      <w:r>
        <w:rPr>
          <w:rFonts w:ascii="Book Antiqua" w:hAnsi="Book Antiqua" w:cs="Arial"/>
        </w:rPr>
        <w:t xml:space="preserve"> had never come to the adverse attention of any organisation whilst in Afghanistan.  On the eviden</w:t>
      </w:r>
      <w:r w:rsidR="00F30C21">
        <w:rPr>
          <w:rFonts w:ascii="Book Antiqua" w:hAnsi="Book Antiqua" w:cs="Arial"/>
        </w:rPr>
        <w:t>ce before me I also find that XX</w:t>
      </w:r>
      <w:r>
        <w:rPr>
          <w:rFonts w:ascii="Book Antiqua" w:hAnsi="Book Antiqua" w:cs="Arial"/>
        </w:rPr>
        <w:t xml:space="preserve"> has not encountered specific problems from any non-state actors in Afghanistan.  There is no reliable evidence before me to indicate to the contrary.  </w:t>
      </w:r>
    </w:p>
    <w:p w:rsidR="005A4680" w:rsidRDefault="007B2C7B"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 find that the </w:t>
      </w:r>
      <w:r w:rsidR="00E82343">
        <w:rPr>
          <w:rFonts w:ascii="Book Antiqua" w:hAnsi="Book Antiqua" w:cs="Arial"/>
        </w:rPr>
        <w:t>Appellant</w:t>
      </w:r>
      <w:r>
        <w:rPr>
          <w:rFonts w:ascii="Book Antiqua" w:hAnsi="Book Antiqua" w:cs="Arial"/>
        </w:rPr>
        <w:t xml:space="preserve"> has been living with his brother in the United Kingdom and that the brother has provided financial and emotional support.  I find as a fact that the brother would be willing and able to provide at least financial assistance to the </w:t>
      </w:r>
      <w:r w:rsidR="00E82343">
        <w:rPr>
          <w:rFonts w:ascii="Book Antiqua" w:hAnsi="Book Antiqua" w:cs="Arial"/>
        </w:rPr>
        <w:t>Appellant</w:t>
      </w:r>
      <w:r>
        <w:rPr>
          <w:rFonts w:ascii="Book Antiqua" w:hAnsi="Book Antiqua" w:cs="Arial"/>
        </w:rPr>
        <w:t xml:space="preserve"> if the latter were to return to Afghanistan.  It is probable too that other cousins living in this country would also be in a position to assist.  </w:t>
      </w:r>
    </w:p>
    <w:p w:rsidR="00F30C21" w:rsidRDefault="00F30C21" w:rsidP="00F30C21">
      <w:pPr>
        <w:spacing w:before="240"/>
        <w:jc w:val="both"/>
        <w:rPr>
          <w:rFonts w:ascii="Book Antiqua" w:hAnsi="Book Antiqua" w:cs="Arial"/>
        </w:rPr>
      </w:pPr>
    </w:p>
    <w:p w:rsidR="00F30C21" w:rsidRPr="00F30C21" w:rsidRDefault="00F30C21" w:rsidP="00F30C21">
      <w:pPr>
        <w:spacing w:before="240"/>
        <w:jc w:val="both"/>
        <w:rPr>
          <w:rFonts w:ascii="Book Antiqua" w:hAnsi="Book Antiqua" w:cs="Arial"/>
          <w:i/>
        </w:rPr>
      </w:pPr>
      <w:r w:rsidRPr="00F30C21">
        <w:rPr>
          <w:rFonts w:ascii="Book Antiqua" w:hAnsi="Book Antiqua" w:cs="Arial"/>
          <w:i/>
        </w:rPr>
        <w:t>Conclusions</w:t>
      </w:r>
    </w:p>
    <w:p w:rsidR="007B2C7B" w:rsidRDefault="00674E3B"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In the first instance I conclude that the </w:t>
      </w:r>
      <w:r w:rsidR="00E82343">
        <w:rPr>
          <w:rFonts w:ascii="Book Antiqua" w:hAnsi="Book Antiqua" w:cs="Arial"/>
        </w:rPr>
        <w:t>Appellant</w:t>
      </w:r>
      <w:r>
        <w:rPr>
          <w:rFonts w:ascii="Book Antiqua" w:hAnsi="Book Antiqua" w:cs="Arial"/>
        </w:rPr>
        <w:t xml:space="preserve"> is not at risk from non-state actors in his home area.  I acknowledge and take into account the country information set out at pages 104 to 108 of the </w:t>
      </w:r>
      <w:r w:rsidR="00E82343">
        <w:rPr>
          <w:rFonts w:ascii="Book Antiqua" w:hAnsi="Book Antiqua" w:cs="Arial"/>
        </w:rPr>
        <w:t>Appellant</w:t>
      </w:r>
      <w:r>
        <w:rPr>
          <w:rFonts w:ascii="Book Antiqua" w:hAnsi="Book Antiqua" w:cs="Arial"/>
        </w:rPr>
        <w:t xml:space="preserve">’s bundle.  This evidence does indicate that attacks on NGOs do occur and that these may have a higher incidence in the </w:t>
      </w:r>
      <w:proofErr w:type="spellStart"/>
      <w:r>
        <w:rPr>
          <w:rFonts w:ascii="Book Antiqua" w:hAnsi="Book Antiqua" w:cs="Arial"/>
        </w:rPr>
        <w:t>Ghazni</w:t>
      </w:r>
      <w:proofErr w:type="spellEnd"/>
      <w:r>
        <w:rPr>
          <w:rFonts w:ascii="Book Antiqua" w:hAnsi="Book Antiqua" w:cs="Arial"/>
        </w:rPr>
        <w:t xml:space="preserve"> province than in other areas of the country. </w:t>
      </w:r>
      <w:r w:rsidR="00AC67AD">
        <w:rPr>
          <w:rFonts w:ascii="Book Antiqua" w:hAnsi="Book Antiqua" w:cs="Arial"/>
        </w:rPr>
        <w:t xml:space="preserve">I note that paragraph 174 of </w:t>
      </w:r>
      <w:r w:rsidR="00AC67AD" w:rsidRPr="00AC67AD">
        <w:rPr>
          <w:rFonts w:ascii="Book Antiqua" w:hAnsi="Book Antiqua" w:cs="Arial"/>
          <w:u w:val="single"/>
        </w:rPr>
        <w:t>AS</w:t>
      </w:r>
      <w:r w:rsidR="00AC67AD">
        <w:rPr>
          <w:rFonts w:ascii="Book Antiqua" w:hAnsi="Book Antiqua" w:cs="Arial"/>
        </w:rPr>
        <w:t xml:space="preserve"> indicates that NGOs can be targeted.</w:t>
      </w:r>
      <w:r>
        <w:rPr>
          <w:rFonts w:ascii="Book Antiqua" w:hAnsi="Book Antiqua" w:cs="Arial"/>
        </w:rPr>
        <w:t xml:space="preserve"> Having said that</w:t>
      </w:r>
      <w:r w:rsidR="00F30C21">
        <w:rPr>
          <w:rFonts w:ascii="Book Antiqua" w:hAnsi="Book Antiqua" w:cs="Arial"/>
        </w:rPr>
        <w:t>,</w:t>
      </w:r>
      <w:r>
        <w:rPr>
          <w:rFonts w:ascii="Book Antiqua" w:hAnsi="Book Antiqua" w:cs="Arial"/>
        </w:rPr>
        <w:t xml:space="preserve"> in my view the country information </w:t>
      </w:r>
      <w:r w:rsidR="00AC67AD">
        <w:rPr>
          <w:rFonts w:ascii="Book Antiqua" w:hAnsi="Book Antiqua" w:cs="Arial"/>
        </w:rPr>
        <w:t xml:space="preserve">and overall conclusions in </w:t>
      </w:r>
      <w:r w:rsidR="00AC67AD" w:rsidRPr="00AC67AD">
        <w:rPr>
          <w:rFonts w:ascii="Book Antiqua" w:hAnsi="Book Antiqua" w:cs="Arial"/>
          <w:u w:val="single"/>
        </w:rPr>
        <w:t>AS</w:t>
      </w:r>
      <w:r w:rsidR="00AC67AD">
        <w:rPr>
          <w:rFonts w:ascii="Book Antiqua" w:hAnsi="Book Antiqua" w:cs="Arial"/>
        </w:rPr>
        <w:t xml:space="preserve"> are</w:t>
      </w:r>
      <w:r>
        <w:rPr>
          <w:rFonts w:ascii="Book Antiqua" w:hAnsi="Book Antiqua" w:cs="Arial"/>
        </w:rPr>
        <w:t xml:space="preserve"> not nearly strong enough to support a conclusion that </w:t>
      </w:r>
      <w:r w:rsidRPr="00F30C21">
        <w:rPr>
          <w:rFonts w:ascii="Book Antiqua" w:hAnsi="Book Antiqua" w:cs="Arial"/>
          <w:i/>
        </w:rPr>
        <w:t>any and all</w:t>
      </w:r>
      <w:r>
        <w:rPr>
          <w:rFonts w:ascii="Book Antiqua" w:hAnsi="Book Antiqua" w:cs="Arial"/>
        </w:rPr>
        <w:t xml:space="preserve"> employees or, importantly, ex-employees of </w:t>
      </w:r>
      <w:r w:rsidRPr="00F30C21">
        <w:rPr>
          <w:rFonts w:ascii="Book Antiqua" w:hAnsi="Book Antiqua" w:cs="Arial"/>
          <w:i/>
        </w:rPr>
        <w:t>any</w:t>
      </w:r>
      <w:r>
        <w:rPr>
          <w:rFonts w:ascii="Book Antiqua" w:hAnsi="Book Antiqua" w:cs="Arial"/>
        </w:rPr>
        <w:t xml:space="preserve"> charity operating in Afghanistan are, for that reason alone, at risk from the Taliban.  It may well be the case that particular individuals could be at risk because of their particular activities, or that particular charities may be targeted because of the nature of their work.  However, in the present case neither the </w:t>
      </w:r>
      <w:r w:rsidR="00E82343">
        <w:rPr>
          <w:rFonts w:ascii="Book Antiqua" w:hAnsi="Book Antiqua" w:cs="Arial"/>
        </w:rPr>
        <w:t>Appellant</w:t>
      </w:r>
      <w:r w:rsidR="00F30C21">
        <w:rPr>
          <w:rFonts w:ascii="Book Antiqua" w:hAnsi="Book Antiqua" w:cs="Arial"/>
        </w:rPr>
        <w:t xml:space="preserve"> nor XX</w:t>
      </w:r>
      <w:r>
        <w:rPr>
          <w:rFonts w:ascii="Book Antiqua" w:hAnsi="Book Antiqua" w:cs="Arial"/>
        </w:rPr>
        <w:t xml:space="preserve"> have an adverse profile.  </w:t>
      </w:r>
    </w:p>
    <w:p w:rsidR="00674E3B" w:rsidRDefault="00674E3B"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If I were wrong about this primary conclusion, and if the </w:t>
      </w:r>
      <w:r w:rsidR="00E82343">
        <w:rPr>
          <w:rFonts w:ascii="Book Antiqua" w:hAnsi="Book Antiqua" w:cs="Arial"/>
        </w:rPr>
        <w:t>Appellant</w:t>
      </w:r>
      <w:r>
        <w:rPr>
          <w:rFonts w:ascii="Book Antiqua" w:hAnsi="Book Antiqua" w:cs="Arial"/>
        </w:rPr>
        <w:t xml:space="preserve"> were at risk in his home area, pe</w:t>
      </w:r>
      <w:r w:rsidR="00F30C21">
        <w:rPr>
          <w:rFonts w:ascii="Book Antiqua" w:hAnsi="Book Antiqua" w:cs="Arial"/>
        </w:rPr>
        <w:t>rhaps simply because of the possibility</w:t>
      </w:r>
      <w:r>
        <w:rPr>
          <w:rFonts w:ascii="Book Antiqua" w:hAnsi="Book Antiqua" w:cs="Arial"/>
        </w:rPr>
        <w:t xml:space="preserve"> of him being physically recognised, I go on to consider the situation in Kabul.  In so doing, I take into account the recent country guidance decision in </w:t>
      </w:r>
      <w:r>
        <w:rPr>
          <w:rFonts w:ascii="Book Antiqua" w:hAnsi="Book Antiqua" w:cs="Arial"/>
          <w:u w:val="single"/>
        </w:rPr>
        <w:t>AS</w:t>
      </w:r>
      <w:r>
        <w:rPr>
          <w:rFonts w:ascii="Book Antiqua" w:hAnsi="Book Antiqua" w:cs="Arial"/>
        </w:rPr>
        <w:t xml:space="preserve">.  I conclude that the </w:t>
      </w:r>
      <w:r w:rsidR="00E82343">
        <w:rPr>
          <w:rFonts w:ascii="Book Antiqua" w:hAnsi="Book Antiqua" w:cs="Arial"/>
        </w:rPr>
        <w:t>Appellant</w:t>
      </w:r>
      <w:r>
        <w:rPr>
          <w:rFonts w:ascii="Book Antiqua" w:hAnsi="Book Antiqua" w:cs="Arial"/>
        </w:rPr>
        <w:t xml:space="preserve"> would not be at risk from the Taliban or anybody else in Kabul.  The country information before me in no way indicates that the Taliban would be willing and/or able to track down someone in the </w:t>
      </w:r>
      <w:r w:rsidR="00E82343">
        <w:rPr>
          <w:rFonts w:ascii="Book Antiqua" w:hAnsi="Book Antiqua" w:cs="Arial"/>
        </w:rPr>
        <w:t>Appellant</w:t>
      </w:r>
      <w:r>
        <w:rPr>
          <w:rFonts w:ascii="Book Antiqua" w:hAnsi="Book Antiqua" w:cs="Arial"/>
        </w:rPr>
        <w:t xml:space="preserve">’s situation to the capital city in order to do them harm.  The decision in </w:t>
      </w:r>
      <w:r>
        <w:rPr>
          <w:rFonts w:ascii="Book Antiqua" w:hAnsi="Book Antiqua" w:cs="Arial"/>
          <w:u w:val="single"/>
        </w:rPr>
        <w:t>AS</w:t>
      </w:r>
      <w:r>
        <w:rPr>
          <w:rFonts w:ascii="Book Antiqua" w:hAnsi="Book Antiqua" w:cs="Arial"/>
        </w:rPr>
        <w:t xml:space="preserve"> makes it clear that the Taliban do not, in reality, have the resources to undertake</w:t>
      </w:r>
      <w:r w:rsidR="00F30C21">
        <w:rPr>
          <w:rFonts w:ascii="Book Antiqua" w:hAnsi="Book Antiqua" w:cs="Arial"/>
        </w:rPr>
        <w:t xml:space="preserve"> such action (see paragraphs </w:t>
      </w:r>
      <w:r w:rsidR="00AC67AD">
        <w:rPr>
          <w:rFonts w:ascii="Book Antiqua" w:hAnsi="Book Antiqua" w:cs="Arial"/>
        </w:rPr>
        <w:t>175-185</w:t>
      </w:r>
      <w:r>
        <w:rPr>
          <w:rFonts w:ascii="Book Antiqua" w:hAnsi="Book Antiqua" w:cs="Arial"/>
        </w:rPr>
        <w:t xml:space="preserve">).  </w:t>
      </w:r>
      <w:r w:rsidR="00566167">
        <w:rPr>
          <w:rFonts w:ascii="Book Antiqua" w:hAnsi="Book Antiqua" w:cs="Arial"/>
        </w:rPr>
        <w:t xml:space="preserve">I conclude that even if the </w:t>
      </w:r>
      <w:r w:rsidR="00E82343">
        <w:rPr>
          <w:rFonts w:ascii="Book Antiqua" w:hAnsi="Book Antiqua" w:cs="Arial"/>
        </w:rPr>
        <w:t>Appellant</w:t>
      </w:r>
      <w:r w:rsidR="00566167">
        <w:rPr>
          <w:rFonts w:ascii="Book Antiqua" w:hAnsi="Book Antiqua" w:cs="Arial"/>
        </w:rPr>
        <w:t xml:space="preserve">’s employment history came to light whilst he was in Kabul this would not even of itself bring him to the adverse attention of the Taliban.  The possibility of this information being disclosed to the Taliban is so remote as to fall below the threshold of a reasonable likelihood.  </w:t>
      </w:r>
    </w:p>
    <w:p w:rsidR="00141288" w:rsidRDefault="00141288" w:rsidP="00CD4CF3">
      <w:pPr>
        <w:numPr>
          <w:ilvl w:val="0"/>
          <w:numId w:val="1"/>
        </w:numPr>
        <w:tabs>
          <w:tab w:val="clear" w:pos="567"/>
        </w:tabs>
        <w:spacing w:before="240"/>
        <w:jc w:val="both"/>
        <w:rPr>
          <w:rFonts w:ascii="Book Antiqua" w:hAnsi="Book Antiqua" w:cs="Arial"/>
        </w:rPr>
      </w:pPr>
      <w:r>
        <w:rPr>
          <w:rFonts w:ascii="Book Antiqua" w:hAnsi="Book Antiqua" w:cs="Arial"/>
        </w:rPr>
        <w:t>As to any possible argument that the Appellant would be regarded as being “westernised” and therefore at risk, I would reject that for two reasons. First, the Appellant has been out of the country for only a brief spell; less than three years. The chances of him truly</w:t>
      </w:r>
      <w:r w:rsidR="00F36C3E">
        <w:rPr>
          <w:rFonts w:ascii="Book Antiqua" w:hAnsi="Book Antiqua" w:cs="Arial"/>
        </w:rPr>
        <w:t xml:space="preserve"> being perceived in such a way are negligible. Second, in any event, AS makes it clear that there is no risk (paragraph 187).</w:t>
      </w:r>
    </w:p>
    <w:p w:rsidR="00566167" w:rsidRDefault="00566167"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 remaining issue is that of internal relocation.  I conclude that it would not be unduly harsh for this </w:t>
      </w:r>
      <w:r w:rsidR="00E82343">
        <w:rPr>
          <w:rFonts w:ascii="Book Antiqua" w:hAnsi="Book Antiqua" w:cs="Arial"/>
        </w:rPr>
        <w:t>Appellant</w:t>
      </w:r>
      <w:r>
        <w:rPr>
          <w:rFonts w:ascii="Book Antiqua" w:hAnsi="Book Antiqua" w:cs="Arial"/>
        </w:rPr>
        <w:t xml:space="preserve"> to relocate to Kabul.  </w:t>
      </w:r>
      <w:r w:rsidR="00CB0286">
        <w:rPr>
          <w:rFonts w:ascii="Book Antiqua" w:hAnsi="Book Antiqua" w:cs="Arial"/>
        </w:rPr>
        <w:t xml:space="preserve">The </w:t>
      </w:r>
      <w:r w:rsidR="00E82343">
        <w:rPr>
          <w:rFonts w:ascii="Book Antiqua" w:hAnsi="Book Antiqua" w:cs="Arial"/>
        </w:rPr>
        <w:t>Appellant</w:t>
      </w:r>
      <w:r w:rsidR="00CB0286">
        <w:rPr>
          <w:rFonts w:ascii="Book Antiqua" w:hAnsi="Book Antiqua" w:cs="Arial"/>
        </w:rPr>
        <w:t xml:space="preserve"> is a single, healthy adult male.  These simple facts in themselves place him in the category of a person who could be expected to reasonably relocate to Kabul.  On the facts of this case there are no countervailing features which would thereby bring the </w:t>
      </w:r>
      <w:r w:rsidR="00E82343">
        <w:rPr>
          <w:rFonts w:ascii="Book Antiqua" w:hAnsi="Book Antiqua" w:cs="Arial"/>
        </w:rPr>
        <w:t>Appellant</w:t>
      </w:r>
      <w:r w:rsidR="00CB0286">
        <w:rPr>
          <w:rFonts w:ascii="Book Antiqua" w:hAnsi="Book Antiqua" w:cs="Arial"/>
        </w:rPr>
        <w:t xml:space="preserve"> out of that category.  I take into account the fact that he left Afghanistan as an adult, that he has skills which would assist him in finding employment, and that he speaks Pashtu.  I would be willing to accept that the </w:t>
      </w:r>
      <w:r w:rsidR="00E82343">
        <w:rPr>
          <w:rFonts w:ascii="Book Antiqua" w:hAnsi="Book Antiqua" w:cs="Arial"/>
        </w:rPr>
        <w:t>Appellant</w:t>
      </w:r>
      <w:r w:rsidR="00CB0286">
        <w:rPr>
          <w:rFonts w:ascii="Book Antiqua" w:hAnsi="Book Antiqua" w:cs="Arial"/>
        </w:rPr>
        <w:t xml:space="preserve"> does not have a family support network in Afghanistan, and certainly not in Kabul.  However, we know from </w:t>
      </w:r>
      <w:r w:rsidR="00CB0286">
        <w:rPr>
          <w:rFonts w:ascii="Book Antiqua" w:hAnsi="Book Antiqua" w:cs="Arial"/>
          <w:u w:val="single"/>
        </w:rPr>
        <w:t>AS</w:t>
      </w:r>
      <w:r w:rsidR="00CB0286">
        <w:rPr>
          <w:rFonts w:ascii="Book Antiqua" w:hAnsi="Book Antiqua" w:cs="Arial"/>
        </w:rPr>
        <w:t xml:space="preserve"> that this is not an essential requirement for relocation to be a reasonable option.  In the </w:t>
      </w:r>
      <w:r w:rsidR="00E82343">
        <w:rPr>
          <w:rFonts w:ascii="Book Antiqua" w:hAnsi="Book Antiqua" w:cs="Arial"/>
        </w:rPr>
        <w:lastRenderedPageBreak/>
        <w:t>Appellant</w:t>
      </w:r>
      <w:r w:rsidR="00CB0286">
        <w:rPr>
          <w:rFonts w:ascii="Book Antiqua" w:hAnsi="Book Antiqua" w:cs="Arial"/>
        </w:rPr>
        <w:t>’s case, he would have a support network based in the United Kin</w:t>
      </w:r>
      <w:r w:rsidR="00F36C3E">
        <w:rPr>
          <w:rFonts w:ascii="Book Antiqua" w:hAnsi="Book Antiqua" w:cs="Arial"/>
        </w:rPr>
        <w:t>gdom, and f</w:t>
      </w:r>
      <w:r w:rsidR="00CB0286">
        <w:rPr>
          <w:rFonts w:ascii="Book Antiqua" w:hAnsi="Book Antiqua" w:cs="Arial"/>
        </w:rPr>
        <w:t xml:space="preserve">inancial assistance could be provided from this country.  I appreciate that that is not the same as having family and/or friends on the ground, as it were.  However, it would amount to meaningful support in terms of the </w:t>
      </w:r>
      <w:r w:rsidR="00E82343">
        <w:rPr>
          <w:rFonts w:ascii="Book Antiqua" w:hAnsi="Book Antiqua" w:cs="Arial"/>
        </w:rPr>
        <w:t>Appellant</w:t>
      </w:r>
      <w:r w:rsidR="00CB0286">
        <w:rPr>
          <w:rFonts w:ascii="Book Antiqua" w:hAnsi="Book Antiqua" w:cs="Arial"/>
        </w:rPr>
        <w:t xml:space="preserve">’s ability to establish himself, at least in the short to medium term.  There are no other factors in this case which would make the </w:t>
      </w:r>
      <w:r w:rsidR="00E82343">
        <w:rPr>
          <w:rFonts w:ascii="Book Antiqua" w:hAnsi="Book Antiqua" w:cs="Arial"/>
        </w:rPr>
        <w:t>Appellant</w:t>
      </w:r>
      <w:r w:rsidR="00CB0286">
        <w:rPr>
          <w:rFonts w:ascii="Book Antiqua" w:hAnsi="Book Antiqua" w:cs="Arial"/>
        </w:rPr>
        <w:t xml:space="preserve"> vulnerable in any </w:t>
      </w:r>
      <w:r w:rsidR="00F36C3E">
        <w:rPr>
          <w:rFonts w:ascii="Book Antiqua" w:hAnsi="Book Antiqua" w:cs="Arial"/>
        </w:rPr>
        <w:t xml:space="preserve">other </w:t>
      </w:r>
      <w:r w:rsidR="00CB0286">
        <w:rPr>
          <w:rFonts w:ascii="Book Antiqua" w:hAnsi="Book Antiqua" w:cs="Arial"/>
        </w:rPr>
        <w:t xml:space="preserve">material way.  </w:t>
      </w:r>
      <w:r w:rsidR="00E82343">
        <w:rPr>
          <w:rFonts w:ascii="Book Antiqua" w:hAnsi="Book Antiqua" w:cs="Arial"/>
        </w:rPr>
        <w:t xml:space="preserve">As I have already said I conclude that there would be no perception of the Appellant as a westernised person given that he has only spent a short period of time in the United Kingdom.  I confirm that I have taken all of the above factors into account, both individually and on a cumulative basis.  </w:t>
      </w:r>
    </w:p>
    <w:p w:rsidR="00E82343" w:rsidRDefault="00E82343"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In light of the foregoing, the Appellant’s appeal must be dismissed.  For the avoidance of any doubt, no Article 8 argument has been put forward on the Appellant’s behalf.  </w:t>
      </w:r>
    </w:p>
    <w:p w:rsidR="00ED3F08" w:rsidRDefault="00ED3F08" w:rsidP="00ED3F08">
      <w:pPr>
        <w:spacing w:before="240"/>
        <w:ind w:left="567"/>
        <w:jc w:val="both"/>
        <w:rPr>
          <w:rFonts w:ascii="Book Antiqua" w:hAnsi="Book Antiqua" w:cs="Arial"/>
        </w:rPr>
      </w:pPr>
    </w:p>
    <w:p w:rsidR="00E82343" w:rsidRDefault="00E82343" w:rsidP="00E82343">
      <w:pPr>
        <w:spacing w:before="240"/>
        <w:jc w:val="both"/>
        <w:rPr>
          <w:rFonts w:ascii="Book Antiqua" w:hAnsi="Book Antiqua" w:cs="Arial"/>
        </w:rPr>
      </w:pPr>
      <w:r>
        <w:rPr>
          <w:rFonts w:ascii="Book Antiqua" w:hAnsi="Book Antiqua" w:cs="Arial"/>
          <w:b/>
          <w:u w:val="single"/>
        </w:rPr>
        <w:t>Notice of Decision</w:t>
      </w:r>
    </w:p>
    <w:p w:rsidR="00E82343" w:rsidRPr="00E82343" w:rsidRDefault="00E82343" w:rsidP="00E82343">
      <w:pPr>
        <w:spacing w:before="240"/>
        <w:jc w:val="both"/>
        <w:rPr>
          <w:rFonts w:ascii="Book Antiqua" w:hAnsi="Book Antiqua" w:cs="Arial"/>
          <w:b/>
        </w:rPr>
      </w:pPr>
      <w:r w:rsidRPr="00E82343">
        <w:rPr>
          <w:rFonts w:ascii="Book Antiqua" w:hAnsi="Book Antiqua" w:cs="Arial"/>
          <w:b/>
        </w:rPr>
        <w:t>The decision of the First-tier Tribunal contained material errors o</w:t>
      </w:r>
      <w:r w:rsidR="00ED3F08">
        <w:rPr>
          <w:rFonts w:ascii="Book Antiqua" w:hAnsi="Book Antiqua" w:cs="Arial"/>
          <w:b/>
        </w:rPr>
        <w:t>f law and I set it aside under s</w:t>
      </w:r>
      <w:r w:rsidRPr="00E82343">
        <w:rPr>
          <w:rFonts w:ascii="Book Antiqua" w:hAnsi="Book Antiqua" w:cs="Arial"/>
          <w:b/>
        </w:rPr>
        <w:t xml:space="preserve">ection 12(2)(a) of the Tribunal, Courts and Enforcement Act 2007.  </w:t>
      </w:r>
    </w:p>
    <w:p w:rsidR="005C7297" w:rsidRDefault="00E82343" w:rsidP="00E82343">
      <w:pPr>
        <w:spacing w:before="240"/>
        <w:jc w:val="both"/>
        <w:rPr>
          <w:rFonts w:ascii="Book Antiqua" w:hAnsi="Book Antiqua" w:cs="Arial"/>
        </w:rPr>
      </w:pPr>
      <w:r w:rsidRPr="00E82343">
        <w:rPr>
          <w:rFonts w:ascii="Book Antiqua" w:hAnsi="Book Antiqua" w:cs="Arial"/>
          <w:b/>
        </w:rPr>
        <w:t xml:space="preserve">I remake the decision by dismissing the </w:t>
      </w:r>
      <w:r>
        <w:rPr>
          <w:rFonts w:ascii="Book Antiqua" w:hAnsi="Book Antiqua" w:cs="Arial"/>
          <w:b/>
        </w:rPr>
        <w:t>Appellant</w:t>
      </w:r>
      <w:r w:rsidRPr="00E82343">
        <w:rPr>
          <w:rFonts w:ascii="Book Antiqua" w:hAnsi="Book Antiqua" w:cs="Arial"/>
          <w:b/>
        </w:rPr>
        <w:t>’s appeal on all grounds</w:t>
      </w:r>
      <w:r>
        <w:rPr>
          <w:rFonts w:ascii="Book Antiqua" w:hAnsi="Book Antiqua" w:cs="Arial"/>
        </w:rPr>
        <w:t xml:space="preserve">. </w:t>
      </w:r>
    </w:p>
    <w:p w:rsidR="00F30C21" w:rsidRDefault="00F30C21" w:rsidP="00E82343">
      <w:pPr>
        <w:spacing w:before="240"/>
        <w:jc w:val="both"/>
        <w:rPr>
          <w:rFonts w:ascii="Book Antiqua" w:hAnsi="Book Antiqua" w:cs="Arial"/>
        </w:rPr>
      </w:pPr>
    </w:p>
    <w:p w:rsidR="007F79FA" w:rsidRDefault="007F79FA" w:rsidP="007F79FA">
      <w:pPr>
        <w:jc w:val="both"/>
        <w:rPr>
          <w:rFonts w:ascii="Book Antiqua" w:hAnsi="Book Antiqua" w:cs="Arial"/>
        </w:rPr>
      </w:pPr>
    </w:p>
    <w:p w:rsidR="001F2716" w:rsidRPr="009B7433" w:rsidRDefault="00780F86" w:rsidP="007F79FA">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6E7140" w:rsidRPr="00F36C3E">
        <w:rPr>
          <w:noProof/>
          <w:lang w:val="en-US" w:eastAsia="en-US"/>
        </w:rPr>
        <w:drawing>
          <wp:inline distT="0" distB="0" distL="0" distR="0">
            <wp:extent cx="2286000" cy="6781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78180"/>
                    </a:xfrm>
                    <a:prstGeom prst="rect">
                      <a:avLst/>
                    </a:prstGeom>
                    <a:noFill/>
                    <a:ln>
                      <a:noFill/>
                    </a:ln>
                  </pic:spPr>
                </pic:pic>
              </a:graphicData>
            </a:graphic>
          </wp:inline>
        </w:drawing>
      </w:r>
      <w:r w:rsidR="00F36C3E">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F30C21">
        <w:rPr>
          <w:rFonts w:ascii="Book Antiqua" w:hAnsi="Book Antiqua" w:cs="Arial"/>
        </w:rPr>
        <w:t>: 22 May 2018</w:t>
      </w:r>
    </w:p>
    <w:p w:rsidR="004A2D15" w:rsidRPr="001C5703" w:rsidRDefault="00FE6895" w:rsidP="007F79FA">
      <w:pPr>
        <w:jc w:val="both"/>
        <w:rPr>
          <w:rFonts w:ascii="Book Antiqua" w:hAnsi="Book Antiqua" w:cs="Arial"/>
          <w:color w:val="000000"/>
        </w:rPr>
      </w:pPr>
      <w:r>
        <w:rPr>
          <w:rFonts w:ascii="Book Antiqua" w:hAnsi="Book Antiqua" w:cs="Arial"/>
          <w:color w:val="000000"/>
        </w:rPr>
        <w:t>Deputy Upper Tribunal Judge Norton-Taylor</w:t>
      </w:r>
    </w:p>
    <w:p w:rsidR="00D949B7" w:rsidRDefault="00D949B7" w:rsidP="00CD4CF3">
      <w:pPr>
        <w:spacing w:before="240"/>
        <w:jc w:val="both"/>
        <w:rPr>
          <w:rFonts w:ascii="Book Antiqua" w:hAnsi="Book Antiqua" w:cs="Arial"/>
          <w:color w:val="000000"/>
        </w:rPr>
      </w:pPr>
    </w:p>
    <w:p w:rsidR="00D949B7" w:rsidRPr="00D949B7" w:rsidRDefault="00D949B7" w:rsidP="00CD4CF3">
      <w:pPr>
        <w:spacing w:before="240"/>
        <w:jc w:val="both"/>
        <w:rPr>
          <w:rFonts w:ascii="Book Antiqua" w:hAnsi="Book Antiqua" w:cs="Arial"/>
          <w:b/>
          <w:u w:val="single"/>
        </w:rPr>
      </w:pPr>
      <w:r w:rsidRPr="00D949B7">
        <w:rPr>
          <w:rFonts w:ascii="Book Antiqua" w:hAnsi="Book Antiqua" w:cs="Arial"/>
          <w:b/>
          <w:u w:val="single"/>
        </w:rPr>
        <w:t xml:space="preserve">TO THE </w:t>
      </w:r>
      <w:r w:rsidR="00E82343">
        <w:rPr>
          <w:rFonts w:ascii="Book Antiqua" w:hAnsi="Book Antiqua" w:cs="Arial"/>
          <w:b/>
          <w:u w:val="single"/>
        </w:rPr>
        <w:t>RESPONDENT</w:t>
      </w:r>
    </w:p>
    <w:p w:rsidR="00D949B7" w:rsidRPr="00D949B7" w:rsidRDefault="00D949B7" w:rsidP="00CD4CF3">
      <w:pPr>
        <w:spacing w:before="240"/>
        <w:jc w:val="both"/>
        <w:rPr>
          <w:rFonts w:ascii="Book Antiqua" w:hAnsi="Book Antiqua" w:cs="Arial"/>
        </w:rPr>
      </w:pPr>
      <w:r w:rsidRPr="00D949B7">
        <w:rPr>
          <w:rFonts w:ascii="Book Antiqua" w:hAnsi="Book Antiqua" w:cs="Arial"/>
          <w:b/>
          <w:u w:val="single"/>
        </w:rPr>
        <w:t>FEE AWARD</w:t>
      </w:r>
    </w:p>
    <w:p w:rsidR="00D949B7" w:rsidRDefault="00D949B7" w:rsidP="00CD4CF3">
      <w:pPr>
        <w:spacing w:before="240"/>
        <w:jc w:val="both"/>
        <w:rPr>
          <w:rFonts w:ascii="Book Antiqua" w:hAnsi="Book Antiqua" w:cs="Arial"/>
        </w:rPr>
      </w:pPr>
      <w:r w:rsidRPr="00D949B7">
        <w:rPr>
          <w:rFonts w:ascii="Book Antiqua" w:hAnsi="Book Antiqua" w:cs="Arial"/>
        </w:rPr>
        <w:t>I have dismissed the appeal and therefore there can be no fee award.</w:t>
      </w:r>
    </w:p>
    <w:p w:rsidR="00D949B7" w:rsidRDefault="00D949B7" w:rsidP="00CD4CF3">
      <w:pPr>
        <w:spacing w:before="240"/>
        <w:jc w:val="both"/>
        <w:rPr>
          <w:rFonts w:ascii="Book Antiqua" w:hAnsi="Book Antiqua" w:cs="Arial"/>
        </w:rPr>
      </w:pPr>
    </w:p>
    <w:p w:rsidR="00D949B7" w:rsidRPr="009B7433" w:rsidRDefault="00D949B7"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6E7140" w:rsidRPr="00F36C3E">
        <w:rPr>
          <w:noProof/>
          <w:lang w:val="en-US" w:eastAsia="en-US"/>
        </w:rPr>
        <w:drawing>
          <wp:inline distT="0" distB="0" distL="0" distR="0">
            <wp:extent cx="2286000" cy="6781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78180"/>
                    </a:xfrm>
                    <a:prstGeom prst="rect">
                      <a:avLst/>
                    </a:prstGeom>
                    <a:noFill/>
                    <a:ln>
                      <a:noFill/>
                    </a:ln>
                  </pic:spPr>
                </pic:pic>
              </a:graphicData>
            </a:graphic>
          </wp:inline>
        </w:drawing>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F30C21">
        <w:rPr>
          <w:rFonts w:ascii="Book Antiqua" w:hAnsi="Book Antiqua" w:cs="Arial"/>
        </w:rPr>
        <w:t>: 22 May 2018</w:t>
      </w:r>
    </w:p>
    <w:p w:rsidR="00D949B7" w:rsidRPr="009B7433" w:rsidRDefault="00D949B7" w:rsidP="00CD4CF3">
      <w:pPr>
        <w:spacing w:before="240"/>
        <w:jc w:val="both"/>
        <w:rPr>
          <w:rFonts w:ascii="Book Antiqua" w:hAnsi="Book Antiqua" w:cs="Arial"/>
        </w:rPr>
      </w:pPr>
    </w:p>
    <w:p w:rsidR="00FE6895" w:rsidRPr="001C5703" w:rsidRDefault="00FE6895" w:rsidP="00CD4CF3">
      <w:pPr>
        <w:spacing w:before="240"/>
        <w:jc w:val="both"/>
        <w:rPr>
          <w:rFonts w:ascii="Book Antiqua" w:hAnsi="Book Antiqua" w:cs="Arial"/>
          <w:color w:val="000000"/>
        </w:rPr>
      </w:pPr>
      <w:r>
        <w:rPr>
          <w:rFonts w:ascii="Book Antiqua" w:hAnsi="Book Antiqua" w:cs="Arial"/>
          <w:color w:val="000000"/>
        </w:rPr>
        <w:t>Deput</w:t>
      </w:r>
      <w:r w:rsidR="00F36C3E">
        <w:rPr>
          <w:rFonts w:ascii="Book Antiqua" w:hAnsi="Book Antiqua" w:cs="Arial"/>
          <w:color w:val="000000"/>
        </w:rPr>
        <w:t>y Upper Tribunal Judge Norton-Ta</w:t>
      </w:r>
      <w:r>
        <w:rPr>
          <w:rFonts w:ascii="Book Antiqua" w:hAnsi="Book Antiqua" w:cs="Arial"/>
          <w:color w:val="000000"/>
        </w:rPr>
        <w:t>ylor</w:t>
      </w:r>
    </w:p>
    <w:sectPr w:rsidR="00FE6895" w:rsidRPr="001C570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046" w:rsidRDefault="002D1046">
      <w:r>
        <w:separator/>
      </w:r>
    </w:p>
  </w:endnote>
  <w:endnote w:type="continuationSeparator" w:id="0">
    <w:p w:rsidR="002D1046" w:rsidRDefault="002D1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288" w:rsidRPr="009B7433" w:rsidRDefault="00141288"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262373">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288" w:rsidRPr="009B7433" w:rsidRDefault="00141288"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046" w:rsidRDefault="002D1046">
      <w:r>
        <w:separator/>
      </w:r>
    </w:p>
  </w:footnote>
  <w:footnote w:type="continuationSeparator" w:id="0">
    <w:p w:rsidR="002D1046" w:rsidRDefault="002D1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288" w:rsidRPr="009B7433" w:rsidRDefault="00141288"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PA/00817/2018</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288" w:rsidRPr="009B7433" w:rsidRDefault="00141288">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F3"/>
    <w:rsid w:val="00000621"/>
    <w:rsid w:val="00003131"/>
    <w:rsid w:val="000036C2"/>
    <w:rsid w:val="000111FC"/>
    <w:rsid w:val="00016C1A"/>
    <w:rsid w:val="00033588"/>
    <w:rsid w:val="00033D3D"/>
    <w:rsid w:val="0004737E"/>
    <w:rsid w:val="0004776F"/>
    <w:rsid w:val="00052895"/>
    <w:rsid w:val="00062F02"/>
    <w:rsid w:val="0007011D"/>
    <w:rsid w:val="00071A7E"/>
    <w:rsid w:val="000746C0"/>
    <w:rsid w:val="00074D1D"/>
    <w:rsid w:val="00092580"/>
    <w:rsid w:val="00093D4D"/>
    <w:rsid w:val="000C1C29"/>
    <w:rsid w:val="000D5D94"/>
    <w:rsid w:val="000F1A0E"/>
    <w:rsid w:val="001165A7"/>
    <w:rsid w:val="00141288"/>
    <w:rsid w:val="00160508"/>
    <w:rsid w:val="0016508E"/>
    <w:rsid w:val="00167D3A"/>
    <w:rsid w:val="00173F50"/>
    <w:rsid w:val="00185986"/>
    <w:rsid w:val="001A3082"/>
    <w:rsid w:val="001B186A"/>
    <w:rsid w:val="001B2F75"/>
    <w:rsid w:val="001B48FD"/>
    <w:rsid w:val="001C6F5F"/>
    <w:rsid w:val="001C7F77"/>
    <w:rsid w:val="001D6167"/>
    <w:rsid w:val="001E5948"/>
    <w:rsid w:val="001F2716"/>
    <w:rsid w:val="001F3AC0"/>
    <w:rsid w:val="00207617"/>
    <w:rsid w:val="0023134B"/>
    <w:rsid w:val="00240019"/>
    <w:rsid w:val="00262373"/>
    <w:rsid w:val="00283659"/>
    <w:rsid w:val="0029177A"/>
    <w:rsid w:val="002C6BD4"/>
    <w:rsid w:val="002D1046"/>
    <w:rsid w:val="002D68BF"/>
    <w:rsid w:val="002E4541"/>
    <w:rsid w:val="002F6B98"/>
    <w:rsid w:val="003053D1"/>
    <w:rsid w:val="00336CBF"/>
    <w:rsid w:val="00343FE3"/>
    <w:rsid w:val="003546C8"/>
    <w:rsid w:val="003825D4"/>
    <w:rsid w:val="003A7CF2"/>
    <w:rsid w:val="003C5CE5"/>
    <w:rsid w:val="003D6FAD"/>
    <w:rsid w:val="003E267B"/>
    <w:rsid w:val="003E4DAA"/>
    <w:rsid w:val="003E7CD1"/>
    <w:rsid w:val="00402B9E"/>
    <w:rsid w:val="004249CB"/>
    <w:rsid w:val="0044127D"/>
    <w:rsid w:val="004448DB"/>
    <w:rsid w:val="00446C9A"/>
    <w:rsid w:val="00452F2B"/>
    <w:rsid w:val="00460181"/>
    <w:rsid w:val="00467F46"/>
    <w:rsid w:val="00477193"/>
    <w:rsid w:val="00494716"/>
    <w:rsid w:val="0049604D"/>
    <w:rsid w:val="004A1848"/>
    <w:rsid w:val="004A2D15"/>
    <w:rsid w:val="004A534C"/>
    <w:rsid w:val="004A6F4A"/>
    <w:rsid w:val="004B70D7"/>
    <w:rsid w:val="004D6B45"/>
    <w:rsid w:val="004E2C01"/>
    <w:rsid w:val="004E4717"/>
    <w:rsid w:val="00507FEC"/>
    <w:rsid w:val="00510F0E"/>
    <w:rsid w:val="0051462A"/>
    <w:rsid w:val="00515284"/>
    <w:rsid w:val="00521438"/>
    <w:rsid w:val="005364F3"/>
    <w:rsid w:val="00542F44"/>
    <w:rsid w:val="005479E1"/>
    <w:rsid w:val="00553E0A"/>
    <w:rsid w:val="005570FD"/>
    <w:rsid w:val="005575EA"/>
    <w:rsid w:val="00566167"/>
    <w:rsid w:val="0057790C"/>
    <w:rsid w:val="00593795"/>
    <w:rsid w:val="005A4680"/>
    <w:rsid w:val="005A75FF"/>
    <w:rsid w:val="005C7297"/>
    <w:rsid w:val="005D10AB"/>
    <w:rsid w:val="00601D8F"/>
    <w:rsid w:val="00605582"/>
    <w:rsid w:val="00611F34"/>
    <w:rsid w:val="006141A7"/>
    <w:rsid w:val="00620F3C"/>
    <w:rsid w:val="00621FE8"/>
    <w:rsid w:val="006314F2"/>
    <w:rsid w:val="006434B6"/>
    <w:rsid w:val="00653E97"/>
    <w:rsid w:val="006667DB"/>
    <w:rsid w:val="00670EAF"/>
    <w:rsid w:val="00674E3B"/>
    <w:rsid w:val="00684A74"/>
    <w:rsid w:val="0068620A"/>
    <w:rsid w:val="00690B8A"/>
    <w:rsid w:val="006E7140"/>
    <w:rsid w:val="006F2CF1"/>
    <w:rsid w:val="007038ED"/>
    <w:rsid w:val="00703BC3"/>
    <w:rsid w:val="00704B61"/>
    <w:rsid w:val="00715A64"/>
    <w:rsid w:val="00740C1F"/>
    <w:rsid w:val="0074796D"/>
    <w:rsid w:val="007552A9"/>
    <w:rsid w:val="0075658A"/>
    <w:rsid w:val="00761858"/>
    <w:rsid w:val="00767D59"/>
    <w:rsid w:val="00776E97"/>
    <w:rsid w:val="00780F86"/>
    <w:rsid w:val="007912AD"/>
    <w:rsid w:val="007B0824"/>
    <w:rsid w:val="007B2C7B"/>
    <w:rsid w:val="007B5D3C"/>
    <w:rsid w:val="007F2E69"/>
    <w:rsid w:val="007F79FA"/>
    <w:rsid w:val="00815011"/>
    <w:rsid w:val="00821B72"/>
    <w:rsid w:val="00822F14"/>
    <w:rsid w:val="00823EF2"/>
    <w:rsid w:val="008303B8"/>
    <w:rsid w:val="00833DCE"/>
    <w:rsid w:val="0085036E"/>
    <w:rsid w:val="00871D34"/>
    <w:rsid w:val="008A25EC"/>
    <w:rsid w:val="008A6059"/>
    <w:rsid w:val="008B270C"/>
    <w:rsid w:val="008B5078"/>
    <w:rsid w:val="008C3D3D"/>
    <w:rsid w:val="008D05F7"/>
    <w:rsid w:val="008D4131"/>
    <w:rsid w:val="008D49E8"/>
    <w:rsid w:val="008F1932"/>
    <w:rsid w:val="0090151B"/>
    <w:rsid w:val="009042A9"/>
    <w:rsid w:val="00910706"/>
    <w:rsid w:val="00921062"/>
    <w:rsid w:val="009722BC"/>
    <w:rsid w:val="009727A3"/>
    <w:rsid w:val="00987774"/>
    <w:rsid w:val="009A11E8"/>
    <w:rsid w:val="009B7433"/>
    <w:rsid w:val="009C57C8"/>
    <w:rsid w:val="009D5357"/>
    <w:rsid w:val="009F5220"/>
    <w:rsid w:val="00A07919"/>
    <w:rsid w:val="00A15234"/>
    <w:rsid w:val="00A201AB"/>
    <w:rsid w:val="00A31C8B"/>
    <w:rsid w:val="00A509FA"/>
    <w:rsid w:val="00A60E3E"/>
    <w:rsid w:val="00A845DC"/>
    <w:rsid w:val="00AC67AD"/>
    <w:rsid w:val="00AD2088"/>
    <w:rsid w:val="00AD7143"/>
    <w:rsid w:val="00B00C98"/>
    <w:rsid w:val="00B12405"/>
    <w:rsid w:val="00B255D1"/>
    <w:rsid w:val="00B26AA2"/>
    <w:rsid w:val="00B30B7A"/>
    <w:rsid w:val="00B3524D"/>
    <w:rsid w:val="00B40F69"/>
    <w:rsid w:val="00B46616"/>
    <w:rsid w:val="00B528BB"/>
    <w:rsid w:val="00B7040A"/>
    <w:rsid w:val="00B83391"/>
    <w:rsid w:val="00B8764F"/>
    <w:rsid w:val="00B95326"/>
    <w:rsid w:val="00BA3DC9"/>
    <w:rsid w:val="00BB0C31"/>
    <w:rsid w:val="00BD4196"/>
    <w:rsid w:val="00BF22CA"/>
    <w:rsid w:val="00BF23BB"/>
    <w:rsid w:val="00C26032"/>
    <w:rsid w:val="00C345E1"/>
    <w:rsid w:val="00C40B79"/>
    <w:rsid w:val="00C43BFD"/>
    <w:rsid w:val="00C6048A"/>
    <w:rsid w:val="00CB0286"/>
    <w:rsid w:val="00CB6E35"/>
    <w:rsid w:val="00CD4CF3"/>
    <w:rsid w:val="00CE09B1"/>
    <w:rsid w:val="00CE1A46"/>
    <w:rsid w:val="00D20757"/>
    <w:rsid w:val="00D22636"/>
    <w:rsid w:val="00D40FD9"/>
    <w:rsid w:val="00D53769"/>
    <w:rsid w:val="00D609F4"/>
    <w:rsid w:val="00D6602D"/>
    <w:rsid w:val="00D85C13"/>
    <w:rsid w:val="00D9111A"/>
    <w:rsid w:val="00D91BE3"/>
    <w:rsid w:val="00D949B7"/>
    <w:rsid w:val="00D94AFC"/>
    <w:rsid w:val="00DA1ACB"/>
    <w:rsid w:val="00DB70AE"/>
    <w:rsid w:val="00DD5071"/>
    <w:rsid w:val="00DD5C39"/>
    <w:rsid w:val="00DE7DB7"/>
    <w:rsid w:val="00E00A0A"/>
    <w:rsid w:val="00E066DE"/>
    <w:rsid w:val="00E07F57"/>
    <w:rsid w:val="00E30683"/>
    <w:rsid w:val="00E37C92"/>
    <w:rsid w:val="00E42107"/>
    <w:rsid w:val="00E4362A"/>
    <w:rsid w:val="00E453D8"/>
    <w:rsid w:val="00E50BCE"/>
    <w:rsid w:val="00E574BF"/>
    <w:rsid w:val="00E61292"/>
    <w:rsid w:val="00E77C4D"/>
    <w:rsid w:val="00E81D01"/>
    <w:rsid w:val="00E82343"/>
    <w:rsid w:val="00EB485A"/>
    <w:rsid w:val="00ED3F08"/>
    <w:rsid w:val="00EE45D8"/>
    <w:rsid w:val="00F22EDA"/>
    <w:rsid w:val="00F30C21"/>
    <w:rsid w:val="00F36C3E"/>
    <w:rsid w:val="00F5589A"/>
    <w:rsid w:val="00F82A20"/>
    <w:rsid w:val="00F84B77"/>
    <w:rsid w:val="00FC40FA"/>
    <w:rsid w:val="00FE6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18B857A2"/>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2559</Words>
  <Characters>14589</Characters>
  <Application>Microsoft Office Word</Application>
  <DocSecurity>0</DocSecurity>
  <Lines>121</Lines>
  <Paragraphs>34</Paragraphs>
  <ScaleCrop>false</ScaleCrop>
  <Company/>
  <LinksUpToDate>false</LinksUpToDate>
  <CharactersWithSpaces>17114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2018-06-18T13:20:00Z</dcterms:created>
  <dcterms:modified xsi:type="dcterms:W3CDTF">2018-06-18T13:20:00Z</dcterms:modified>
</cp:coreProperties>
</file>