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D10" w:rsidRDefault="00940D10" w:rsidP="00A842AA">
      <w:pPr>
        <w:jc w:val="center"/>
        <w:rPr>
          <w:rFonts w:ascii="Book Antiqua" w:hAnsi="Book Antiqua" w:cs="Arial"/>
          <w:caps/>
          <w:color w:val="000000"/>
          <w:sz w:val="16"/>
          <w:szCs w:val="16"/>
        </w:rPr>
      </w:pPr>
    </w:p>
    <w:p w:rsidR="00A842AA" w:rsidRPr="00AC04A0" w:rsidRDefault="00D43F0F" w:rsidP="00A842A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85219C" w:rsidRDefault="00A842AA" w:rsidP="00780F86">
      <w:pPr>
        <w:tabs>
          <w:tab w:val="right" w:pos="9720"/>
        </w:tabs>
        <w:ind w:right="-82"/>
        <w:rPr>
          <w:rFonts w:ascii="Book Antiqua" w:hAnsi="Book Antiqua" w:cs="Arial"/>
          <w:caps/>
          <w:color w:val="000000"/>
        </w:rPr>
      </w:pPr>
      <w:r w:rsidRPr="00AC04A0">
        <w:rPr>
          <w:rFonts w:ascii="Book Antiqua" w:hAnsi="Book Antiqua" w:cs="Arial"/>
          <w:b/>
          <w:color w:val="000000"/>
        </w:rPr>
        <w:t xml:space="preserve">(Immigration and Asylum </w:t>
      </w:r>
      <w:proofErr w:type="gramStart"/>
      <w:r w:rsidRPr="00AC04A0">
        <w:rPr>
          <w:rFonts w:ascii="Book Antiqua" w:hAnsi="Book Antiqua" w:cs="Arial"/>
          <w:b/>
          <w:color w:val="000000"/>
        </w:rPr>
        <w:t>Chamber)</w:t>
      </w:r>
      <w:bookmarkStart w:id="0" w:name="_Hlk516228465"/>
      <w:r w:rsidR="00940D10">
        <w:rPr>
          <w:rFonts w:ascii="Book Antiqua" w:hAnsi="Book Antiqua" w:cs="Arial"/>
          <w:b/>
          <w:color w:val="000000"/>
        </w:rPr>
        <w:t xml:space="preserve">   </w:t>
      </w:r>
      <w:proofErr w:type="gramEnd"/>
      <w:r w:rsidR="00940D10">
        <w:rPr>
          <w:rFonts w:ascii="Book Antiqua" w:hAnsi="Book Antiqua" w:cs="Arial"/>
          <w:b/>
          <w:color w:val="000000"/>
        </w:rPr>
        <w:t xml:space="preserve">                    </w:t>
      </w:r>
      <w:r w:rsidR="00B3524D" w:rsidRPr="00940D10">
        <w:rPr>
          <w:rFonts w:ascii="Book Antiqua" w:hAnsi="Book Antiqua" w:cs="Arial"/>
          <w:b/>
          <w:color w:val="000000"/>
        </w:rPr>
        <w:t>Appeal Number</w:t>
      </w:r>
      <w:r w:rsidR="00D53769" w:rsidRPr="00940D10">
        <w:rPr>
          <w:rFonts w:ascii="Book Antiqua" w:hAnsi="Book Antiqua" w:cs="Arial"/>
          <w:b/>
          <w:color w:val="000000"/>
        </w:rPr>
        <w:t>:</w:t>
      </w:r>
      <w:r w:rsidR="00B3524D" w:rsidRPr="00940D10">
        <w:rPr>
          <w:rFonts w:ascii="Book Antiqua" w:hAnsi="Book Antiqua" w:cs="Arial"/>
          <w:b/>
          <w:color w:val="000000"/>
        </w:rPr>
        <w:t xml:space="preserve"> </w:t>
      </w:r>
      <w:r w:rsidR="0085219C" w:rsidRPr="00940D10">
        <w:rPr>
          <w:rFonts w:ascii="Book Antiqua" w:hAnsi="Book Antiqua" w:cs="Arial"/>
          <w:b/>
          <w:caps/>
          <w:color w:val="000000"/>
        </w:rPr>
        <w:t>PA</w:t>
      </w:r>
      <w:r w:rsidR="00940D10">
        <w:rPr>
          <w:rFonts w:ascii="Book Antiqua" w:hAnsi="Book Antiqua" w:cs="Arial"/>
          <w:b/>
          <w:caps/>
          <w:color w:val="000000"/>
        </w:rPr>
        <w:t>/</w:t>
      </w:r>
      <w:r w:rsidR="0085219C" w:rsidRPr="00940D10">
        <w:rPr>
          <w:rFonts w:ascii="Book Antiqua" w:hAnsi="Book Antiqua" w:cs="Arial"/>
          <w:b/>
          <w:caps/>
          <w:color w:val="000000"/>
        </w:rPr>
        <w:t>0084</w:t>
      </w:r>
      <w:r w:rsidR="00940D10">
        <w:rPr>
          <w:rFonts w:ascii="Book Antiqua" w:hAnsi="Book Antiqua" w:cs="Arial"/>
          <w:b/>
          <w:caps/>
          <w:color w:val="000000"/>
        </w:rPr>
        <w:t>/</w:t>
      </w:r>
      <w:r w:rsidR="0085219C" w:rsidRPr="00940D10">
        <w:rPr>
          <w:rFonts w:ascii="Book Antiqua" w:hAnsi="Book Antiqua" w:cs="Arial"/>
          <w:b/>
          <w:caps/>
          <w:color w:val="000000"/>
        </w:rPr>
        <w:t>12018</w:t>
      </w:r>
      <w:bookmarkEnd w:id="0"/>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7B1462" w:rsidTr="006F1B65">
        <w:tc>
          <w:tcPr>
            <w:tcW w:w="5070" w:type="dxa"/>
            <w:shd w:val="clear" w:color="auto" w:fill="auto"/>
          </w:tcPr>
          <w:p w:rsidR="00D22636" w:rsidRPr="007B1462" w:rsidRDefault="00D22636" w:rsidP="007B1462">
            <w:pPr>
              <w:jc w:val="both"/>
              <w:rPr>
                <w:rFonts w:ascii="Book Antiqua" w:hAnsi="Book Antiqua" w:cs="Arial"/>
                <w:b/>
              </w:rPr>
            </w:pPr>
            <w:r w:rsidRPr="007B1462">
              <w:rPr>
                <w:rFonts w:ascii="Book Antiqua" w:hAnsi="Book Antiqua" w:cs="Arial"/>
                <w:b/>
              </w:rPr>
              <w:t xml:space="preserve">Heard at </w:t>
            </w:r>
            <w:r w:rsidR="0085219C" w:rsidRPr="007B1462">
              <w:rPr>
                <w:rFonts w:ascii="Book Antiqua" w:hAnsi="Book Antiqua" w:cs="Arial"/>
                <w:b/>
              </w:rPr>
              <w:t xml:space="preserve">Field House </w:t>
            </w:r>
          </w:p>
        </w:tc>
        <w:tc>
          <w:tcPr>
            <w:tcW w:w="4938" w:type="dxa"/>
            <w:gridSpan w:val="2"/>
            <w:shd w:val="clear" w:color="auto" w:fill="auto"/>
          </w:tcPr>
          <w:p w:rsidR="00D22636" w:rsidRPr="007B1462" w:rsidRDefault="00940D10" w:rsidP="007B1462">
            <w:pPr>
              <w:jc w:val="both"/>
              <w:rPr>
                <w:rFonts w:ascii="Book Antiqua" w:hAnsi="Book Antiqua" w:cs="Arial"/>
                <w:b/>
                <w:color w:val="000000"/>
              </w:rPr>
            </w:pPr>
            <w:r>
              <w:rPr>
                <w:rFonts w:ascii="Book Antiqua" w:hAnsi="Book Antiqua" w:cs="Arial"/>
                <w:b/>
                <w:color w:val="000000"/>
              </w:rPr>
              <w:t xml:space="preserve">   </w:t>
            </w:r>
            <w:r w:rsidR="009F14B8" w:rsidRPr="007B1462">
              <w:rPr>
                <w:rFonts w:ascii="Book Antiqua" w:hAnsi="Book Antiqua" w:cs="Arial"/>
                <w:b/>
                <w:color w:val="000000"/>
              </w:rPr>
              <w:t>Decision &amp; Reasons</w:t>
            </w:r>
            <w:r w:rsidR="00283659" w:rsidRPr="007B1462">
              <w:rPr>
                <w:rFonts w:ascii="Book Antiqua" w:hAnsi="Book Antiqua" w:cs="Arial"/>
                <w:b/>
                <w:color w:val="000000"/>
              </w:rPr>
              <w:t xml:space="preserve"> Promulgated</w:t>
            </w:r>
          </w:p>
        </w:tc>
      </w:tr>
      <w:tr w:rsidR="00D22636" w:rsidRPr="007B1462" w:rsidTr="006F1B65">
        <w:tc>
          <w:tcPr>
            <w:tcW w:w="5070" w:type="dxa"/>
            <w:shd w:val="clear" w:color="auto" w:fill="auto"/>
          </w:tcPr>
          <w:p w:rsidR="00D22636" w:rsidRPr="007B1462" w:rsidRDefault="00D22636" w:rsidP="007B1462">
            <w:pPr>
              <w:jc w:val="both"/>
              <w:rPr>
                <w:rFonts w:ascii="Book Antiqua" w:hAnsi="Book Antiqua" w:cs="Arial"/>
                <w:b/>
              </w:rPr>
            </w:pPr>
            <w:r w:rsidRPr="007B1462">
              <w:rPr>
                <w:rFonts w:ascii="Book Antiqua" w:hAnsi="Book Antiqua" w:cs="Arial"/>
                <w:b/>
              </w:rPr>
              <w:t xml:space="preserve">On </w:t>
            </w:r>
            <w:r w:rsidR="0085219C" w:rsidRPr="007B1462">
              <w:rPr>
                <w:rFonts w:ascii="Book Antiqua" w:hAnsi="Book Antiqua" w:cs="Arial"/>
                <w:b/>
              </w:rPr>
              <w:t>21</w:t>
            </w:r>
            <w:r w:rsidR="0085219C" w:rsidRPr="007B1462">
              <w:rPr>
                <w:rFonts w:ascii="Book Antiqua" w:hAnsi="Book Antiqua" w:cs="Arial"/>
                <w:b/>
                <w:vertAlign w:val="superscript"/>
              </w:rPr>
              <w:t xml:space="preserve"> </w:t>
            </w:r>
            <w:r w:rsidR="0085219C" w:rsidRPr="007B1462">
              <w:rPr>
                <w:rFonts w:ascii="Book Antiqua" w:hAnsi="Book Antiqua" w:cs="Arial"/>
                <w:b/>
              </w:rPr>
              <w:t xml:space="preserve">May 2018 </w:t>
            </w:r>
          </w:p>
        </w:tc>
        <w:tc>
          <w:tcPr>
            <w:tcW w:w="4938" w:type="dxa"/>
            <w:gridSpan w:val="2"/>
            <w:shd w:val="clear" w:color="auto" w:fill="auto"/>
          </w:tcPr>
          <w:p w:rsidR="00D22636" w:rsidRPr="007B1462" w:rsidRDefault="00940D10" w:rsidP="007B1462">
            <w:pPr>
              <w:jc w:val="both"/>
              <w:rPr>
                <w:rFonts w:ascii="Book Antiqua" w:hAnsi="Book Antiqua" w:cs="Arial"/>
                <w:b/>
              </w:rPr>
            </w:pPr>
            <w:r>
              <w:rPr>
                <w:rFonts w:ascii="Book Antiqua" w:hAnsi="Book Antiqua" w:cs="Arial"/>
                <w:b/>
              </w:rPr>
              <w:t xml:space="preserve">   </w:t>
            </w:r>
            <w:r w:rsidR="006F1B65">
              <w:rPr>
                <w:rFonts w:ascii="Book Antiqua" w:hAnsi="Book Antiqua" w:cs="Arial"/>
                <w:b/>
              </w:rPr>
              <w:t xml:space="preserve">On 08 June 2018 </w:t>
            </w:r>
          </w:p>
        </w:tc>
      </w:tr>
      <w:tr w:rsidR="00D22636" w:rsidRPr="007B1462" w:rsidTr="006F1B65">
        <w:tc>
          <w:tcPr>
            <w:tcW w:w="6048" w:type="dxa"/>
            <w:gridSpan w:val="2"/>
            <w:shd w:val="clear" w:color="auto" w:fill="auto"/>
          </w:tcPr>
          <w:p w:rsidR="00D22636" w:rsidRPr="007B1462" w:rsidRDefault="00D22636" w:rsidP="007B1462">
            <w:pPr>
              <w:jc w:val="both"/>
              <w:rPr>
                <w:rFonts w:ascii="Book Antiqua" w:hAnsi="Book Antiqua" w:cs="Arial"/>
                <w:b/>
              </w:rPr>
            </w:pPr>
          </w:p>
        </w:tc>
        <w:tc>
          <w:tcPr>
            <w:tcW w:w="3960" w:type="dxa"/>
            <w:shd w:val="clear" w:color="auto" w:fill="auto"/>
          </w:tcPr>
          <w:p w:rsidR="00D22636" w:rsidRPr="007B1462" w:rsidRDefault="00D22636" w:rsidP="007B1462">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85219C" w:rsidP="00A15234">
      <w:pPr>
        <w:jc w:val="center"/>
        <w:rPr>
          <w:rFonts w:ascii="Book Antiqua" w:hAnsi="Book Antiqua" w:cs="Arial"/>
          <w:b/>
          <w:caps/>
        </w:rPr>
      </w:pPr>
      <w:r>
        <w:rPr>
          <w:rFonts w:ascii="Book Antiqua" w:hAnsi="Book Antiqua" w:cs="Arial"/>
          <w:b/>
          <w:caps/>
        </w:rPr>
        <w:t>V S</w:t>
      </w:r>
    </w:p>
    <w:p w:rsidR="009F14B8" w:rsidRPr="00940D10" w:rsidRDefault="009F14B8" w:rsidP="009F14B8">
      <w:pPr>
        <w:jc w:val="center"/>
        <w:rPr>
          <w:rFonts w:ascii="Book Antiqua" w:hAnsi="Book Antiqua" w:cs="Arial"/>
          <w:caps/>
        </w:rPr>
      </w:pPr>
      <w:r w:rsidRPr="00940D10">
        <w:rPr>
          <w:rFonts w:ascii="Book Antiqua" w:hAnsi="Book Antiqua" w:cs="Arial"/>
          <w:caps/>
        </w:rPr>
        <w:t xml:space="preserve">(ANONYMITY DIRECTION </w:t>
      </w:r>
      <w:r w:rsidR="0085219C" w:rsidRPr="00940D10">
        <w:rPr>
          <w:rFonts w:ascii="Book Antiqua" w:hAnsi="Book Antiqua" w:cs="Arial"/>
          <w:caps/>
        </w:rPr>
        <w:t>made</w:t>
      </w:r>
      <w:r w:rsidRPr="00940D10">
        <w:rPr>
          <w:rFonts w:ascii="Book Antiqua" w:hAnsi="Book Antiqua" w:cs="Arial"/>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Default="007B1462" w:rsidP="00704B61">
      <w:pPr>
        <w:jc w:val="center"/>
        <w:rPr>
          <w:rFonts w:ascii="Book Antiqua" w:hAnsi="Book Antiqua" w:cs="Arial"/>
          <w:b/>
        </w:rPr>
      </w:pPr>
      <w:r>
        <w:rPr>
          <w:rFonts w:ascii="Book Antiqua" w:hAnsi="Book Antiqua" w:cs="Arial"/>
          <w:b/>
        </w:rPr>
        <w:t>a</w:t>
      </w:r>
      <w:r w:rsidR="00DD5071" w:rsidRPr="00AC04A0">
        <w:rPr>
          <w:rFonts w:ascii="Book Antiqua" w:hAnsi="Book Antiqua" w:cs="Arial"/>
          <w:b/>
        </w:rPr>
        <w:t>nd</w:t>
      </w:r>
    </w:p>
    <w:p w:rsidR="007B1462" w:rsidRPr="00AC04A0" w:rsidRDefault="007B1462" w:rsidP="00704B61">
      <w:pPr>
        <w:jc w:val="center"/>
        <w:rPr>
          <w:rFonts w:ascii="Book Antiqua" w:hAnsi="Book Antiqua" w:cs="Arial"/>
          <w:b/>
        </w:rPr>
      </w:pPr>
    </w:p>
    <w:p w:rsidR="00DD5071" w:rsidRPr="00AC04A0" w:rsidRDefault="007B1462" w:rsidP="00704B61">
      <w:pPr>
        <w:jc w:val="center"/>
        <w:rPr>
          <w:rFonts w:ascii="Book Antiqua" w:hAnsi="Book Antiqua" w:cs="Arial"/>
          <w:b/>
        </w:rPr>
      </w:pPr>
      <w:r w:rsidRPr="007B1462">
        <w:rPr>
          <w:rFonts w:ascii="Book Antiqua" w:hAnsi="Book Antiqua" w:cs="Arial"/>
          <w:b/>
        </w:rPr>
        <w:t>SECRETARY OF STATE FOR THE HOME DEPARTMENT</w:t>
      </w:r>
      <w:r w:rsidRPr="00AC04A0">
        <w:rPr>
          <w:rFonts w:ascii="Book Antiqua" w:hAnsi="Book Antiqua" w:cs="Arial"/>
          <w:b/>
        </w:rPr>
        <w:t xml:space="preserve"> </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Pr="00AC04A0" w:rsidRDefault="00DD5071" w:rsidP="00DD5071">
      <w:pPr>
        <w:rPr>
          <w:rFonts w:ascii="Book Antiqua" w:hAnsi="Book Antiqua" w:cs="Arial"/>
          <w:u w:val="single"/>
        </w:rPr>
      </w:pPr>
    </w:p>
    <w:p w:rsidR="00DD5071" w:rsidRDefault="00DE7DB7" w:rsidP="00DD5071">
      <w:pPr>
        <w:rPr>
          <w:rFonts w:ascii="Book Antiqua" w:hAnsi="Book Antiqua" w:cs="Arial"/>
          <w:b/>
        </w:rPr>
      </w:pPr>
      <w:r w:rsidRPr="00AC04A0">
        <w:rPr>
          <w:rFonts w:ascii="Book Antiqua" w:hAnsi="Book Antiqua" w:cs="Arial"/>
          <w:b/>
          <w:u w:val="single"/>
        </w:rPr>
        <w:t>Representation</w:t>
      </w:r>
      <w:r w:rsidRPr="00AC04A0">
        <w:rPr>
          <w:rFonts w:ascii="Book Antiqua" w:hAnsi="Book Antiqua" w:cs="Arial"/>
          <w:b/>
        </w:rPr>
        <w:t>:</w:t>
      </w:r>
    </w:p>
    <w:p w:rsidR="00940D10" w:rsidRPr="00AC04A0" w:rsidRDefault="00940D10" w:rsidP="00DD5071">
      <w:pPr>
        <w:rPr>
          <w:rFonts w:ascii="Book Antiqua" w:hAnsi="Book Antiqua" w:cs="Arial"/>
        </w:rPr>
      </w:pP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7B1462">
        <w:rPr>
          <w:rFonts w:ascii="Book Antiqua" w:hAnsi="Book Antiqua" w:cs="Arial"/>
        </w:rPr>
        <w:t>The appellant did not appear and was not represented.</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85219C">
        <w:rPr>
          <w:rFonts w:ascii="Book Antiqua" w:hAnsi="Book Antiqua" w:cs="Arial"/>
        </w:rPr>
        <w:t xml:space="preserve">Ms A Everett, </w:t>
      </w:r>
      <w:r w:rsidR="007B1462">
        <w:rPr>
          <w:rFonts w:ascii="Book Antiqua" w:hAnsi="Book Antiqua" w:cs="Arial"/>
        </w:rPr>
        <w:t xml:space="preserve">Senior </w:t>
      </w:r>
      <w:r w:rsidR="0085219C">
        <w:rPr>
          <w:rFonts w:ascii="Book Antiqua" w:hAnsi="Book Antiqua" w:cs="Arial"/>
        </w:rPr>
        <w:t xml:space="preserve">Home Office Presenting Officer </w:t>
      </w:r>
    </w:p>
    <w:p w:rsidR="00577719" w:rsidRDefault="00577719" w:rsidP="00577719">
      <w:pPr>
        <w:tabs>
          <w:tab w:val="left" w:pos="2520"/>
        </w:tabs>
        <w:jc w:val="center"/>
        <w:rPr>
          <w:rFonts w:ascii="Book Antiqua" w:hAnsi="Book Antiqua" w:cs="Arial"/>
          <w:b/>
          <w:u w:val="single"/>
        </w:rPr>
      </w:pPr>
    </w:p>
    <w:p w:rsidR="00DE7DB7" w:rsidRDefault="009F14B8" w:rsidP="007B1462">
      <w:pPr>
        <w:tabs>
          <w:tab w:val="left" w:pos="2520"/>
        </w:tabs>
        <w:spacing w:before="100" w:beforeAutospacing="1" w:after="100" w:afterAutospacing="1"/>
        <w:jc w:val="center"/>
        <w:rPr>
          <w:rFonts w:ascii="Book Antiqua" w:hAnsi="Book Antiqua" w:cs="Arial"/>
          <w:b/>
          <w:u w:val="single"/>
        </w:rPr>
      </w:pPr>
      <w:r w:rsidRPr="00940D10">
        <w:rPr>
          <w:rFonts w:ascii="Book Antiqua" w:hAnsi="Book Antiqua" w:cs="Arial"/>
          <w:b/>
          <w:u w:val="single"/>
        </w:rPr>
        <w:t xml:space="preserve">DECISION </w:t>
      </w:r>
      <w:r w:rsidR="00402B9E" w:rsidRPr="00940D10">
        <w:rPr>
          <w:rFonts w:ascii="Book Antiqua" w:hAnsi="Book Antiqua" w:cs="Arial"/>
          <w:b/>
          <w:u w:val="single"/>
        </w:rPr>
        <w:t>AND REASONS</w:t>
      </w:r>
    </w:p>
    <w:p w:rsidR="00577719" w:rsidRDefault="00577719" w:rsidP="00577719">
      <w:pPr>
        <w:tabs>
          <w:tab w:val="left" w:pos="2520"/>
        </w:tabs>
        <w:jc w:val="center"/>
        <w:rPr>
          <w:rFonts w:ascii="Book Antiqua" w:hAnsi="Book Antiqua" w:cs="Arial"/>
          <w:b/>
          <w:u w:val="single"/>
        </w:rPr>
      </w:pPr>
    </w:p>
    <w:p w:rsidR="007B1462" w:rsidRDefault="0085219C" w:rsidP="007B1462">
      <w:pPr>
        <w:numPr>
          <w:ilvl w:val="0"/>
          <w:numId w:val="2"/>
        </w:numPr>
        <w:tabs>
          <w:tab w:val="left" w:pos="0"/>
        </w:tabs>
        <w:spacing w:before="120"/>
        <w:ind w:hanging="429"/>
        <w:jc w:val="both"/>
        <w:rPr>
          <w:rFonts w:ascii="Book Antiqua" w:hAnsi="Book Antiqua" w:cs="Arial"/>
        </w:rPr>
      </w:pPr>
      <w:r>
        <w:rPr>
          <w:rFonts w:ascii="Book Antiqua" w:hAnsi="Book Antiqua" w:cs="Arial"/>
        </w:rPr>
        <w:t xml:space="preserve">This is an appeal by </w:t>
      </w:r>
      <w:r w:rsidR="006A1A07">
        <w:rPr>
          <w:rFonts w:ascii="Book Antiqua" w:hAnsi="Book Antiqua" w:cs="Arial"/>
        </w:rPr>
        <w:t>a</w:t>
      </w:r>
      <w:r>
        <w:rPr>
          <w:rFonts w:ascii="Book Antiqua" w:hAnsi="Book Antiqua" w:cs="Arial"/>
        </w:rPr>
        <w:t xml:space="preserve"> citizen of the Ukraine against the decision of the First-tier Tribunal dismissing his appeal against the decision of the Secretary of State refusing him asylum or leave to remain on human rights or humanitarian </w:t>
      </w:r>
      <w:r w:rsidR="003E4F4D">
        <w:rPr>
          <w:rFonts w:ascii="Book Antiqua" w:hAnsi="Book Antiqua" w:cs="Arial"/>
        </w:rPr>
        <w:t>grounds</w:t>
      </w:r>
      <w:r>
        <w:rPr>
          <w:rFonts w:ascii="Book Antiqua" w:hAnsi="Book Antiqua" w:cs="Arial"/>
        </w:rPr>
        <w:t xml:space="preserve">.  The appellant did not appear before me.  This is slightly surprising given the nature of the case and the money that has </w:t>
      </w:r>
      <w:r w:rsidR="003E4F4D">
        <w:rPr>
          <w:rFonts w:ascii="Book Antiqua" w:hAnsi="Book Antiqua" w:cs="Arial"/>
        </w:rPr>
        <w:t>already</w:t>
      </w:r>
      <w:r>
        <w:rPr>
          <w:rFonts w:ascii="Book Antiqua" w:hAnsi="Book Antiqua" w:cs="Arial"/>
        </w:rPr>
        <w:t xml:space="preserve"> been spent on it, but there was no appearance or explanation </w:t>
      </w:r>
      <w:r w:rsidR="007B1462">
        <w:rPr>
          <w:rFonts w:ascii="Book Antiqua" w:hAnsi="Book Antiqua" w:cs="Arial"/>
        </w:rPr>
        <w:t>f</w:t>
      </w:r>
      <w:r>
        <w:rPr>
          <w:rFonts w:ascii="Book Antiqua" w:hAnsi="Book Antiqua" w:cs="Arial"/>
        </w:rPr>
        <w:t>o</w:t>
      </w:r>
      <w:r w:rsidR="007B1462">
        <w:rPr>
          <w:rFonts w:ascii="Book Antiqua" w:hAnsi="Book Antiqua" w:cs="Arial"/>
        </w:rPr>
        <w:t xml:space="preserve">r </w:t>
      </w:r>
      <w:r w:rsidR="003E4F4D">
        <w:rPr>
          <w:rFonts w:ascii="Book Antiqua" w:hAnsi="Book Antiqua" w:cs="Arial"/>
        </w:rPr>
        <w:t>absence</w:t>
      </w:r>
      <w:r>
        <w:rPr>
          <w:rFonts w:ascii="Book Antiqua" w:hAnsi="Book Antiqua" w:cs="Arial"/>
        </w:rPr>
        <w:t xml:space="preserve"> by the time it was convenient to deal with this case at about 1.25 p.m. and the papers show that notice of hearing was sent to the appellant and his solicitors by first class post at their respective addresses on 30 April 2010.  I am therefore </w:t>
      </w:r>
      <w:r w:rsidR="003E4F4D">
        <w:rPr>
          <w:rFonts w:ascii="Book Antiqua" w:hAnsi="Book Antiqua" w:cs="Arial"/>
        </w:rPr>
        <w:t>satisfied</w:t>
      </w:r>
      <w:r>
        <w:rPr>
          <w:rFonts w:ascii="Book Antiqua" w:hAnsi="Book Antiqua" w:cs="Arial"/>
        </w:rPr>
        <w:t xml:space="preserve"> there was good service in accordance with the Rules</w:t>
      </w:r>
      <w:r w:rsidR="007B1462">
        <w:rPr>
          <w:rFonts w:ascii="Book Antiqua" w:hAnsi="Book Antiqua" w:cs="Arial"/>
        </w:rPr>
        <w:t xml:space="preserve"> and, the being </w:t>
      </w:r>
      <w:r>
        <w:rPr>
          <w:rFonts w:ascii="Book Antiqua" w:hAnsi="Book Antiqua" w:cs="Arial"/>
        </w:rPr>
        <w:t>no explanation f</w:t>
      </w:r>
      <w:r w:rsidR="007B1462">
        <w:rPr>
          <w:rFonts w:ascii="Book Antiqua" w:hAnsi="Book Antiqua" w:cs="Arial"/>
        </w:rPr>
        <w:t>or</w:t>
      </w:r>
      <w:r>
        <w:rPr>
          <w:rFonts w:ascii="Book Antiqua" w:hAnsi="Book Antiqua" w:cs="Arial"/>
        </w:rPr>
        <w:t xml:space="preserve"> absence and it was just to continue.</w:t>
      </w:r>
    </w:p>
    <w:p w:rsidR="007B1462" w:rsidRDefault="003959A7" w:rsidP="007B1462">
      <w:pPr>
        <w:numPr>
          <w:ilvl w:val="0"/>
          <w:numId w:val="2"/>
        </w:numPr>
        <w:tabs>
          <w:tab w:val="left" w:pos="0"/>
        </w:tabs>
        <w:spacing w:before="120"/>
        <w:ind w:hanging="429"/>
        <w:jc w:val="both"/>
        <w:rPr>
          <w:rFonts w:ascii="Book Antiqua" w:hAnsi="Book Antiqua" w:cs="Arial"/>
        </w:rPr>
      </w:pPr>
      <w:r w:rsidRPr="007B1462">
        <w:rPr>
          <w:rFonts w:ascii="Book Antiqua" w:hAnsi="Book Antiqua" w:cs="Arial"/>
        </w:rPr>
        <w:t>I hope I am not over-</w:t>
      </w:r>
      <w:r w:rsidR="001D7F9C" w:rsidRPr="007B1462">
        <w:rPr>
          <w:rFonts w:ascii="Book Antiqua" w:hAnsi="Book Antiqua" w:cs="Arial"/>
        </w:rPr>
        <w:t>summarising</w:t>
      </w:r>
      <w:r w:rsidRPr="007B1462">
        <w:rPr>
          <w:rFonts w:ascii="Book Antiqua" w:hAnsi="Book Antiqua" w:cs="Arial"/>
        </w:rPr>
        <w:t xml:space="preserve"> the grounds but it seems to me the real point taken here is that it is said </w:t>
      </w:r>
      <w:r w:rsidR="007B1462">
        <w:rPr>
          <w:rFonts w:ascii="Book Antiqua" w:hAnsi="Book Antiqua" w:cs="Arial"/>
        </w:rPr>
        <w:t xml:space="preserve">that </w:t>
      </w:r>
      <w:r w:rsidRPr="007B1462">
        <w:rPr>
          <w:rFonts w:ascii="Book Antiqua" w:hAnsi="Book Antiqua" w:cs="Arial"/>
        </w:rPr>
        <w:t xml:space="preserve">the First-tier Tribunal Judge did not give proper regard to the expert </w:t>
      </w:r>
      <w:r w:rsidRPr="007B1462">
        <w:rPr>
          <w:rFonts w:ascii="Book Antiqua" w:hAnsi="Book Antiqua" w:cs="Arial"/>
        </w:rPr>
        <w:lastRenderedPageBreak/>
        <w:t>evidence</w:t>
      </w:r>
      <w:r w:rsidR="007B1462">
        <w:rPr>
          <w:rFonts w:ascii="Book Antiqua" w:hAnsi="Book Antiqua" w:cs="Arial"/>
        </w:rPr>
        <w:t xml:space="preserve"> that </w:t>
      </w:r>
      <w:r w:rsidRPr="007B1462">
        <w:rPr>
          <w:rFonts w:ascii="Book Antiqua" w:hAnsi="Book Antiqua" w:cs="Arial"/>
        </w:rPr>
        <w:t>the documents tending to show that the claimant was in trouble for avoiding the draft in the Ukraine were reliable documents.</w:t>
      </w:r>
    </w:p>
    <w:p w:rsidR="007B1462" w:rsidRDefault="00E56377" w:rsidP="007B1462">
      <w:pPr>
        <w:numPr>
          <w:ilvl w:val="0"/>
          <w:numId w:val="2"/>
        </w:numPr>
        <w:tabs>
          <w:tab w:val="left" w:pos="0"/>
        </w:tabs>
        <w:spacing w:before="120"/>
        <w:ind w:hanging="429"/>
        <w:jc w:val="both"/>
        <w:rPr>
          <w:rFonts w:ascii="Book Antiqua" w:hAnsi="Book Antiqua" w:cs="Arial"/>
        </w:rPr>
      </w:pPr>
      <w:r w:rsidRPr="007B1462">
        <w:rPr>
          <w:rFonts w:ascii="Book Antiqua" w:hAnsi="Book Antiqua" w:cs="Arial"/>
        </w:rPr>
        <w:t xml:space="preserve">I </w:t>
      </w:r>
      <w:r w:rsidR="001D7F9C" w:rsidRPr="007B1462">
        <w:rPr>
          <w:rFonts w:ascii="Book Antiqua" w:hAnsi="Book Antiqua" w:cs="Arial"/>
        </w:rPr>
        <w:t>think</w:t>
      </w:r>
      <w:r w:rsidRPr="007B1462">
        <w:rPr>
          <w:rFonts w:ascii="Book Antiqua" w:hAnsi="Book Antiqua" w:cs="Arial"/>
        </w:rPr>
        <w:t xml:space="preserve"> I can put the position simply in these terms</w:t>
      </w:r>
      <w:r w:rsidR="007B1462">
        <w:rPr>
          <w:rFonts w:ascii="Book Antiqua" w:hAnsi="Book Antiqua" w:cs="Arial"/>
        </w:rPr>
        <w:t>. T</w:t>
      </w:r>
      <w:r w:rsidRPr="007B1462">
        <w:rPr>
          <w:rFonts w:ascii="Book Antiqua" w:hAnsi="Book Antiqua" w:cs="Arial"/>
        </w:rPr>
        <w:t>here is clear evidence that prison conditions in the Ukraine are extremely grave and a person facing a custodial sentence in the Ukraine is likely to be facing conditions contrary to the requirements of Article 3 in the European Convention o</w:t>
      </w:r>
      <w:r w:rsidR="001539FF" w:rsidRPr="007B1462">
        <w:rPr>
          <w:rFonts w:ascii="Book Antiqua" w:hAnsi="Book Antiqua" w:cs="Arial"/>
        </w:rPr>
        <w:t>n</w:t>
      </w:r>
      <w:r w:rsidRPr="007B1462">
        <w:rPr>
          <w:rFonts w:ascii="Book Antiqua" w:hAnsi="Book Antiqua" w:cs="Arial"/>
        </w:rPr>
        <w:t xml:space="preserve"> Human Rights.  In short, if </w:t>
      </w:r>
      <w:r w:rsidR="007B1462">
        <w:rPr>
          <w:rFonts w:ascii="Book Antiqua" w:hAnsi="Book Antiqua" w:cs="Arial"/>
        </w:rPr>
        <w:t>t</w:t>
      </w:r>
      <w:r w:rsidRPr="007B1462">
        <w:rPr>
          <w:rFonts w:ascii="Book Antiqua" w:hAnsi="Book Antiqua" w:cs="Arial"/>
        </w:rPr>
        <w:t>he</w:t>
      </w:r>
      <w:r w:rsidR="007B1462">
        <w:rPr>
          <w:rFonts w:ascii="Book Antiqua" w:hAnsi="Book Antiqua" w:cs="Arial"/>
        </w:rPr>
        <w:t xml:space="preserve">re </w:t>
      </w:r>
      <w:r w:rsidRPr="007B1462">
        <w:rPr>
          <w:rFonts w:ascii="Book Antiqua" w:hAnsi="Book Antiqua" w:cs="Arial"/>
        </w:rPr>
        <w:t xml:space="preserve">is </w:t>
      </w:r>
      <w:r w:rsidR="007B1462">
        <w:rPr>
          <w:rFonts w:ascii="Book Antiqua" w:hAnsi="Book Antiqua" w:cs="Arial"/>
        </w:rPr>
        <w:t xml:space="preserve">a real risk of the appellant </w:t>
      </w:r>
      <w:r w:rsidRPr="007B1462">
        <w:rPr>
          <w:rFonts w:ascii="Book Antiqua" w:hAnsi="Book Antiqua" w:cs="Arial"/>
        </w:rPr>
        <w:t xml:space="preserve">going to </w:t>
      </w:r>
      <w:r w:rsidR="001539FF" w:rsidRPr="007B1462">
        <w:rPr>
          <w:rFonts w:ascii="Book Antiqua" w:hAnsi="Book Antiqua" w:cs="Arial"/>
        </w:rPr>
        <w:t xml:space="preserve">go to </w:t>
      </w:r>
      <w:r w:rsidRPr="007B1462">
        <w:rPr>
          <w:rFonts w:ascii="Book Antiqua" w:hAnsi="Book Antiqua" w:cs="Arial"/>
        </w:rPr>
        <w:t>prison</w:t>
      </w:r>
      <w:r w:rsidR="007B1462">
        <w:rPr>
          <w:rFonts w:ascii="Book Antiqua" w:hAnsi="Book Antiqua" w:cs="Arial"/>
        </w:rPr>
        <w:t xml:space="preserve"> in the event of return then</w:t>
      </w:r>
      <w:r w:rsidRPr="007B1462">
        <w:rPr>
          <w:rFonts w:ascii="Book Antiqua" w:hAnsi="Book Antiqua" w:cs="Arial"/>
        </w:rPr>
        <w:t xml:space="preserve"> his appeal ought to have been allowed.</w:t>
      </w:r>
    </w:p>
    <w:p w:rsidR="00A33C00" w:rsidRDefault="00E56377" w:rsidP="007B1462">
      <w:pPr>
        <w:numPr>
          <w:ilvl w:val="0"/>
          <w:numId w:val="2"/>
        </w:numPr>
        <w:tabs>
          <w:tab w:val="left" w:pos="0"/>
        </w:tabs>
        <w:spacing w:before="120"/>
        <w:ind w:hanging="429"/>
        <w:jc w:val="both"/>
        <w:rPr>
          <w:rFonts w:ascii="Book Antiqua" w:hAnsi="Book Antiqua" w:cs="Arial"/>
        </w:rPr>
      </w:pPr>
      <w:r w:rsidRPr="007B1462">
        <w:rPr>
          <w:rFonts w:ascii="Book Antiqua" w:hAnsi="Book Antiqua" w:cs="Arial"/>
        </w:rPr>
        <w:t xml:space="preserve">The First-tier Tribunal Judge was </w:t>
      </w:r>
      <w:r w:rsidR="001D7F9C" w:rsidRPr="007B1462">
        <w:rPr>
          <w:rFonts w:ascii="Book Antiqua" w:hAnsi="Book Antiqua" w:cs="Arial"/>
        </w:rPr>
        <w:t>clearly</w:t>
      </w:r>
      <w:r w:rsidRPr="007B1462">
        <w:rPr>
          <w:rFonts w:ascii="Book Antiqua" w:hAnsi="Book Antiqua" w:cs="Arial"/>
        </w:rPr>
        <w:t xml:space="preserve"> aware of this.  The documents tended to show that </w:t>
      </w:r>
      <w:r w:rsidR="007B1462">
        <w:rPr>
          <w:rFonts w:ascii="Book Antiqua" w:hAnsi="Book Antiqua" w:cs="Arial"/>
        </w:rPr>
        <w:t>t</w:t>
      </w:r>
      <w:r w:rsidRPr="007B1462">
        <w:rPr>
          <w:rFonts w:ascii="Book Antiqua" w:hAnsi="Book Antiqua" w:cs="Arial"/>
        </w:rPr>
        <w:t xml:space="preserve">he </w:t>
      </w:r>
      <w:r w:rsidR="007B1462">
        <w:rPr>
          <w:rFonts w:ascii="Book Antiqua" w:hAnsi="Book Antiqua" w:cs="Arial"/>
        </w:rPr>
        <w:t xml:space="preserve">appellant </w:t>
      </w:r>
      <w:r w:rsidRPr="007B1462">
        <w:rPr>
          <w:rFonts w:ascii="Book Antiqua" w:hAnsi="Book Antiqua" w:cs="Arial"/>
        </w:rPr>
        <w:t xml:space="preserve">is a person who had been convicted and did risk </w:t>
      </w:r>
      <w:r w:rsidR="001D7F9C" w:rsidRPr="007B1462">
        <w:rPr>
          <w:rFonts w:ascii="Book Antiqua" w:hAnsi="Book Antiqua" w:cs="Arial"/>
        </w:rPr>
        <w:t>going</w:t>
      </w:r>
      <w:r w:rsidRPr="007B1462">
        <w:rPr>
          <w:rFonts w:ascii="Book Antiqua" w:hAnsi="Book Antiqua" w:cs="Arial"/>
        </w:rPr>
        <w:t xml:space="preserve"> to prison.  This was explained carefully in an apparently </w:t>
      </w:r>
      <w:r w:rsidR="00293A97" w:rsidRPr="007B1462">
        <w:rPr>
          <w:rFonts w:ascii="Book Antiqua" w:hAnsi="Book Antiqua" w:cs="Arial"/>
        </w:rPr>
        <w:t xml:space="preserve">sensible </w:t>
      </w:r>
      <w:r w:rsidR="00A33C00">
        <w:rPr>
          <w:rFonts w:ascii="Book Antiqua" w:hAnsi="Book Antiqua" w:cs="Arial"/>
        </w:rPr>
        <w:t xml:space="preserve">and </w:t>
      </w:r>
      <w:r w:rsidRPr="007B1462">
        <w:rPr>
          <w:rFonts w:ascii="Book Antiqua" w:hAnsi="Book Antiqua" w:cs="Arial"/>
        </w:rPr>
        <w:t xml:space="preserve">serious expert report by an expert </w:t>
      </w:r>
      <w:r w:rsidR="00293A97" w:rsidRPr="007B1462">
        <w:rPr>
          <w:rFonts w:ascii="Book Antiqua" w:hAnsi="Book Antiqua" w:cs="Arial"/>
        </w:rPr>
        <w:t xml:space="preserve">who had examined the necessary documents, compared them with originals and regarded them as genuine.  However, they are not </w:t>
      </w:r>
      <w:r w:rsidR="001D7F9C" w:rsidRPr="007B1462">
        <w:rPr>
          <w:rFonts w:ascii="Book Antiqua" w:hAnsi="Book Antiqua" w:cs="Arial"/>
        </w:rPr>
        <w:t>particularly</w:t>
      </w:r>
      <w:r w:rsidR="00293A97" w:rsidRPr="007B1462">
        <w:rPr>
          <w:rFonts w:ascii="Book Antiqua" w:hAnsi="Book Antiqua" w:cs="Arial"/>
        </w:rPr>
        <w:t xml:space="preserve"> sophisticated documents and not the kind of documents that would require, for example, highly specialised stationery of the kind we might see on a United Kingdom driving licence</w:t>
      </w:r>
      <w:r w:rsidR="00A33C00">
        <w:rPr>
          <w:rFonts w:ascii="Book Antiqua" w:hAnsi="Book Antiqua" w:cs="Arial"/>
        </w:rPr>
        <w:t xml:space="preserve">. The </w:t>
      </w:r>
      <w:r w:rsidR="00293A97" w:rsidRPr="007B1462">
        <w:rPr>
          <w:rFonts w:ascii="Book Antiqua" w:hAnsi="Book Antiqua" w:cs="Arial"/>
        </w:rPr>
        <w:t xml:space="preserve">judge recognised the expertise </w:t>
      </w:r>
      <w:r w:rsidR="00A33C00">
        <w:rPr>
          <w:rFonts w:ascii="Book Antiqua" w:hAnsi="Book Antiqua" w:cs="Arial"/>
        </w:rPr>
        <w:t xml:space="preserve">of the witness </w:t>
      </w:r>
      <w:r w:rsidR="00293A97" w:rsidRPr="007B1462">
        <w:rPr>
          <w:rFonts w:ascii="Book Antiqua" w:hAnsi="Book Antiqua" w:cs="Arial"/>
        </w:rPr>
        <w:t>but did not find the</w:t>
      </w:r>
      <w:r w:rsidR="00A33C00">
        <w:rPr>
          <w:rFonts w:ascii="Book Antiqua" w:hAnsi="Book Antiqua" w:cs="Arial"/>
        </w:rPr>
        <w:t xml:space="preserve"> opinion </w:t>
      </w:r>
      <w:r w:rsidR="00293A97" w:rsidRPr="007B1462">
        <w:rPr>
          <w:rFonts w:ascii="Book Antiqua" w:hAnsi="Book Antiqua" w:cs="Arial"/>
        </w:rPr>
        <w:t>persuasive.</w:t>
      </w:r>
    </w:p>
    <w:p w:rsidR="00A33C00" w:rsidRDefault="00293A97" w:rsidP="00A33C00">
      <w:pPr>
        <w:numPr>
          <w:ilvl w:val="0"/>
          <w:numId w:val="2"/>
        </w:numPr>
        <w:tabs>
          <w:tab w:val="left" w:pos="0"/>
        </w:tabs>
        <w:spacing w:before="120"/>
        <w:ind w:hanging="429"/>
        <w:jc w:val="both"/>
        <w:rPr>
          <w:rFonts w:ascii="Book Antiqua" w:hAnsi="Book Antiqua" w:cs="Arial"/>
        </w:rPr>
      </w:pPr>
      <w:r w:rsidRPr="007B1462">
        <w:rPr>
          <w:rFonts w:ascii="Book Antiqua" w:hAnsi="Book Antiqua" w:cs="Arial"/>
        </w:rPr>
        <w:t>I find paragraph 40 of the judge’s decision particularly apt.  The judge has looked at the count</w:t>
      </w:r>
      <w:r w:rsidR="001539FF" w:rsidRPr="007B1462">
        <w:rPr>
          <w:rFonts w:ascii="Book Antiqua" w:hAnsi="Book Antiqua" w:cs="Arial"/>
        </w:rPr>
        <w:t>r</w:t>
      </w:r>
      <w:r w:rsidRPr="007B1462">
        <w:rPr>
          <w:rFonts w:ascii="Book Antiqua" w:hAnsi="Book Antiqua" w:cs="Arial"/>
        </w:rPr>
        <w:t xml:space="preserve">y guidance </w:t>
      </w:r>
      <w:r w:rsidR="00A33C00">
        <w:rPr>
          <w:rFonts w:ascii="Book Antiqua" w:hAnsi="Book Antiqua" w:cs="Arial"/>
        </w:rPr>
        <w:t xml:space="preserve">given in </w:t>
      </w:r>
      <w:r w:rsidR="00A33C00" w:rsidRPr="00A33C00">
        <w:rPr>
          <w:rFonts w:ascii="Book Antiqua" w:hAnsi="Book Antiqua" w:cs="Arial"/>
          <w:u w:val="single"/>
        </w:rPr>
        <w:t>VB and another (draft evaders and prison conditions) Ukraine v SSHD</w:t>
      </w:r>
      <w:r w:rsidR="00A33C00">
        <w:rPr>
          <w:rFonts w:ascii="Book Antiqua" w:hAnsi="Book Antiqua" w:cs="Arial"/>
        </w:rPr>
        <w:t xml:space="preserve"> [2017] UKUT 79. He then </w:t>
      </w:r>
      <w:r w:rsidRPr="007B1462">
        <w:rPr>
          <w:rFonts w:ascii="Book Antiqua" w:hAnsi="Book Antiqua" w:cs="Arial"/>
        </w:rPr>
        <w:t>recognise</w:t>
      </w:r>
      <w:r w:rsidR="00A33C00">
        <w:rPr>
          <w:rFonts w:ascii="Book Antiqua" w:hAnsi="Book Antiqua" w:cs="Arial"/>
        </w:rPr>
        <w:t>d</w:t>
      </w:r>
      <w:r w:rsidRPr="007B1462">
        <w:rPr>
          <w:rFonts w:ascii="Book Antiqua" w:hAnsi="Book Antiqua" w:cs="Arial"/>
        </w:rPr>
        <w:t xml:space="preserve"> that the view of the Tribunal</w:t>
      </w:r>
      <w:r w:rsidR="00A33C00">
        <w:rPr>
          <w:rFonts w:ascii="Book Antiqua" w:hAnsi="Book Antiqua" w:cs="Arial"/>
        </w:rPr>
        <w:t>,</w:t>
      </w:r>
      <w:r w:rsidRPr="007B1462">
        <w:rPr>
          <w:rFonts w:ascii="Book Antiqua" w:hAnsi="Book Antiqua" w:cs="Arial"/>
        </w:rPr>
        <w:t xml:space="preserve"> after looking at the matter </w:t>
      </w:r>
      <w:r w:rsidR="00A33C00">
        <w:rPr>
          <w:rFonts w:ascii="Book Antiqua" w:hAnsi="Book Antiqua" w:cs="Arial"/>
        </w:rPr>
        <w:t>w</w:t>
      </w:r>
      <w:r w:rsidRPr="007B1462">
        <w:rPr>
          <w:rFonts w:ascii="Book Antiqua" w:hAnsi="Book Antiqua" w:cs="Arial"/>
        </w:rPr>
        <w:t>i</w:t>
      </w:r>
      <w:r w:rsidR="00A33C00">
        <w:rPr>
          <w:rFonts w:ascii="Book Antiqua" w:hAnsi="Book Antiqua" w:cs="Arial"/>
        </w:rPr>
        <w:t xml:space="preserve">th </w:t>
      </w:r>
      <w:r w:rsidRPr="007B1462">
        <w:rPr>
          <w:rFonts w:ascii="Book Antiqua" w:hAnsi="Book Antiqua" w:cs="Arial"/>
        </w:rPr>
        <w:t xml:space="preserve">the </w:t>
      </w:r>
      <w:proofErr w:type="gramStart"/>
      <w:r w:rsidR="00A33C00">
        <w:rPr>
          <w:rFonts w:ascii="Book Antiqua" w:hAnsi="Book Antiqua" w:cs="Arial"/>
        </w:rPr>
        <w:t xml:space="preserve">particular </w:t>
      </w:r>
      <w:r w:rsidRPr="007B1462">
        <w:rPr>
          <w:rFonts w:ascii="Book Antiqua" w:hAnsi="Book Antiqua" w:cs="Arial"/>
        </w:rPr>
        <w:t>care</w:t>
      </w:r>
      <w:proofErr w:type="gramEnd"/>
      <w:r w:rsidRPr="007B1462">
        <w:rPr>
          <w:rFonts w:ascii="Book Antiqua" w:hAnsi="Book Antiqua" w:cs="Arial"/>
        </w:rPr>
        <w:t xml:space="preserve"> appropriate for a country guidance case</w:t>
      </w:r>
      <w:r w:rsidR="00A33C00">
        <w:rPr>
          <w:rFonts w:ascii="Book Antiqua" w:hAnsi="Book Antiqua" w:cs="Arial"/>
        </w:rPr>
        <w:t>,</w:t>
      </w:r>
      <w:r w:rsidRPr="007B1462">
        <w:rPr>
          <w:rFonts w:ascii="Book Antiqua" w:hAnsi="Book Antiqua" w:cs="Arial"/>
        </w:rPr>
        <w:t xml:space="preserve"> was that the </w:t>
      </w:r>
      <w:r w:rsidR="001D7F9C" w:rsidRPr="007B1462">
        <w:rPr>
          <w:rFonts w:ascii="Book Antiqua" w:hAnsi="Book Antiqua" w:cs="Arial"/>
        </w:rPr>
        <w:t>arrangements</w:t>
      </w:r>
      <w:r w:rsidRPr="007B1462">
        <w:rPr>
          <w:rFonts w:ascii="Book Antiqua" w:hAnsi="Book Antiqua" w:cs="Arial"/>
        </w:rPr>
        <w:t xml:space="preserve"> for the draft in Ukraine are disorganised</w:t>
      </w:r>
      <w:r w:rsidR="00A33C00">
        <w:rPr>
          <w:rFonts w:ascii="Book Antiqua" w:hAnsi="Book Antiqua" w:cs="Arial"/>
        </w:rPr>
        <w:t xml:space="preserve"> and even </w:t>
      </w:r>
      <w:r w:rsidR="001D7F9C" w:rsidRPr="007B1462">
        <w:rPr>
          <w:rFonts w:ascii="Book Antiqua" w:hAnsi="Book Antiqua" w:cs="Arial"/>
        </w:rPr>
        <w:t>chaotic</w:t>
      </w:r>
      <w:r w:rsidRPr="007B1462">
        <w:rPr>
          <w:rFonts w:ascii="Book Antiqua" w:hAnsi="Book Antiqua" w:cs="Arial"/>
        </w:rPr>
        <w:t xml:space="preserve">, that many </w:t>
      </w:r>
      <w:r w:rsidR="001D7F9C" w:rsidRPr="007B1462">
        <w:rPr>
          <w:rFonts w:ascii="Book Antiqua" w:hAnsi="Book Antiqua" w:cs="Arial"/>
        </w:rPr>
        <w:t>people</w:t>
      </w:r>
      <w:r w:rsidRPr="007B1462">
        <w:rPr>
          <w:rFonts w:ascii="Book Antiqua" w:hAnsi="Book Antiqua" w:cs="Arial"/>
        </w:rPr>
        <w:t xml:space="preserve"> ignore the draft with impunity, or those that are punished do not face particularly severe sanctions.  It would be unusual in the </w:t>
      </w:r>
      <w:r w:rsidR="001D7F9C" w:rsidRPr="007B1462">
        <w:rPr>
          <w:rFonts w:ascii="Book Antiqua" w:hAnsi="Book Antiqua" w:cs="Arial"/>
        </w:rPr>
        <w:t>extreme</w:t>
      </w:r>
      <w:r w:rsidRPr="007B1462">
        <w:rPr>
          <w:rFonts w:ascii="Book Antiqua" w:hAnsi="Book Antiqua" w:cs="Arial"/>
        </w:rPr>
        <w:t xml:space="preserve"> to be sent to prison for </w:t>
      </w:r>
      <w:r w:rsidR="001D7F9C" w:rsidRPr="007B1462">
        <w:rPr>
          <w:rFonts w:ascii="Book Antiqua" w:hAnsi="Book Antiqua" w:cs="Arial"/>
        </w:rPr>
        <w:t>avoiding</w:t>
      </w:r>
      <w:r w:rsidRPr="007B1462">
        <w:rPr>
          <w:rFonts w:ascii="Book Antiqua" w:hAnsi="Book Antiqua" w:cs="Arial"/>
        </w:rPr>
        <w:t xml:space="preserve"> the draft.</w:t>
      </w:r>
    </w:p>
    <w:p w:rsidR="00A33C00" w:rsidRDefault="00293A97" w:rsidP="00A33C00">
      <w:pPr>
        <w:numPr>
          <w:ilvl w:val="0"/>
          <w:numId w:val="2"/>
        </w:numPr>
        <w:tabs>
          <w:tab w:val="left" w:pos="0"/>
        </w:tabs>
        <w:spacing w:before="120"/>
        <w:ind w:hanging="429"/>
        <w:jc w:val="both"/>
        <w:rPr>
          <w:rFonts w:ascii="Book Antiqua" w:hAnsi="Book Antiqua" w:cs="Arial"/>
        </w:rPr>
      </w:pPr>
      <w:r w:rsidRPr="00A33C00">
        <w:rPr>
          <w:rFonts w:ascii="Book Antiqua" w:hAnsi="Book Antiqua" w:cs="Arial"/>
        </w:rPr>
        <w:t xml:space="preserve">In this </w:t>
      </w:r>
      <w:r w:rsidR="001D7F9C" w:rsidRPr="00A33C00">
        <w:rPr>
          <w:rFonts w:ascii="Book Antiqua" w:hAnsi="Book Antiqua" w:cs="Arial"/>
        </w:rPr>
        <w:t>case</w:t>
      </w:r>
      <w:r w:rsidRPr="00A33C00">
        <w:rPr>
          <w:rFonts w:ascii="Book Antiqua" w:hAnsi="Book Antiqua" w:cs="Arial"/>
        </w:rPr>
        <w:t xml:space="preserve"> the judge</w:t>
      </w:r>
      <w:r w:rsidR="00A33C00">
        <w:rPr>
          <w:rFonts w:ascii="Book Antiqua" w:hAnsi="Book Antiqua" w:cs="Arial"/>
        </w:rPr>
        <w:t xml:space="preserve">, </w:t>
      </w:r>
      <w:r w:rsidRPr="00A33C00">
        <w:rPr>
          <w:rFonts w:ascii="Book Antiqua" w:hAnsi="Book Antiqua" w:cs="Arial"/>
        </w:rPr>
        <w:t>having expressed his reasons for being unpersuaded by the documents</w:t>
      </w:r>
      <w:r w:rsidR="00A33C00">
        <w:rPr>
          <w:rFonts w:ascii="Book Antiqua" w:hAnsi="Book Antiqua" w:cs="Arial"/>
        </w:rPr>
        <w:t>, said</w:t>
      </w:r>
      <w:r w:rsidRPr="00A33C00">
        <w:rPr>
          <w:rFonts w:ascii="Book Antiqua" w:hAnsi="Book Antiqua" w:cs="Arial"/>
        </w:rPr>
        <w:t>:</w:t>
      </w:r>
    </w:p>
    <w:p w:rsidR="00A33C00" w:rsidRPr="00A33C00" w:rsidRDefault="00293A97" w:rsidP="00A33C00">
      <w:pPr>
        <w:tabs>
          <w:tab w:val="left" w:pos="0"/>
        </w:tabs>
        <w:ind w:left="284" w:right="284"/>
        <w:jc w:val="both"/>
        <w:rPr>
          <w:rFonts w:ascii="Book Antiqua" w:hAnsi="Book Antiqua" w:cs="Arial"/>
          <w:sz w:val="22"/>
          <w:szCs w:val="22"/>
        </w:rPr>
      </w:pPr>
      <w:r w:rsidRPr="00A33C00">
        <w:rPr>
          <w:rFonts w:ascii="Book Antiqua" w:hAnsi="Book Antiqua" w:cs="Arial"/>
          <w:sz w:val="22"/>
          <w:szCs w:val="22"/>
        </w:rPr>
        <w:t xml:space="preserve">“It follows that if the documents in this appeal are reliable ones, this Appellant is on the very cusp of a new wave of convictions and sentences, </w:t>
      </w:r>
      <w:r w:rsidR="00EF6B99" w:rsidRPr="00A33C00">
        <w:rPr>
          <w:rFonts w:ascii="Book Antiqua" w:hAnsi="Book Antiqua" w:cs="Arial"/>
          <w:sz w:val="22"/>
          <w:szCs w:val="22"/>
        </w:rPr>
        <w:t xml:space="preserve">unknown to </w:t>
      </w:r>
      <w:r w:rsidR="001D7F9C" w:rsidRPr="00A33C00">
        <w:rPr>
          <w:rFonts w:ascii="Book Antiqua" w:hAnsi="Book Antiqua" w:cs="Arial"/>
          <w:sz w:val="22"/>
          <w:szCs w:val="22"/>
        </w:rPr>
        <w:t>the</w:t>
      </w:r>
      <w:r w:rsidR="00EF6B99" w:rsidRPr="00A33C00">
        <w:rPr>
          <w:rFonts w:ascii="Book Antiqua" w:hAnsi="Book Antiqua" w:cs="Arial"/>
          <w:sz w:val="22"/>
          <w:szCs w:val="22"/>
        </w:rPr>
        <w:t xml:space="preserve"> country experts at the end of 2016, when the hearings in </w:t>
      </w:r>
      <w:r w:rsidR="00EF6B99" w:rsidRPr="00A33C00">
        <w:rPr>
          <w:rFonts w:ascii="Book Antiqua" w:hAnsi="Book Antiqua" w:cs="Arial"/>
          <w:b/>
          <w:sz w:val="22"/>
          <w:szCs w:val="22"/>
        </w:rPr>
        <w:t>VB</w:t>
      </w:r>
      <w:r w:rsidR="00EF6B99" w:rsidRPr="00A33C00">
        <w:rPr>
          <w:rFonts w:ascii="Book Antiqua" w:hAnsi="Book Antiqua" w:cs="Arial"/>
          <w:sz w:val="22"/>
          <w:szCs w:val="22"/>
        </w:rPr>
        <w:t xml:space="preserve"> took place.  However, the purported Court judgment from the Buchach District Court is dated 25 November 2014.  All the call up papers were dated in 2014, so the alleged court process occurred with remarkable speed, </w:t>
      </w:r>
      <w:r w:rsidR="001D7F9C" w:rsidRPr="00A33C00">
        <w:rPr>
          <w:rFonts w:ascii="Book Antiqua" w:hAnsi="Book Antiqua" w:cs="Arial"/>
          <w:sz w:val="22"/>
          <w:szCs w:val="22"/>
        </w:rPr>
        <w:t>particularly</w:t>
      </w:r>
      <w:r w:rsidR="00EF6B99" w:rsidRPr="00A33C00">
        <w:rPr>
          <w:rFonts w:ascii="Book Antiqua" w:hAnsi="Book Antiqua" w:cs="Arial"/>
          <w:sz w:val="22"/>
          <w:szCs w:val="22"/>
        </w:rPr>
        <w:t xml:space="preserve"> when considering the material contents of </w:t>
      </w:r>
      <w:r w:rsidR="00EF6B99" w:rsidRPr="00A33C00">
        <w:rPr>
          <w:rFonts w:ascii="Book Antiqua" w:hAnsi="Book Antiqua" w:cs="Arial"/>
          <w:b/>
          <w:sz w:val="22"/>
          <w:szCs w:val="22"/>
        </w:rPr>
        <w:t>VB</w:t>
      </w:r>
      <w:r w:rsidR="00EF6B99" w:rsidRPr="00A33C00">
        <w:rPr>
          <w:rFonts w:ascii="Book Antiqua" w:hAnsi="Book Antiqua" w:cs="Arial"/>
          <w:sz w:val="22"/>
          <w:szCs w:val="22"/>
        </w:rPr>
        <w:t>.”</w:t>
      </w:r>
    </w:p>
    <w:p w:rsidR="00A33C00" w:rsidRDefault="00EF6B99" w:rsidP="00A33C00">
      <w:pPr>
        <w:numPr>
          <w:ilvl w:val="0"/>
          <w:numId w:val="2"/>
        </w:numPr>
        <w:tabs>
          <w:tab w:val="left" w:pos="0"/>
        </w:tabs>
        <w:spacing w:before="120"/>
        <w:ind w:hanging="429"/>
        <w:jc w:val="both"/>
        <w:rPr>
          <w:rFonts w:ascii="Book Antiqua" w:hAnsi="Book Antiqua" w:cs="Arial"/>
        </w:rPr>
      </w:pPr>
      <w:r w:rsidRPr="00A33C00">
        <w:rPr>
          <w:rFonts w:ascii="Book Antiqua" w:hAnsi="Book Antiqua" w:cs="Arial"/>
        </w:rPr>
        <w:t xml:space="preserve">In my judgment the judge has recognised that </w:t>
      </w:r>
      <w:r w:rsidR="00A33C00">
        <w:rPr>
          <w:rFonts w:ascii="Book Antiqua" w:hAnsi="Book Antiqua" w:cs="Arial"/>
        </w:rPr>
        <w:t xml:space="preserve">the </w:t>
      </w:r>
      <w:r w:rsidRPr="00A33C00">
        <w:rPr>
          <w:rFonts w:ascii="Book Antiqua" w:hAnsi="Book Antiqua" w:cs="Arial"/>
        </w:rPr>
        <w:t>evidence shows the documents are reliable</w:t>
      </w:r>
      <w:r w:rsidR="00A33C00">
        <w:rPr>
          <w:rFonts w:ascii="Book Antiqua" w:hAnsi="Book Antiqua" w:cs="Arial"/>
        </w:rPr>
        <w:t xml:space="preserve"> in that </w:t>
      </w:r>
      <w:r w:rsidRPr="00A33C00">
        <w:rPr>
          <w:rFonts w:ascii="Book Antiqua" w:hAnsi="Book Antiqua" w:cs="Arial"/>
        </w:rPr>
        <w:t>they are in the correct form</w:t>
      </w:r>
      <w:r w:rsidR="00A33C00">
        <w:rPr>
          <w:rFonts w:ascii="Book Antiqua" w:hAnsi="Book Antiqua" w:cs="Arial"/>
        </w:rPr>
        <w:t xml:space="preserve"> and </w:t>
      </w:r>
      <w:r w:rsidRPr="00A33C00">
        <w:rPr>
          <w:rFonts w:ascii="Book Antiqua" w:hAnsi="Book Antiqua" w:cs="Arial"/>
        </w:rPr>
        <w:t>show the things that they ought to show, but they would be reliable only if the process of bringing somebody who avoid</w:t>
      </w:r>
      <w:r w:rsidR="007817E4" w:rsidRPr="00A33C00">
        <w:rPr>
          <w:rFonts w:ascii="Book Antiqua" w:hAnsi="Book Antiqua" w:cs="Arial"/>
        </w:rPr>
        <w:t>s</w:t>
      </w:r>
      <w:r w:rsidRPr="00A33C00">
        <w:rPr>
          <w:rFonts w:ascii="Book Antiqua" w:hAnsi="Book Antiqua" w:cs="Arial"/>
        </w:rPr>
        <w:t xml:space="preserve"> the draft to the point of conviction had proceeded at a rate quite out of the experience of the Tribunal and quite out of keeping with what happens in the </w:t>
      </w:r>
      <w:r w:rsidR="001D7F9C" w:rsidRPr="00A33C00">
        <w:rPr>
          <w:rFonts w:ascii="Book Antiqua" w:hAnsi="Book Antiqua" w:cs="Arial"/>
        </w:rPr>
        <w:t>Ukraine</w:t>
      </w:r>
      <w:r w:rsidRPr="00A33C00">
        <w:rPr>
          <w:rFonts w:ascii="Book Antiqua" w:hAnsi="Book Antiqua" w:cs="Arial"/>
        </w:rPr>
        <w:t>.</w:t>
      </w:r>
    </w:p>
    <w:p w:rsidR="00A33C00" w:rsidRDefault="00EF6B99" w:rsidP="007B1462">
      <w:pPr>
        <w:numPr>
          <w:ilvl w:val="0"/>
          <w:numId w:val="2"/>
        </w:numPr>
        <w:tabs>
          <w:tab w:val="left" w:pos="0"/>
        </w:tabs>
        <w:spacing w:before="120"/>
        <w:ind w:hanging="429"/>
        <w:jc w:val="both"/>
        <w:rPr>
          <w:rFonts w:ascii="Book Antiqua" w:hAnsi="Book Antiqua" w:cs="Arial"/>
        </w:rPr>
      </w:pPr>
      <w:r w:rsidRPr="00A33C00">
        <w:rPr>
          <w:rFonts w:ascii="Book Antiqua" w:hAnsi="Book Antiqua" w:cs="Arial"/>
        </w:rPr>
        <w:t xml:space="preserve">The judge was not persuaded by the documents and if the documents are not reliable the case </w:t>
      </w:r>
      <w:r w:rsidR="001D7F9C" w:rsidRPr="00A33C00">
        <w:rPr>
          <w:rFonts w:ascii="Book Antiqua" w:hAnsi="Book Antiqua" w:cs="Arial"/>
        </w:rPr>
        <w:t>falls away.</w:t>
      </w:r>
    </w:p>
    <w:p w:rsidR="00293A97" w:rsidRDefault="001D7F9C" w:rsidP="007B1462">
      <w:pPr>
        <w:numPr>
          <w:ilvl w:val="0"/>
          <w:numId w:val="2"/>
        </w:numPr>
        <w:tabs>
          <w:tab w:val="left" w:pos="0"/>
        </w:tabs>
        <w:spacing w:before="120"/>
        <w:ind w:hanging="429"/>
        <w:jc w:val="both"/>
        <w:rPr>
          <w:rFonts w:ascii="Book Antiqua" w:hAnsi="Book Antiqua" w:cs="Arial"/>
        </w:rPr>
      </w:pPr>
      <w:r w:rsidRPr="00A33C00">
        <w:rPr>
          <w:rFonts w:ascii="Book Antiqua" w:hAnsi="Book Antiqua" w:cs="Arial"/>
        </w:rPr>
        <w:t>I am wholly unpersuaded that the First-tier Tribunal Judge did anything other than look carefully</w:t>
      </w:r>
      <w:r w:rsidR="00A33C00">
        <w:rPr>
          <w:rFonts w:ascii="Book Antiqua" w:hAnsi="Book Antiqua" w:cs="Arial"/>
        </w:rPr>
        <w:t xml:space="preserve">, </w:t>
      </w:r>
      <w:r w:rsidRPr="00A33C00">
        <w:rPr>
          <w:rFonts w:ascii="Book Antiqua" w:hAnsi="Book Antiqua" w:cs="Arial"/>
        </w:rPr>
        <w:t>conscientiously and lawfully at the documents in front of him and reached a rational decision open to him on the evidence and I dismiss the appeal against this decision.</w:t>
      </w:r>
    </w:p>
    <w:p w:rsidR="00940D10" w:rsidRDefault="00940D10" w:rsidP="00A33C00">
      <w:pPr>
        <w:tabs>
          <w:tab w:val="left" w:pos="0"/>
        </w:tabs>
        <w:spacing w:before="120"/>
        <w:ind w:left="3"/>
        <w:jc w:val="both"/>
        <w:rPr>
          <w:rFonts w:ascii="Book Antiqua" w:hAnsi="Book Antiqua" w:cs="Arial"/>
          <w:b/>
          <w:u w:val="single"/>
        </w:rPr>
      </w:pPr>
    </w:p>
    <w:p w:rsidR="00940D10" w:rsidRDefault="00940D10" w:rsidP="00A33C00">
      <w:pPr>
        <w:tabs>
          <w:tab w:val="left" w:pos="0"/>
        </w:tabs>
        <w:spacing w:before="120"/>
        <w:ind w:left="3"/>
        <w:jc w:val="both"/>
        <w:rPr>
          <w:rFonts w:ascii="Book Antiqua" w:hAnsi="Book Antiqua" w:cs="Arial"/>
          <w:b/>
          <w:u w:val="single"/>
        </w:rPr>
      </w:pPr>
    </w:p>
    <w:p w:rsidR="00940D10" w:rsidRDefault="00940D10" w:rsidP="00A33C00">
      <w:pPr>
        <w:tabs>
          <w:tab w:val="left" w:pos="0"/>
        </w:tabs>
        <w:spacing w:before="120"/>
        <w:ind w:left="3"/>
        <w:jc w:val="both"/>
        <w:rPr>
          <w:rFonts w:ascii="Book Antiqua" w:hAnsi="Book Antiqua" w:cs="Arial"/>
          <w:b/>
          <w:u w:val="single"/>
        </w:rPr>
      </w:pPr>
    </w:p>
    <w:p w:rsidR="00940D10" w:rsidRDefault="00940D10" w:rsidP="00A33C00">
      <w:pPr>
        <w:tabs>
          <w:tab w:val="left" w:pos="0"/>
        </w:tabs>
        <w:spacing w:before="120"/>
        <w:ind w:left="3"/>
        <w:jc w:val="both"/>
        <w:rPr>
          <w:rFonts w:ascii="Book Antiqua" w:hAnsi="Book Antiqua" w:cs="Arial"/>
          <w:b/>
          <w:u w:val="single"/>
        </w:rPr>
      </w:pPr>
    </w:p>
    <w:p w:rsidR="00940D10" w:rsidRDefault="00940D10" w:rsidP="00A33C00">
      <w:pPr>
        <w:tabs>
          <w:tab w:val="left" w:pos="0"/>
        </w:tabs>
        <w:spacing w:before="120"/>
        <w:ind w:left="3"/>
        <w:jc w:val="both"/>
        <w:rPr>
          <w:rFonts w:ascii="Book Antiqua" w:hAnsi="Book Antiqua" w:cs="Arial"/>
          <w:b/>
          <w:u w:val="single"/>
        </w:rPr>
      </w:pPr>
    </w:p>
    <w:p w:rsidR="00A33C00" w:rsidRDefault="00A33C00" w:rsidP="00A33C00">
      <w:pPr>
        <w:tabs>
          <w:tab w:val="left" w:pos="0"/>
        </w:tabs>
        <w:spacing w:before="120"/>
        <w:ind w:left="3"/>
        <w:jc w:val="both"/>
        <w:rPr>
          <w:rFonts w:ascii="Book Antiqua" w:hAnsi="Book Antiqua" w:cs="Arial"/>
          <w:b/>
          <w:u w:val="single"/>
        </w:rPr>
      </w:pPr>
      <w:bookmarkStart w:id="1" w:name="_GoBack"/>
      <w:bookmarkEnd w:id="1"/>
      <w:r w:rsidRPr="00A33C00">
        <w:rPr>
          <w:rFonts w:ascii="Book Antiqua" w:hAnsi="Book Antiqua" w:cs="Arial"/>
          <w:b/>
          <w:u w:val="single"/>
        </w:rPr>
        <w:t xml:space="preserve">Notice of Decision </w:t>
      </w:r>
    </w:p>
    <w:p w:rsidR="00940D10" w:rsidRPr="00A33C00" w:rsidRDefault="00940D10" w:rsidP="00A33C00">
      <w:pPr>
        <w:tabs>
          <w:tab w:val="left" w:pos="0"/>
        </w:tabs>
        <w:spacing w:before="120"/>
        <w:ind w:left="3"/>
        <w:jc w:val="both"/>
        <w:rPr>
          <w:rFonts w:ascii="Book Antiqua" w:hAnsi="Book Antiqua" w:cs="Arial"/>
        </w:rPr>
      </w:pPr>
    </w:p>
    <w:p w:rsidR="00A33C00" w:rsidRPr="00A33C00" w:rsidRDefault="00A33C00" w:rsidP="00A33C00">
      <w:pPr>
        <w:tabs>
          <w:tab w:val="left" w:pos="0"/>
        </w:tabs>
        <w:spacing w:before="120"/>
        <w:ind w:left="3"/>
        <w:jc w:val="both"/>
        <w:rPr>
          <w:rFonts w:ascii="Book Antiqua" w:hAnsi="Book Antiqua" w:cs="Arial"/>
        </w:rPr>
      </w:pPr>
      <w:r>
        <w:rPr>
          <w:rFonts w:ascii="Book Antiqua" w:hAnsi="Book Antiqua" w:cs="Arial"/>
        </w:rPr>
        <w:t>The appeal is dismissed.</w:t>
      </w:r>
    </w:p>
    <w:p w:rsidR="001D7F9C" w:rsidRDefault="00940D10" w:rsidP="007B1462">
      <w:pPr>
        <w:tabs>
          <w:tab w:val="left" w:pos="0"/>
        </w:tabs>
        <w:spacing w:before="120"/>
        <w:ind w:hanging="429"/>
        <w:jc w:val="both"/>
        <w:rPr>
          <w:rFonts w:ascii="Book Antiqua" w:hAnsi="Book Antiqua" w:cs="Arial"/>
        </w:rPr>
      </w:pPr>
      <w:r w:rsidRPr="009B3FEE">
        <w:rPr>
          <w:rFonts w:ascii="Century Schoolbook" w:hAnsi="Century Schoolbook" w:cs="Arial"/>
          <w:b/>
          <w:noProof/>
          <w:color w:val="000000"/>
        </w:rPr>
        <w:drawing>
          <wp:anchor distT="0" distB="0" distL="114300" distR="114300" simplePos="0" relativeHeight="251657728" behindDoc="1" locked="0" layoutInCell="1" allowOverlap="1">
            <wp:simplePos x="0" y="0"/>
            <wp:positionH relativeFrom="column">
              <wp:posOffset>2423795</wp:posOffset>
            </wp:positionH>
            <wp:positionV relativeFrom="paragraph">
              <wp:posOffset>95885</wp:posOffset>
            </wp:positionV>
            <wp:extent cx="2562225"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p>
    <w:p w:rsidR="009B3FEE" w:rsidRPr="004E25CA" w:rsidRDefault="009B3FEE" w:rsidP="00E71AEB">
      <w:pPr>
        <w:spacing w:before="120"/>
        <w:ind w:left="3"/>
        <w:jc w:val="both"/>
        <w:rPr>
          <w:rFonts w:ascii="Book Antiqua" w:hAnsi="Book Antiqua" w:cs="Arial"/>
        </w:rPr>
      </w:pPr>
    </w:p>
    <w:p w:rsidR="009B3FEE" w:rsidRPr="00132ACD" w:rsidRDefault="009B3FEE" w:rsidP="00E71AEB">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9B3FEE" w:rsidTr="00E71AEB">
        <w:tc>
          <w:tcPr>
            <w:tcW w:w="4927" w:type="dxa"/>
            <w:shd w:val="clear" w:color="auto" w:fill="auto"/>
          </w:tcPr>
          <w:p w:rsidR="009B3FEE" w:rsidRPr="00DB7BA6" w:rsidRDefault="009B3FEE" w:rsidP="00E71AEB">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9B3FEE" w:rsidRPr="00DB7BA6" w:rsidRDefault="009B3FEE" w:rsidP="00E71AEB">
            <w:pPr>
              <w:tabs>
                <w:tab w:val="left" w:pos="0"/>
              </w:tabs>
              <w:spacing w:before="120"/>
              <w:jc w:val="both"/>
              <w:rPr>
                <w:rFonts w:ascii="Book Antiqua" w:hAnsi="Book Antiqua" w:cs="Arial"/>
              </w:rPr>
            </w:pPr>
          </w:p>
        </w:tc>
      </w:tr>
      <w:tr w:rsidR="009B3FEE" w:rsidTr="00E71AEB">
        <w:tc>
          <w:tcPr>
            <w:tcW w:w="4927" w:type="dxa"/>
            <w:shd w:val="clear" w:color="auto" w:fill="auto"/>
          </w:tcPr>
          <w:p w:rsidR="009B3FEE" w:rsidRPr="00DB7BA6" w:rsidRDefault="009B3FEE" w:rsidP="00E71AEB">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9B3FEE" w:rsidRPr="00DB7BA6" w:rsidRDefault="009B3FEE" w:rsidP="00E71AEB">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25 April 2018</w:t>
            </w:r>
          </w:p>
        </w:tc>
      </w:tr>
    </w:tbl>
    <w:p w:rsidR="009B3FEE" w:rsidRDefault="009B3FEE" w:rsidP="00E71AEB">
      <w:pPr>
        <w:tabs>
          <w:tab w:val="left" w:pos="0"/>
        </w:tabs>
        <w:spacing w:before="120"/>
        <w:ind w:hanging="567"/>
        <w:jc w:val="both"/>
        <w:rPr>
          <w:rFonts w:ascii="Book Antiqua" w:hAnsi="Book Antiqua" w:cs="Arial"/>
        </w:rPr>
      </w:pPr>
    </w:p>
    <w:p w:rsidR="00A33C00" w:rsidRDefault="00A33C00" w:rsidP="007B1462">
      <w:pPr>
        <w:tabs>
          <w:tab w:val="left" w:pos="0"/>
        </w:tabs>
        <w:spacing w:before="120"/>
        <w:ind w:hanging="429"/>
        <w:jc w:val="both"/>
        <w:rPr>
          <w:rFonts w:ascii="Book Antiqua" w:hAnsi="Book Antiqua" w:cs="Arial"/>
        </w:rPr>
      </w:pPr>
    </w:p>
    <w:p w:rsidR="001D7F9C" w:rsidRDefault="001D7F9C" w:rsidP="007B1462">
      <w:pPr>
        <w:tabs>
          <w:tab w:val="left" w:pos="0"/>
        </w:tabs>
        <w:spacing w:before="120"/>
        <w:ind w:hanging="429"/>
        <w:jc w:val="both"/>
        <w:rPr>
          <w:rFonts w:ascii="Book Antiqua" w:hAnsi="Book Antiqua" w:cs="Arial"/>
          <w:b/>
          <w:u w:val="single"/>
        </w:rPr>
      </w:pPr>
    </w:p>
    <w:sectPr w:rsidR="001D7F9C" w:rsidSect="00940D10">
      <w:headerReference w:type="default" r:id="rId9"/>
      <w:footerReference w:type="default" r:id="rId10"/>
      <w:footerReference w:type="first" r:id="rId11"/>
      <w:pgSz w:w="11906" w:h="16838"/>
      <w:pgMar w:top="709" w:right="1134"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AEB" w:rsidRDefault="00E71AEB">
      <w:r>
        <w:separator/>
      </w:r>
    </w:p>
  </w:endnote>
  <w:endnote w:type="continuationSeparator" w:id="0">
    <w:p w:rsidR="00E71AEB" w:rsidRDefault="00E71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630935"/>
      <w:docPartObj>
        <w:docPartGallery w:val="Page Numbers (Bottom of Page)"/>
        <w:docPartUnique/>
      </w:docPartObj>
    </w:sdtPr>
    <w:sdtEndPr>
      <w:rPr>
        <w:noProof/>
      </w:rPr>
    </w:sdtEndPr>
    <w:sdtContent>
      <w:p w:rsidR="00940D10" w:rsidRDefault="00940D10">
        <w:pPr>
          <w:pStyle w:val="Footer"/>
          <w:jc w:val="center"/>
        </w:pPr>
        <w:r>
          <w:fldChar w:fldCharType="begin"/>
        </w:r>
        <w:r>
          <w:instrText xml:space="preserve"> PAGE   \* MERGEFORMAT </w:instrText>
        </w:r>
        <w:r>
          <w:fldChar w:fldCharType="separate"/>
        </w:r>
        <w:r w:rsidR="0037309D">
          <w:rPr>
            <w:noProof/>
          </w:rPr>
          <w:t>3</w:t>
        </w:r>
        <w:r>
          <w:rPr>
            <w:noProof/>
          </w:rPr>
          <w:fldChar w:fldCharType="end"/>
        </w:r>
      </w:p>
    </w:sdtContent>
  </w:sdt>
  <w:p w:rsidR="007B1462" w:rsidRDefault="007B14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C08" w:rsidRPr="00940D10" w:rsidRDefault="00060C08">
    <w:pPr>
      <w:pStyle w:val="Footer"/>
      <w:rPr>
        <w:rFonts w:ascii="Book Antiqua" w:hAnsi="Book Antiqua"/>
        <w:b/>
      </w:rPr>
    </w:pPr>
    <w:r w:rsidRPr="00940D10">
      <w:rPr>
        <w:rFonts w:ascii="Book Antiqua" w:hAnsi="Book Antiqua"/>
        <w:b/>
      </w:rPr>
      <w:t xml:space="preserve">                                                ©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AEB" w:rsidRDefault="00E71AEB">
      <w:r>
        <w:separator/>
      </w:r>
    </w:p>
  </w:footnote>
  <w:footnote w:type="continuationSeparator" w:id="0">
    <w:p w:rsidR="00E71AEB" w:rsidRDefault="00E71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462" w:rsidRDefault="006F1B65" w:rsidP="006F1B65">
    <w:pPr>
      <w:pStyle w:val="Header"/>
      <w:rPr>
        <w:rFonts w:ascii="Book Antiqua" w:hAnsi="Book Antiqua"/>
        <w:sz w:val="16"/>
        <w:szCs w:val="16"/>
      </w:rPr>
    </w:pPr>
    <w:r>
      <w:rPr>
        <w:sz w:val="16"/>
        <w:szCs w:val="16"/>
      </w:rPr>
      <w:t xml:space="preserve">                                                                                                                                                                      </w:t>
    </w:r>
    <w:r w:rsidRPr="00940D10">
      <w:rPr>
        <w:rFonts w:ascii="Book Antiqua" w:hAnsi="Book Antiqua"/>
        <w:sz w:val="16"/>
        <w:szCs w:val="16"/>
      </w:rPr>
      <w:t>Appeal Number: PA</w:t>
    </w:r>
    <w:r w:rsidR="00940D10">
      <w:rPr>
        <w:rFonts w:ascii="Book Antiqua" w:hAnsi="Book Antiqua"/>
        <w:sz w:val="16"/>
        <w:szCs w:val="16"/>
      </w:rPr>
      <w:t>/</w:t>
    </w:r>
    <w:r w:rsidRPr="00940D10">
      <w:rPr>
        <w:rFonts w:ascii="Book Antiqua" w:hAnsi="Book Antiqua"/>
        <w:sz w:val="16"/>
        <w:szCs w:val="16"/>
      </w:rPr>
      <w:t>00841</w:t>
    </w:r>
    <w:r w:rsidR="00940D10">
      <w:rPr>
        <w:rFonts w:ascii="Book Antiqua" w:hAnsi="Book Antiqua"/>
        <w:sz w:val="16"/>
        <w:szCs w:val="16"/>
      </w:rPr>
      <w:t>/</w:t>
    </w:r>
    <w:r w:rsidRPr="00940D10">
      <w:rPr>
        <w:rFonts w:ascii="Book Antiqua" w:hAnsi="Book Antiqua"/>
        <w:sz w:val="16"/>
        <w:szCs w:val="16"/>
      </w:rPr>
      <w:t>2018</w:t>
    </w:r>
  </w:p>
  <w:p w:rsidR="00940D10" w:rsidRPr="00940D10" w:rsidRDefault="00940D10" w:rsidP="006F1B65">
    <w:pPr>
      <w:pStyle w:val="Header"/>
      <w:rPr>
        <w:rFonts w:ascii="Book Antiqua" w:hAnsi="Book Antiq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2AC4"/>
    <w:multiLevelType w:val="hybridMultilevel"/>
    <w:tmpl w:val="A19EB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3604E"/>
    <w:multiLevelType w:val="hybridMultilevel"/>
    <w:tmpl w:val="8AD24038"/>
    <w:lvl w:ilvl="0" w:tplc="C52A5768">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79"/>
    <w:rsid w:val="00000621"/>
    <w:rsid w:val="000036C2"/>
    <w:rsid w:val="000225BC"/>
    <w:rsid w:val="00033D3D"/>
    <w:rsid w:val="00060C08"/>
    <w:rsid w:val="00062F02"/>
    <w:rsid w:val="00071A7E"/>
    <w:rsid w:val="000746C0"/>
    <w:rsid w:val="00074D1D"/>
    <w:rsid w:val="00092580"/>
    <w:rsid w:val="00093D4D"/>
    <w:rsid w:val="000B2BA7"/>
    <w:rsid w:val="000B3442"/>
    <w:rsid w:val="000D5D94"/>
    <w:rsid w:val="000F064A"/>
    <w:rsid w:val="000F1A0E"/>
    <w:rsid w:val="001165A7"/>
    <w:rsid w:val="00127ECB"/>
    <w:rsid w:val="001539FF"/>
    <w:rsid w:val="001554B5"/>
    <w:rsid w:val="00167D3A"/>
    <w:rsid w:val="00171434"/>
    <w:rsid w:val="001A3082"/>
    <w:rsid w:val="001B186A"/>
    <w:rsid w:val="001B2F75"/>
    <w:rsid w:val="001D7F9C"/>
    <w:rsid w:val="001F2716"/>
    <w:rsid w:val="001F5024"/>
    <w:rsid w:val="00207617"/>
    <w:rsid w:val="0023134B"/>
    <w:rsid w:val="00243169"/>
    <w:rsid w:val="00245E38"/>
    <w:rsid w:val="00265840"/>
    <w:rsid w:val="00283659"/>
    <w:rsid w:val="00293A97"/>
    <w:rsid w:val="002C0F46"/>
    <w:rsid w:val="002C6BD4"/>
    <w:rsid w:val="002D290A"/>
    <w:rsid w:val="002D68BF"/>
    <w:rsid w:val="002E4EE6"/>
    <w:rsid w:val="002F0753"/>
    <w:rsid w:val="002F6B98"/>
    <w:rsid w:val="00336CBF"/>
    <w:rsid w:val="00343FE3"/>
    <w:rsid w:val="003546C8"/>
    <w:rsid w:val="0037309D"/>
    <w:rsid w:val="0038178C"/>
    <w:rsid w:val="003959A7"/>
    <w:rsid w:val="003A7CF2"/>
    <w:rsid w:val="003C473F"/>
    <w:rsid w:val="003C5CE5"/>
    <w:rsid w:val="003E267B"/>
    <w:rsid w:val="003E4F4D"/>
    <w:rsid w:val="003E7CD1"/>
    <w:rsid w:val="003F1117"/>
    <w:rsid w:val="00402B9E"/>
    <w:rsid w:val="004249CB"/>
    <w:rsid w:val="0044127D"/>
    <w:rsid w:val="004448DB"/>
    <w:rsid w:val="00446C9A"/>
    <w:rsid w:val="00452F2B"/>
    <w:rsid w:val="00477193"/>
    <w:rsid w:val="004A1848"/>
    <w:rsid w:val="004A3DDC"/>
    <w:rsid w:val="004A41A6"/>
    <w:rsid w:val="004A6F4A"/>
    <w:rsid w:val="004E0F3D"/>
    <w:rsid w:val="004E4717"/>
    <w:rsid w:val="00507FEC"/>
    <w:rsid w:val="00510F0E"/>
    <w:rsid w:val="005479E1"/>
    <w:rsid w:val="00553E0A"/>
    <w:rsid w:val="005570FD"/>
    <w:rsid w:val="005575EA"/>
    <w:rsid w:val="00562F7A"/>
    <w:rsid w:val="00577719"/>
    <w:rsid w:val="0057790C"/>
    <w:rsid w:val="00593795"/>
    <w:rsid w:val="005A75FF"/>
    <w:rsid w:val="005D10AB"/>
    <w:rsid w:val="00601D8F"/>
    <w:rsid w:val="00607D3E"/>
    <w:rsid w:val="00653E97"/>
    <w:rsid w:val="006701F7"/>
    <w:rsid w:val="00684A74"/>
    <w:rsid w:val="00690B8A"/>
    <w:rsid w:val="006A1A07"/>
    <w:rsid w:val="006D2613"/>
    <w:rsid w:val="006F1B65"/>
    <w:rsid w:val="006F2CF1"/>
    <w:rsid w:val="007038ED"/>
    <w:rsid w:val="00703BC3"/>
    <w:rsid w:val="00704B61"/>
    <w:rsid w:val="00725A18"/>
    <w:rsid w:val="007552A9"/>
    <w:rsid w:val="00756090"/>
    <w:rsid w:val="00761858"/>
    <w:rsid w:val="0076727C"/>
    <w:rsid w:val="00767D59"/>
    <w:rsid w:val="00776E97"/>
    <w:rsid w:val="00780F86"/>
    <w:rsid w:val="007817E4"/>
    <w:rsid w:val="007912AD"/>
    <w:rsid w:val="007A0B88"/>
    <w:rsid w:val="007B0824"/>
    <w:rsid w:val="007B1462"/>
    <w:rsid w:val="007B5D3C"/>
    <w:rsid w:val="007C176C"/>
    <w:rsid w:val="007C1DF1"/>
    <w:rsid w:val="007F2A46"/>
    <w:rsid w:val="00806249"/>
    <w:rsid w:val="00821B72"/>
    <w:rsid w:val="00823EF2"/>
    <w:rsid w:val="008303B8"/>
    <w:rsid w:val="00833DCE"/>
    <w:rsid w:val="00851D4F"/>
    <w:rsid w:val="0085219C"/>
    <w:rsid w:val="00862479"/>
    <w:rsid w:val="00871D34"/>
    <w:rsid w:val="008A3898"/>
    <w:rsid w:val="008B270C"/>
    <w:rsid w:val="008B5078"/>
    <w:rsid w:val="008C3D3D"/>
    <w:rsid w:val="008D4131"/>
    <w:rsid w:val="008F1932"/>
    <w:rsid w:val="00921062"/>
    <w:rsid w:val="00940AF0"/>
    <w:rsid w:val="00940D10"/>
    <w:rsid w:val="00951C5A"/>
    <w:rsid w:val="00957B0F"/>
    <w:rsid w:val="00962958"/>
    <w:rsid w:val="009722BC"/>
    <w:rsid w:val="009727A3"/>
    <w:rsid w:val="00983F46"/>
    <w:rsid w:val="00987774"/>
    <w:rsid w:val="009A11E8"/>
    <w:rsid w:val="009B3FEE"/>
    <w:rsid w:val="009D557B"/>
    <w:rsid w:val="009F14B8"/>
    <w:rsid w:val="009F5220"/>
    <w:rsid w:val="00A15234"/>
    <w:rsid w:val="00A201AB"/>
    <w:rsid w:val="00A31C8B"/>
    <w:rsid w:val="00A33C00"/>
    <w:rsid w:val="00A509FA"/>
    <w:rsid w:val="00A71C11"/>
    <w:rsid w:val="00A842AA"/>
    <w:rsid w:val="00A845DC"/>
    <w:rsid w:val="00AC04A0"/>
    <w:rsid w:val="00B01D90"/>
    <w:rsid w:val="00B26AA2"/>
    <w:rsid w:val="00B315A7"/>
    <w:rsid w:val="00B3524D"/>
    <w:rsid w:val="00B40F69"/>
    <w:rsid w:val="00B46616"/>
    <w:rsid w:val="00B57AE9"/>
    <w:rsid w:val="00B7040A"/>
    <w:rsid w:val="00B83391"/>
    <w:rsid w:val="00B91640"/>
    <w:rsid w:val="00B95326"/>
    <w:rsid w:val="00BA130F"/>
    <w:rsid w:val="00BD4196"/>
    <w:rsid w:val="00BF22CA"/>
    <w:rsid w:val="00BF23BB"/>
    <w:rsid w:val="00C2080F"/>
    <w:rsid w:val="00C26032"/>
    <w:rsid w:val="00C345E1"/>
    <w:rsid w:val="00C43BFD"/>
    <w:rsid w:val="00CA050F"/>
    <w:rsid w:val="00CB6E35"/>
    <w:rsid w:val="00CD3D3A"/>
    <w:rsid w:val="00CE1A46"/>
    <w:rsid w:val="00CE456F"/>
    <w:rsid w:val="00D20757"/>
    <w:rsid w:val="00D22636"/>
    <w:rsid w:val="00D40FD9"/>
    <w:rsid w:val="00D43F0F"/>
    <w:rsid w:val="00D53769"/>
    <w:rsid w:val="00D8280B"/>
    <w:rsid w:val="00D85C13"/>
    <w:rsid w:val="00D9111A"/>
    <w:rsid w:val="00D91BE3"/>
    <w:rsid w:val="00D94AFC"/>
    <w:rsid w:val="00DB70AE"/>
    <w:rsid w:val="00DC2238"/>
    <w:rsid w:val="00DD5071"/>
    <w:rsid w:val="00DD5C39"/>
    <w:rsid w:val="00DE4872"/>
    <w:rsid w:val="00DE5E10"/>
    <w:rsid w:val="00DE7DB7"/>
    <w:rsid w:val="00E00A0A"/>
    <w:rsid w:val="00E066DE"/>
    <w:rsid w:val="00E07F57"/>
    <w:rsid w:val="00E30683"/>
    <w:rsid w:val="00E32C5E"/>
    <w:rsid w:val="00E453D8"/>
    <w:rsid w:val="00E50BCE"/>
    <w:rsid w:val="00E56377"/>
    <w:rsid w:val="00E574BF"/>
    <w:rsid w:val="00E61292"/>
    <w:rsid w:val="00E71AEB"/>
    <w:rsid w:val="00E77C4D"/>
    <w:rsid w:val="00E81D01"/>
    <w:rsid w:val="00EE45D8"/>
    <w:rsid w:val="00EF6B99"/>
    <w:rsid w:val="00F22EDA"/>
    <w:rsid w:val="00F41C53"/>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A8F63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7B14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4131</Characters>
  <Application>Microsoft Office Word</Application>
  <DocSecurity>0</DocSecurity>
  <Lines>34</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2018-07-03T10:50:00Z</dcterms:created>
  <dcterms:modified xsi:type="dcterms:W3CDTF">2018-07-03T10:50:00Z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