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A3B41" w14:textId="77777777" w:rsidR="00D94AFC" w:rsidRPr="00A544A8" w:rsidRDefault="00D94AFC">
      <w:pPr>
        <w:rPr>
          <w:rFonts w:ascii="Sylfaen" w:hAnsi="Sylfaen" w:cs="Arial"/>
          <w:color w:val="000000"/>
          <w:sz w:val="16"/>
          <w:szCs w:val="16"/>
        </w:rPr>
      </w:pPr>
    </w:p>
    <w:p w14:paraId="393FF632" w14:textId="473F7BA7" w:rsidR="00F97703" w:rsidRPr="00A544A8" w:rsidRDefault="00A85264" w:rsidP="00F97703">
      <w:pPr>
        <w:jc w:val="center"/>
        <w:rPr>
          <w:rFonts w:ascii="Sylfaen" w:hAnsi="Sylfaen" w:cs="Arial"/>
          <w:color w:val="000000"/>
        </w:rPr>
      </w:pPr>
      <w:r w:rsidRPr="00A544A8">
        <w:rPr>
          <w:rFonts w:ascii="Sylfaen" w:hAnsi="Sylfaen"/>
          <w:noProof/>
        </w:rPr>
        <w:drawing>
          <wp:inline distT="0" distB="0" distL="0" distR="0" wp14:anchorId="2FB54250" wp14:editId="190DF367">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14:paraId="65D49DE0" w14:textId="77777777" w:rsidR="00F97703" w:rsidRPr="00A544A8" w:rsidRDefault="00611011" w:rsidP="00780F86">
      <w:pPr>
        <w:tabs>
          <w:tab w:val="right" w:pos="9720"/>
        </w:tabs>
        <w:ind w:right="-82"/>
        <w:rPr>
          <w:rFonts w:ascii="Sylfaen" w:hAnsi="Sylfaen" w:cs="Arial"/>
          <w:b/>
          <w:color w:val="000000"/>
        </w:rPr>
      </w:pPr>
      <w:r w:rsidRPr="00A544A8">
        <w:rPr>
          <w:rFonts w:ascii="Sylfaen" w:hAnsi="Sylfaen" w:cs="Arial"/>
          <w:b/>
          <w:color w:val="000000"/>
        </w:rPr>
        <w:t>Upper</w:t>
      </w:r>
      <w:r w:rsidR="00F97703" w:rsidRPr="00A544A8">
        <w:rPr>
          <w:rFonts w:ascii="Sylfaen" w:hAnsi="Sylfaen" w:cs="Arial"/>
          <w:b/>
          <w:color w:val="000000"/>
        </w:rPr>
        <w:t xml:space="preserve"> Tribunal </w:t>
      </w:r>
    </w:p>
    <w:p w14:paraId="28B97FAE" w14:textId="77777777" w:rsidR="007B0824" w:rsidRPr="00A544A8" w:rsidRDefault="00F97703" w:rsidP="00780F86">
      <w:pPr>
        <w:tabs>
          <w:tab w:val="right" w:pos="9720"/>
        </w:tabs>
        <w:ind w:right="-82"/>
        <w:rPr>
          <w:rFonts w:ascii="Sylfaen" w:hAnsi="Sylfaen" w:cs="Arial"/>
          <w:color w:val="000000"/>
        </w:rPr>
      </w:pPr>
      <w:r w:rsidRPr="00A544A8">
        <w:rPr>
          <w:rFonts w:ascii="Sylfaen" w:hAnsi="Sylfaen" w:cs="Arial"/>
          <w:b/>
          <w:color w:val="000000"/>
        </w:rPr>
        <w:t>(Immigration and Asylum Chamber)</w:t>
      </w:r>
      <w:r w:rsidR="00DB70AE" w:rsidRPr="00A544A8">
        <w:rPr>
          <w:rFonts w:ascii="Sylfaen" w:hAnsi="Sylfaen" w:cs="Arial"/>
          <w:b/>
          <w:color w:val="000000"/>
        </w:rPr>
        <w:tab/>
      </w:r>
      <w:r w:rsidR="00B3524D" w:rsidRPr="00A544A8">
        <w:rPr>
          <w:rFonts w:ascii="Sylfaen" w:hAnsi="Sylfaen" w:cs="Arial"/>
          <w:color w:val="000000"/>
        </w:rPr>
        <w:t>Appeal</w:t>
      </w:r>
      <w:r w:rsidR="00BD3A9C">
        <w:rPr>
          <w:rFonts w:ascii="Sylfaen" w:hAnsi="Sylfaen" w:cs="Arial"/>
          <w:color w:val="000000"/>
        </w:rPr>
        <w:t xml:space="preserve"> no</w:t>
      </w:r>
      <w:r w:rsidR="00D53769" w:rsidRPr="00A544A8">
        <w:rPr>
          <w:rFonts w:ascii="Sylfaen" w:hAnsi="Sylfaen" w:cs="Arial"/>
          <w:color w:val="000000"/>
        </w:rPr>
        <w:t>:</w:t>
      </w:r>
      <w:r w:rsidR="00B3524D" w:rsidRPr="00A544A8">
        <w:rPr>
          <w:rFonts w:ascii="Sylfaen" w:hAnsi="Sylfaen" w:cs="Arial"/>
          <w:color w:val="000000"/>
        </w:rPr>
        <w:t xml:space="preserve"> </w:t>
      </w:r>
      <w:bookmarkStart w:id="0" w:name="_GoBack"/>
      <w:r w:rsidR="006575B0">
        <w:rPr>
          <w:rFonts w:ascii="Sylfaen" w:hAnsi="Sylfaen" w:cs="Arial"/>
          <w:b/>
          <w:caps/>
          <w:color w:val="000000"/>
        </w:rPr>
        <w:t>PA</w:t>
      </w:r>
      <w:r w:rsidR="00FA6250">
        <w:rPr>
          <w:rFonts w:ascii="Sylfaen" w:hAnsi="Sylfaen" w:cs="Arial"/>
          <w:b/>
          <w:caps/>
          <w:color w:val="000000"/>
        </w:rPr>
        <w:t>/01079/20</w:t>
      </w:r>
      <w:r w:rsidR="006575B0">
        <w:rPr>
          <w:rFonts w:ascii="Sylfaen" w:hAnsi="Sylfaen" w:cs="Arial"/>
          <w:b/>
          <w:caps/>
          <w:color w:val="000000"/>
        </w:rPr>
        <w:t>18</w:t>
      </w:r>
      <w:bookmarkEnd w:id="0"/>
    </w:p>
    <w:p w14:paraId="6F63FFDD" w14:textId="7B686B3C" w:rsidR="00C345E1" w:rsidRDefault="00C345E1" w:rsidP="00C345E1">
      <w:pPr>
        <w:jc w:val="center"/>
        <w:rPr>
          <w:rFonts w:ascii="Sylfaen" w:hAnsi="Sylfaen" w:cs="Arial"/>
          <w:color w:val="000000"/>
        </w:rPr>
      </w:pPr>
    </w:p>
    <w:p w14:paraId="6FE6E90F" w14:textId="77777777" w:rsidR="00D6101E" w:rsidRPr="00A544A8" w:rsidRDefault="00D6101E" w:rsidP="00C345E1">
      <w:pPr>
        <w:jc w:val="center"/>
        <w:rPr>
          <w:rFonts w:ascii="Sylfaen" w:hAnsi="Sylfaen" w:cs="Arial"/>
          <w:color w:val="000000"/>
        </w:rPr>
      </w:pPr>
    </w:p>
    <w:p w14:paraId="6A5BB054" w14:textId="77777777" w:rsidR="00C345E1" w:rsidRPr="00A544A8" w:rsidRDefault="00C345E1" w:rsidP="00C345E1">
      <w:pPr>
        <w:jc w:val="center"/>
        <w:rPr>
          <w:rFonts w:ascii="Sylfaen" w:hAnsi="Sylfaen" w:cs="Arial"/>
          <w:b/>
          <w:color w:val="000000"/>
          <w:u w:val="single"/>
        </w:rPr>
      </w:pPr>
      <w:r w:rsidRPr="00A544A8">
        <w:rPr>
          <w:rFonts w:ascii="Sylfaen" w:hAnsi="Sylfaen" w:cs="Arial"/>
          <w:b/>
          <w:color w:val="000000"/>
          <w:u w:val="single"/>
        </w:rPr>
        <w:t>THE IMMIGRATION ACTS</w:t>
      </w:r>
    </w:p>
    <w:p w14:paraId="5A8867D9" w14:textId="62F297A3" w:rsidR="00C345E1" w:rsidRDefault="00C345E1" w:rsidP="00C345E1">
      <w:pPr>
        <w:jc w:val="center"/>
        <w:rPr>
          <w:rFonts w:ascii="Sylfaen" w:hAnsi="Sylfaen" w:cs="Arial"/>
          <w:b/>
          <w:u w:val="single"/>
        </w:rPr>
      </w:pPr>
    </w:p>
    <w:p w14:paraId="0FB0365D" w14:textId="77777777" w:rsidR="00D6101E" w:rsidRPr="00A544A8" w:rsidRDefault="00D6101E" w:rsidP="00C345E1">
      <w:pPr>
        <w:jc w:val="center"/>
        <w:rPr>
          <w:rFonts w:ascii="Sylfaen" w:hAnsi="Sylfaen" w:cs="Arial"/>
          <w:b/>
          <w:u w:val="single"/>
        </w:rPr>
      </w:pPr>
    </w:p>
    <w:tbl>
      <w:tblPr>
        <w:tblW w:w="5000" w:type="pct"/>
        <w:tblLook w:val="01E0" w:firstRow="1" w:lastRow="1" w:firstColumn="1" w:lastColumn="1" w:noHBand="0" w:noVBand="0"/>
      </w:tblPr>
      <w:tblGrid>
        <w:gridCol w:w="4819"/>
        <w:gridCol w:w="4819"/>
      </w:tblGrid>
      <w:tr w:rsidR="00AA71B2" w:rsidRPr="00AA71B2" w14:paraId="4023B6E4" w14:textId="77777777" w:rsidTr="00AA71B2">
        <w:tc>
          <w:tcPr>
            <w:tcW w:w="2500" w:type="pct"/>
            <w:shd w:val="clear" w:color="auto" w:fill="auto"/>
          </w:tcPr>
          <w:p w14:paraId="3E04C7CC" w14:textId="77777777" w:rsidR="00AA71B2" w:rsidRPr="00AA71B2" w:rsidRDefault="00AA71B2" w:rsidP="0049406D">
            <w:pPr>
              <w:ind w:left="540" w:hanging="540"/>
              <w:jc w:val="both"/>
              <w:rPr>
                <w:rFonts w:ascii="Sylfaen" w:hAnsi="Sylfaen" w:cs="Arial"/>
                <w:b/>
              </w:rPr>
            </w:pPr>
            <w:r w:rsidRPr="00AA71B2">
              <w:rPr>
                <w:rFonts w:ascii="Sylfaen" w:hAnsi="Sylfaen" w:cs="Arial"/>
                <w:b/>
              </w:rPr>
              <w:t xml:space="preserve">At    </w:t>
            </w:r>
            <w:smartTag w:uri="urn:schemas-microsoft-com:office:smarttags" w:element="place">
              <w:smartTag w:uri="urn:schemas-microsoft-com:office:smarttags" w:element="PlaceName">
                <w:r w:rsidRPr="00AA71B2">
                  <w:rPr>
                    <w:rFonts w:ascii="Sylfaen" w:hAnsi="Sylfaen" w:cs="Arial"/>
                    <w:b/>
                  </w:rPr>
                  <w:t>Rolls</w:t>
                </w:r>
              </w:smartTag>
              <w:r w:rsidRPr="00AA71B2">
                <w:rPr>
                  <w:rFonts w:ascii="Sylfaen" w:hAnsi="Sylfaen" w:cs="Arial"/>
                  <w:b/>
                </w:rPr>
                <w:t xml:space="preserve"> </w:t>
              </w:r>
              <w:smartTag w:uri="urn:schemas-microsoft-com:office:smarttags" w:element="PlaceType">
                <w:r w:rsidRPr="00AA71B2">
                  <w:rPr>
                    <w:rFonts w:ascii="Sylfaen" w:hAnsi="Sylfaen" w:cs="Arial"/>
                    <w:b/>
                  </w:rPr>
                  <w:t>Building</w:t>
                </w:r>
              </w:smartTag>
            </w:smartTag>
          </w:p>
        </w:tc>
        <w:tc>
          <w:tcPr>
            <w:tcW w:w="2500" w:type="pct"/>
            <w:shd w:val="clear" w:color="auto" w:fill="auto"/>
          </w:tcPr>
          <w:p w14:paraId="1EEE89A8" w14:textId="4B3FA067" w:rsidR="00AA71B2" w:rsidRPr="00AA71B2" w:rsidRDefault="00AA71B2" w:rsidP="00AA71B2">
            <w:pPr>
              <w:ind w:left="1872" w:hanging="1872"/>
              <w:jc w:val="right"/>
              <w:rPr>
                <w:rFonts w:ascii="Sylfaen" w:hAnsi="Sylfaen" w:cs="Arial"/>
                <w:color w:val="000000"/>
              </w:rPr>
            </w:pPr>
            <w:r w:rsidRPr="00AA71B2">
              <w:rPr>
                <w:rFonts w:ascii="Sylfaen" w:hAnsi="Sylfaen" w:cs="Arial"/>
                <w:b/>
                <w:color w:val="000000"/>
              </w:rPr>
              <w:t>Decision &amp; Reasons Promulgated</w:t>
            </w:r>
          </w:p>
        </w:tc>
      </w:tr>
      <w:tr w:rsidR="00AA71B2" w:rsidRPr="00AA71B2" w14:paraId="7808E96F" w14:textId="77777777" w:rsidTr="00AA71B2">
        <w:tc>
          <w:tcPr>
            <w:tcW w:w="2500" w:type="pct"/>
            <w:shd w:val="clear" w:color="auto" w:fill="auto"/>
          </w:tcPr>
          <w:p w14:paraId="352C1FE5" w14:textId="77777777" w:rsidR="00AA71B2" w:rsidRPr="00AA71B2" w:rsidRDefault="00AA71B2" w:rsidP="0049406D">
            <w:pPr>
              <w:jc w:val="both"/>
              <w:rPr>
                <w:rFonts w:ascii="Sylfaen" w:hAnsi="Sylfaen" w:cs="Arial"/>
                <w:b/>
              </w:rPr>
            </w:pPr>
            <w:r w:rsidRPr="00AA71B2">
              <w:rPr>
                <w:rFonts w:ascii="Sylfaen" w:hAnsi="Sylfaen" w:cs="Arial"/>
                <w:b/>
              </w:rPr>
              <w:t>On    21.05.2018</w:t>
            </w:r>
          </w:p>
        </w:tc>
        <w:tc>
          <w:tcPr>
            <w:tcW w:w="2500" w:type="pct"/>
            <w:shd w:val="clear" w:color="auto" w:fill="auto"/>
          </w:tcPr>
          <w:p w14:paraId="6F7BB62E" w14:textId="1EB0AD68" w:rsidR="00AA71B2" w:rsidRPr="00AA71B2" w:rsidRDefault="00AA71B2" w:rsidP="00AA71B2">
            <w:pPr>
              <w:ind w:left="1872" w:hanging="1872"/>
              <w:jc w:val="right"/>
              <w:rPr>
                <w:rFonts w:ascii="Sylfaen" w:hAnsi="Sylfaen" w:cs="Arial"/>
                <w:color w:val="000000"/>
              </w:rPr>
            </w:pPr>
            <w:r w:rsidRPr="00AA71B2">
              <w:rPr>
                <w:rFonts w:ascii="Sylfaen" w:hAnsi="Sylfaen" w:cs="Arial"/>
                <w:b/>
                <w:color w:val="000000"/>
              </w:rPr>
              <w:t>On 25.05.2018</w:t>
            </w:r>
          </w:p>
        </w:tc>
      </w:tr>
    </w:tbl>
    <w:p w14:paraId="08F048BB" w14:textId="77777777" w:rsidR="00F07170" w:rsidRDefault="00F07170" w:rsidP="00BD3A9C">
      <w:pPr>
        <w:rPr>
          <w:rFonts w:ascii="Sylfaen" w:hAnsi="Sylfaen" w:cs="Arial"/>
          <w:b/>
        </w:rPr>
      </w:pPr>
    </w:p>
    <w:p w14:paraId="6C279FFD" w14:textId="77777777" w:rsidR="00AA71B2" w:rsidRDefault="00AA71B2" w:rsidP="00BD3A9C">
      <w:pPr>
        <w:rPr>
          <w:rFonts w:ascii="Sylfaen" w:hAnsi="Sylfaen" w:cs="Arial"/>
        </w:rPr>
      </w:pPr>
    </w:p>
    <w:p w14:paraId="0522D5B9" w14:textId="418D7E00" w:rsidR="00A15234" w:rsidRPr="003860CF" w:rsidRDefault="00207617" w:rsidP="00BD3A9C">
      <w:pPr>
        <w:rPr>
          <w:rFonts w:ascii="Sylfaen" w:hAnsi="Sylfaen" w:cs="Arial"/>
        </w:rPr>
      </w:pPr>
      <w:r w:rsidRPr="003860CF">
        <w:rPr>
          <w:rFonts w:ascii="Sylfaen" w:hAnsi="Sylfaen" w:cs="Arial"/>
        </w:rPr>
        <w:t>Befo</w:t>
      </w:r>
      <w:r w:rsidR="00A15234" w:rsidRPr="003860CF">
        <w:rPr>
          <w:rFonts w:ascii="Sylfaen" w:hAnsi="Sylfaen" w:cs="Arial"/>
        </w:rPr>
        <w:t>re</w:t>
      </w:r>
      <w:r w:rsidR="00BD3A9C" w:rsidRPr="003860CF">
        <w:rPr>
          <w:rFonts w:ascii="Sylfaen" w:hAnsi="Sylfaen" w:cs="Arial"/>
        </w:rPr>
        <w:t>:</w:t>
      </w:r>
    </w:p>
    <w:p w14:paraId="246DDEFE" w14:textId="77777777" w:rsidR="00D20757" w:rsidRPr="003860CF" w:rsidRDefault="00BA334F" w:rsidP="00A15234">
      <w:pPr>
        <w:jc w:val="center"/>
        <w:rPr>
          <w:rFonts w:ascii="Sylfaen" w:hAnsi="Sylfaen" w:cs="Arial"/>
          <w:color w:val="000000"/>
        </w:rPr>
      </w:pPr>
      <w:r>
        <w:rPr>
          <w:rFonts w:ascii="Sylfaen" w:hAnsi="Sylfaen" w:cs="Arial"/>
          <w:color w:val="000000"/>
        </w:rPr>
        <w:t>Upper Tribunal Ju</w:t>
      </w:r>
      <w:r w:rsidRPr="003860CF">
        <w:rPr>
          <w:rFonts w:ascii="Sylfaen" w:hAnsi="Sylfaen" w:cs="Arial"/>
          <w:color w:val="000000"/>
        </w:rPr>
        <w:t xml:space="preserve">dge </w:t>
      </w:r>
    </w:p>
    <w:p w14:paraId="26108660" w14:textId="77777777" w:rsidR="00A544A8" w:rsidRPr="00A544A8" w:rsidRDefault="00A544A8" w:rsidP="00A544A8">
      <w:pPr>
        <w:jc w:val="center"/>
        <w:rPr>
          <w:rFonts w:ascii="Sylfaen" w:hAnsi="Sylfaen" w:cs="Arial"/>
          <w:b/>
          <w:color w:val="000000"/>
        </w:rPr>
      </w:pPr>
      <w:r w:rsidRPr="00A544A8">
        <w:rPr>
          <w:rFonts w:ascii="Sylfaen" w:hAnsi="Sylfaen" w:cs="Arial"/>
          <w:b/>
          <w:color w:val="000000"/>
        </w:rPr>
        <w:t>John FREEMAN</w:t>
      </w:r>
    </w:p>
    <w:p w14:paraId="0BF8101F" w14:textId="77777777" w:rsidR="00AA71B2" w:rsidRDefault="00AA71B2" w:rsidP="00BD3A9C">
      <w:pPr>
        <w:rPr>
          <w:rFonts w:ascii="Sylfaen" w:hAnsi="Sylfaen" w:cs="Arial"/>
        </w:rPr>
      </w:pPr>
    </w:p>
    <w:p w14:paraId="62FFCB04" w14:textId="4FAF1CFE" w:rsidR="00A845DC" w:rsidRPr="003860CF" w:rsidRDefault="00A845DC" w:rsidP="00BD3A9C">
      <w:pPr>
        <w:rPr>
          <w:rFonts w:ascii="Sylfaen" w:hAnsi="Sylfaen" w:cs="Arial"/>
        </w:rPr>
      </w:pPr>
      <w:r w:rsidRPr="003860CF">
        <w:rPr>
          <w:rFonts w:ascii="Sylfaen" w:hAnsi="Sylfaen" w:cs="Arial"/>
        </w:rPr>
        <w:t>Between</w:t>
      </w:r>
      <w:r w:rsidR="00BD3A9C" w:rsidRPr="003860CF">
        <w:rPr>
          <w:rFonts w:ascii="Sylfaen" w:hAnsi="Sylfaen" w:cs="Arial"/>
        </w:rPr>
        <w:t>:</w:t>
      </w:r>
    </w:p>
    <w:p w14:paraId="0A1C56DC" w14:textId="77777777" w:rsidR="00704B61" w:rsidRPr="00A544A8" w:rsidRDefault="006575B0" w:rsidP="00A15234">
      <w:pPr>
        <w:jc w:val="center"/>
        <w:rPr>
          <w:rFonts w:ascii="Sylfaen" w:hAnsi="Sylfaen" w:cs="Arial"/>
          <w:b/>
        </w:rPr>
      </w:pPr>
      <w:r>
        <w:rPr>
          <w:rFonts w:ascii="Sylfaen" w:hAnsi="Sylfaen" w:cs="Arial"/>
          <w:b/>
        </w:rPr>
        <w:t>Kaka ALIZADEH</w:t>
      </w:r>
    </w:p>
    <w:p w14:paraId="7C3CF9CE" w14:textId="77777777" w:rsidR="00704B61" w:rsidRPr="003860CF" w:rsidRDefault="00BD3A9C" w:rsidP="00704B61">
      <w:pPr>
        <w:jc w:val="right"/>
        <w:rPr>
          <w:rFonts w:ascii="Sylfaen" w:hAnsi="Sylfaen" w:cs="Arial"/>
        </w:rPr>
      </w:pPr>
      <w:r w:rsidRPr="003860CF">
        <w:rPr>
          <w:rFonts w:ascii="Sylfaen" w:hAnsi="Sylfaen" w:cs="Arial"/>
        </w:rPr>
        <w:t>appellant</w:t>
      </w:r>
    </w:p>
    <w:p w14:paraId="4A484367" w14:textId="77777777" w:rsidR="00704B61" w:rsidRPr="00A544A8" w:rsidRDefault="00DD5071" w:rsidP="00704B61">
      <w:pPr>
        <w:jc w:val="center"/>
        <w:rPr>
          <w:rFonts w:ascii="Sylfaen" w:hAnsi="Sylfaen" w:cs="Arial"/>
          <w:b/>
        </w:rPr>
      </w:pPr>
      <w:r w:rsidRPr="00A544A8">
        <w:rPr>
          <w:rFonts w:ascii="Sylfaen" w:hAnsi="Sylfaen" w:cs="Arial"/>
          <w:b/>
        </w:rPr>
        <w:t>and</w:t>
      </w:r>
    </w:p>
    <w:p w14:paraId="514EB217" w14:textId="77777777" w:rsidR="00DD5071" w:rsidRPr="00A544A8" w:rsidRDefault="00DD5071" w:rsidP="00704B61">
      <w:pPr>
        <w:jc w:val="center"/>
        <w:rPr>
          <w:rFonts w:ascii="Sylfaen" w:hAnsi="Sylfaen" w:cs="Arial"/>
          <w:b/>
        </w:rPr>
      </w:pPr>
    </w:p>
    <w:bookmarkStart w:id="1" w:name="Dropdown1"/>
    <w:p w14:paraId="5312F6DE" w14:textId="77777777" w:rsidR="00DD5071" w:rsidRPr="00A544A8" w:rsidRDefault="00A544A8" w:rsidP="00704B61">
      <w:pPr>
        <w:jc w:val="center"/>
        <w:rPr>
          <w:rFonts w:ascii="Sylfaen" w:hAnsi="Sylfaen" w:cs="Arial"/>
          <w:b/>
        </w:rPr>
      </w:pPr>
      <w:r w:rsidRPr="00A544A8">
        <w:rPr>
          <w:rFonts w:ascii="Sylfaen" w:hAnsi="Sylfaen" w:cs="Arial"/>
          <w:b/>
        </w:rPr>
        <w:fldChar w:fldCharType="begin">
          <w:ffData>
            <w:name w:val="Dropdown1"/>
            <w:enabled/>
            <w:calcOnExit w:val="0"/>
            <w:ddList>
              <w:listEntry w:val="Secretary of State for the Home Department"/>
              <w:listEntry w:val="Entry Clearance Officer,"/>
              <w:listEntry w:val="Immigration Officer, "/>
            </w:ddList>
          </w:ffData>
        </w:fldChar>
      </w:r>
      <w:r w:rsidRPr="00A544A8">
        <w:rPr>
          <w:rFonts w:ascii="Sylfaen" w:hAnsi="Sylfaen" w:cs="Arial"/>
          <w:b/>
        </w:rPr>
        <w:instrText xml:space="preserve"> FORMDROPDOWN </w:instrText>
      </w:r>
      <w:r w:rsidR="00C44CC3">
        <w:rPr>
          <w:rFonts w:ascii="Sylfaen" w:hAnsi="Sylfaen" w:cs="Arial"/>
          <w:b/>
        </w:rPr>
      </w:r>
      <w:r w:rsidR="00C44CC3">
        <w:rPr>
          <w:rFonts w:ascii="Sylfaen" w:hAnsi="Sylfaen" w:cs="Arial"/>
          <w:b/>
        </w:rPr>
        <w:fldChar w:fldCharType="separate"/>
      </w:r>
      <w:r w:rsidRPr="00A544A8">
        <w:rPr>
          <w:rFonts w:ascii="Sylfaen" w:hAnsi="Sylfaen" w:cs="Arial"/>
          <w:b/>
        </w:rPr>
        <w:fldChar w:fldCharType="end"/>
      </w:r>
      <w:bookmarkEnd w:id="1"/>
    </w:p>
    <w:p w14:paraId="19958CAD" w14:textId="77777777" w:rsidR="00DD5071" w:rsidRPr="003860CF" w:rsidRDefault="00BD3A9C" w:rsidP="00DD5071">
      <w:pPr>
        <w:jc w:val="right"/>
        <w:rPr>
          <w:rFonts w:ascii="Sylfaen" w:hAnsi="Sylfaen" w:cs="Arial"/>
        </w:rPr>
      </w:pPr>
      <w:r w:rsidRPr="003860CF">
        <w:rPr>
          <w:rFonts w:ascii="Sylfaen" w:hAnsi="Sylfaen" w:cs="Arial"/>
        </w:rPr>
        <w:t>respondent</w:t>
      </w:r>
    </w:p>
    <w:p w14:paraId="15ECECA4" w14:textId="77777777" w:rsidR="00AA71B2" w:rsidRDefault="00AA71B2" w:rsidP="00DD5071">
      <w:pPr>
        <w:rPr>
          <w:rFonts w:ascii="Sylfaen" w:hAnsi="Sylfaen" w:cs="Arial"/>
          <w:u w:val="single"/>
        </w:rPr>
      </w:pPr>
    </w:p>
    <w:p w14:paraId="19427D26" w14:textId="2BE89D72" w:rsidR="00DD5071" w:rsidRPr="003860CF" w:rsidRDefault="00DE7DB7" w:rsidP="00DD5071">
      <w:pPr>
        <w:rPr>
          <w:rFonts w:ascii="Sylfaen" w:hAnsi="Sylfaen" w:cs="Arial"/>
        </w:rPr>
      </w:pPr>
      <w:r w:rsidRPr="003860CF">
        <w:rPr>
          <w:rFonts w:ascii="Sylfaen" w:hAnsi="Sylfaen" w:cs="Arial"/>
          <w:u w:val="single"/>
        </w:rPr>
        <w:t>Representation</w:t>
      </w:r>
      <w:r w:rsidRPr="003860CF">
        <w:rPr>
          <w:rFonts w:ascii="Sylfaen" w:hAnsi="Sylfaen" w:cs="Arial"/>
        </w:rPr>
        <w:t>:</w:t>
      </w:r>
    </w:p>
    <w:p w14:paraId="26C7EC67" w14:textId="77777777" w:rsidR="00DE7DB7" w:rsidRPr="00A544A8"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appellant</w:t>
      </w:r>
      <w:r w:rsidRPr="00A544A8">
        <w:rPr>
          <w:rFonts w:ascii="Sylfaen" w:hAnsi="Sylfaen" w:cs="Arial"/>
        </w:rPr>
        <w:t>:</w:t>
      </w:r>
      <w:r w:rsidRPr="00A544A8">
        <w:rPr>
          <w:rFonts w:ascii="Sylfaen" w:hAnsi="Sylfaen" w:cs="Arial"/>
        </w:rPr>
        <w:tab/>
      </w:r>
      <w:r w:rsidR="006575B0">
        <w:rPr>
          <w:rFonts w:ascii="Sylfaen" w:hAnsi="Sylfaen" w:cs="Arial"/>
        </w:rPr>
        <w:t>Mr Pius Dakora, solicitor, Barnes, Harrild &amp; Dyer, Croydon</w:t>
      </w:r>
    </w:p>
    <w:p w14:paraId="5EC4FDD6" w14:textId="77777777" w:rsidR="00DE7DB7" w:rsidRPr="00A544A8"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respondent</w:t>
      </w:r>
      <w:r w:rsidRPr="00A544A8">
        <w:rPr>
          <w:rFonts w:ascii="Sylfaen" w:hAnsi="Sylfaen" w:cs="Arial"/>
        </w:rPr>
        <w:t>:</w:t>
      </w:r>
      <w:r w:rsidRPr="00A544A8">
        <w:rPr>
          <w:rFonts w:ascii="Sylfaen" w:hAnsi="Sylfaen" w:cs="Arial"/>
        </w:rPr>
        <w:tab/>
      </w:r>
      <w:r w:rsidR="006575B0">
        <w:rPr>
          <w:rFonts w:ascii="Sylfaen" w:hAnsi="Sylfaen" w:cs="Arial"/>
        </w:rPr>
        <w:t>Mr Ian Jarvis</w:t>
      </w:r>
    </w:p>
    <w:p w14:paraId="464AF374" w14:textId="77777777" w:rsidR="00DE7DB7" w:rsidRPr="00A544A8" w:rsidRDefault="00DE7DB7" w:rsidP="00402B9E">
      <w:pPr>
        <w:tabs>
          <w:tab w:val="left" w:pos="2520"/>
        </w:tabs>
        <w:jc w:val="center"/>
        <w:rPr>
          <w:rFonts w:ascii="Sylfaen" w:hAnsi="Sylfaen" w:cs="Arial"/>
        </w:rPr>
      </w:pPr>
    </w:p>
    <w:p w14:paraId="446A7485" w14:textId="77777777" w:rsidR="00DE7DB7" w:rsidRPr="00A544A8" w:rsidRDefault="001401BB" w:rsidP="00BD3A9C">
      <w:pPr>
        <w:tabs>
          <w:tab w:val="left" w:pos="2520"/>
        </w:tabs>
        <w:spacing w:after="120"/>
        <w:jc w:val="center"/>
        <w:rPr>
          <w:rFonts w:ascii="Sylfaen" w:hAnsi="Sylfaen" w:cs="Arial"/>
        </w:rPr>
      </w:pPr>
      <w:r>
        <w:rPr>
          <w:rFonts w:ascii="Sylfaen" w:hAnsi="Sylfaen" w:cs="Arial"/>
          <w:b/>
          <w:u w:val="single"/>
        </w:rPr>
        <w:t>DECISION</w:t>
      </w:r>
      <w:r w:rsidR="00402B9E" w:rsidRPr="00A544A8">
        <w:rPr>
          <w:rFonts w:ascii="Sylfaen" w:hAnsi="Sylfaen" w:cs="Arial"/>
          <w:b/>
          <w:u w:val="single"/>
        </w:rPr>
        <w:t xml:space="preserve"> AND REASONS</w:t>
      </w:r>
    </w:p>
    <w:p w14:paraId="4304E1D1" w14:textId="77777777" w:rsidR="00BF23BB" w:rsidRPr="00A544A8" w:rsidRDefault="00402B9E" w:rsidP="00BD3A9C">
      <w:pPr>
        <w:tabs>
          <w:tab w:val="left" w:pos="567"/>
        </w:tabs>
        <w:spacing w:after="120"/>
        <w:ind w:left="567" w:hanging="567"/>
        <w:jc w:val="both"/>
        <w:rPr>
          <w:rFonts w:ascii="Sylfaen" w:hAnsi="Sylfaen" w:cs="Arial"/>
        </w:rPr>
      </w:pPr>
      <w:r w:rsidRPr="00A544A8">
        <w:rPr>
          <w:rFonts w:ascii="Sylfaen" w:hAnsi="Sylfaen" w:cs="Arial"/>
        </w:rPr>
        <w:tab/>
      </w:r>
      <w:r w:rsidR="00FE4D99">
        <w:rPr>
          <w:rFonts w:ascii="Sylfaen" w:hAnsi="Sylfaen" w:cs="Arial"/>
        </w:rPr>
        <w:t>This is an appeal</w:t>
      </w:r>
      <w:r w:rsidR="00DF392C">
        <w:rPr>
          <w:rFonts w:ascii="Sylfaen" w:hAnsi="Sylfaen" w:cs="Arial"/>
        </w:rPr>
        <w:t>,</w:t>
      </w:r>
      <w:r w:rsidR="00FE4D99">
        <w:rPr>
          <w:rFonts w:ascii="Sylfaen" w:hAnsi="Sylfaen" w:cs="Arial"/>
        </w:rPr>
        <w:t xml:space="preserve"> by</w:t>
      </w:r>
      <w:r w:rsidR="00DE20CE">
        <w:rPr>
          <w:rFonts w:ascii="Sylfaen" w:hAnsi="Sylfaen" w:cs="Arial"/>
        </w:rPr>
        <w:t xml:space="preserve"> the </w:t>
      </w:r>
      <w:bookmarkStart w:id="2" w:name="Dropdown4"/>
      <w:r w:rsidR="00DE20CE">
        <w:rPr>
          <w:rFonts w:ascii="Sylfaen" w:hAnsi="Sylfaen" w:cs="Arial"/>
        </w:rPr>
        <w:fldChar w:fldCharType="begin">
          <w:ffData>
            <w:name w:val="Dropdown4"/>
            <w:enabled/>
            <w:calcOnExit w:val="0"/>
            <w:ddList>
              <w:listEntry w:val="appellant"/>
              <w:listEntry w:val="appellants"/>
              <w:listEntry w:val="respondent to the original appeal"/>
            </w:ddList>
          </w:ffData>
        </w:fldChar>
      </w:r>
      <w:r w:rsidR="00DE20CE">
        <w:rPr>
          <w:rFonts w:ascii="Sylfaen" w:hAnsi="Sylfaen" w:cs="Arial"/>
        </w:rPr>
        <w:instrText xml:space="preserve"> FORMDROPDOWN </w:instrText>
      </w:r>
      <w:r w:rsidR="00C44CC3">
        <w:rPr>
          <w:rFonts w:ascii="Sylfaen" w:hAnsi="Sylfaen" w:cs="Arial"/>
        </w:rPr>
      </w:r>
      <w:r w:rsidR="00C44CC3">
        <w:rPr>
          <w:rFonts w:ascii="Sylfaen" w:hAnsi="Sylfaen" w:cs="Arial"/>
        </w:rPr>
        <w:fldChar w:fldCharType="separate"/>
      </w:r>
      <w:r w:rsidR="00DE20CE">
        <w:rPr>
          <w:rFonts w:ascii="Sylfaen" w:hAnsi="Sylfaen" w:cs="Arial"/>
        </w:rPr>
        <w:fldChar w:fldCharType="end"/>
      </w:r>
      <w:bookmarkEnd w:id="2"/>
      <w:r w:rsidR="00DF392C">
        <w:rPr>
          <w:rFonts w:ascii="Sylfaen" w:hAnsi="Sylfaen" w:cs="Arial"/>
        </w:rPr>
        <w:t>,</w:t>
      </w:r>
      <w:r w:rsidR="00FE4D99">
        <w:rPr>
          <w:rFonts w:ascii="Sylfaen" w:hAnsi="Sylfaen" w:cs="Arial"/>
        </w:rPr>
        <w:t xml:space="preserve"> against the decision of </w:t>
      </w:r>
      <w:r w:rsidR="00194E6E">
        <w:rPr>
          <w:rFonts w:ascii="Sylfaen" w:hAnsi="Sylfaen" w:cs="Arial"/>
        </w:rPr>
        <w:t>the First-tier Tribunal</w:t>
      </w:r>
      <w:r w:rsidR="00FE4D99">
        <w:rPr>
          <w:rFonts w:ascii="Sylfaen" w:hAnsi="Sylfaen" w:cs="Arial"/>
        </w:rPr>
        <w:t xml:space="preserve"> </w:t>
      </w:r>
      <w:r w:rsidR="00194E6E">
        <w:rPr>
          <w:rFonts w:ascii="Sylfaen" w:hAnsi="Sylfaen" w:cs="Arial"/>
        </w:rPr>
        <w:t>(</w:t>
      </w:r>
      <w:r w:rsidR="00FE4D99">
        <w:rPr>
          <w:rFonts w:ascii="Sylfaen" w:hAnsi="Sylfaen" w:cs="Arial"/>
        </w:rPr>
        <w:t xml:space="preserve">Judge </w:t>
      </w:r>
      <w:r w:rsidR="006575B0">
        <w:rPr>
          <w:rFonts w:ascii="Sylfaen" w:hAnsi="Sylfaen" w:cs="Arial"/>
        </w:rPr>
        <w:t>Edward Lucas</w:t>
      </w:r>
      <w:r w:rsidR="00194E6E">
        <w:rPr>
          <w:rFonts w:ascii="Sylfaen" w:hAnsi="Sylfaen" w:cs="Arial"/>
        </w:rPr>
        <w:t>)</w:t>
      </w:r>
      <w:r w:rsidR="00FE4D99">
        <w:rPr>
          <w:rFonts w:ascii="Sylfaen" w:hAnsi="Sylfaen" w:cs="Arial"/>
        </w:rPr>
        <w:t xml:space="preserve">, sitting at </w:t>
      </w:r>
      <w:r w:rsidR="006575B0">
        <w:rPr>
          <w:rFonts w:ascii="Sylfaen" w:hAnsi="Sylfaen" w:cs="Arial"/>
        </w:rPr>
        <w:t>Taylor House</w:t>
      </w:r>
      <w:r w:rsidR="00FE4D99">
        <w:rPr>
          <w:rFonts w:ascii="Sylfaen" w:hAnsi="Sylfaen" w:cs="Arial"/>
        </w:rPr>
        <w:t xml:space="preserve"> on </w:t>
      </w:r>
      <w:r w:rsidR="006575B0">
        <w:rPr>
          <w:rFonts w:ascii="Sylfaen" w:hAnsi="Sylfaen" w:cs="Arial"/>
        </w:rPr>
        <w:t>21 February</w:t>
      </w:r>
      <w:r w:rsidR="00FE4D99">
        <w:rPr>
          <w:rFonts w:ascii="Sylfaen" w:hAnsi="Sylfaen" w:cs="Arial"/>
        </w:rPr>
        <w:t xml:space="preserve">, to </w:t>
      </w:r>
      <w:bookmarkStart w:id="3" w:name="Dropdown2"/>
      <w:r w:rsidR="004617F0">
        <w:rPr>
          <w:rFonts w:ascii="Sylfaen" w:hAnsi="Sylfaen" w:cs="Arial"/>
        </w:rPr>
        <w:fldChar w:fldCharType="begin">
          <w:ffData>
            <w:name w:val="Dropdown2"/>
            <w:enabled/>
            <w:calcOnExit w:val="0"/>
            <w:ddList>
              <w:listEntry w:val="dismiss"/>
              <w:listEntry w:val="allow"/>
            </w:ddList>
          </w:ffData>
        </w:fldChar>
      </w:r>
      <w:r w:rsidR="004617F0">
        <w:rPr>
          <w:rFonts w:ascii="Sylfaen" w:hAnsi="Sylfaen" w:cs="Arial"/>
        </w:rPr>
        <w:instrText xml:space="preserve"> FORMDROPDOWN </w:instrText>
      </w:r>
      <w:r w:rsidR="00C44CC3">
        <w:rPr>
          <w:rFonts w:ascii="Sylfaen" w:hAnsi="Sylfaen" w:cs="Arial"/>
        </w:rPr>
      </w:r>
      <w:r w:rsidR="00C44CC3">
        <w:rPr>
          <w:rFonts w:ascii="Sylfaen" w:hAnsi="Sylfaen" w:cs="Arial"/>
        </w:rPr>
        <w:fldChar w:fldCharType="separate"/>
      </w:r>
      <w:r w:rsidR="004617F0">
        <w:rPr>
          <w:rFonts w:ascii="Sylfaen" w:hAnsi="Sylfaen" w:cs="Arial"/>
        </w:rPr>
        <w:fldChar w:fldCharType="end"/>
      </w:r>
      <w:bookmarkEnd w:id="3"/>
      <w:r w:rsidR="00FE4D99">
        <w:rPr>
          <w:rFonts w:ascii="Sylfaen" w:hAnsi="Sylfaen" w:cs="Arial"/>
        </w:rPr>
        <w:t xml:space="preserve"> </w:t>
      </w:r>
      <w:r w:rsidR="006575B0">
        <w:rPr>
          <w:rFonts w:ascii="Sylfaen" w:hAnsi="Sylfaen" w:cs="Arial"/>
        </w:rPr>
        <w:t>an asylum and human rights</w:t>
      </w:r>
      <w:r w:rsidR="00FE4D99">
        <w:rPr>
          <w:rFonts w:ascii="Sylfaen" w:hAnsi="Sylfaen" w:cs="Arial"/>
        </w:rPr>
        <w:t xml:space="preserve"> appeal by a </w:t>
      </w:r>
      <w:r w:rsidR="006575B0">
        <w:rPr>
          <w:rFonts w:ascii="Sylfaen" w:hAnsi="Sylfaen" w:cs="Arial"/>
        </w:rPr>
        <w:t xml:space="preserve">Kurdish </w:t>
      </w:r>
      <w:r w:rsidR="00FE4D99">
        <w:rPr>
          <w:rFonts w:ascii="Sylfaen" w:hAnsi="Sylfaen" w:cs="Arial"/>
        </w:rPr>
        <w:t xml:space="preserve">citizen of </w:t>
      </w:r>
      <w:r w:rsidR="006575B0">
        <w:rPr>
          <w:rFonts w:ascii="Sylfaen" w:hAnsi="Sylfaen" w:cs="Arial"/>
        </w:rPr>
        <w:t>Iran</w:t>
      </w:r>
      <w:r w:rsidR="00102EBC">
        <w:rPr>
          <w:rFonts w:ascii="Sylfaen" w:hAnsi="Sylfaen" w:cs="Arial"/>
        </w:rPr>
        <w:t xml:space="preserve">, born </w:t>
      </w:r>
      <w:r w:rsidR="006575B0">
        <w:rPr>
          <w:rFonts w:ascii="Sylfaen" w:hAnsi="Sylfaen" w:cs="Arial"/>
        </w:rPr>
        <w:t>23 September 1998</w:t>
      </w:r>
      <w:r w:rsidR="00FE4D99">
        <w:rPr>
          <w:rFonts w:ascii="Sylfaen" w:hAnsi="Sylfaen" w:cs="Arial"/>
        </w:rPr>
        <w:t>.</w:t>
      </w:r>
      <w:r w:rsidR="006575B0">
        <w:rPr>
          <w:rFonts w:ascii="Sylfaen" w:hAnsi="Sylfaen" w:cs="Arial"/>
        </w:rPr>
        <w:t xml:space="preserve"> The appellant arrived here in the back of a lorry and claimed asylum on 7 December 2015: following a leisurely interview programme over the next two years, that was refused on 5 January 2018.</w:t>
      </w:r>
    </w:p>
    <w:p w14:paraId="2D57DE0D" w14:textId="77777777" w:rsidR="004617F0" w:rsidRDefault="006575B0" w:rsidP="00BD3A9C">
      <w:pPr>
        <w:numPr>
          <w:ilvl w:val="0"/>
          <w:numId w:val="1"/>
        </w:numPr>
        <w:tabs>
          <w:tab w:val="clear" w:pos="757"/>
        </w:tabs>
        <w:spacing w:after="120"/>
        <w:ind w:left="540" w:hanging="540"/>
        <w:jc w:val="both"/>
        <w:rPr>
          <w:rFonts w:ascii="Sylfaen" w:hAnsi="Sylfaen" w:cs="Arial"/>
        </w:rPr>
      </w:pPr>
      <w:r>
        <w:rPr>
          <w:rFonts w:ascii="Sylfaen" w:hAnsi="Sylfaen" w:cs="Arial"/>
        </w:rPr>
        <w:t>The grounds of appeal make the following complaints:</w:t>
      </w:r>
    </w:p>
    <w:p w14:paraId="1EEE6B5F" w14:textId="77777777" w:rsidR="006575B0" w:rsidRDefault="006575B0" w:rsidP="006575B0">
      <w:pPr>
        <w:numPr>
          <w:ilvl w:val="0"/>
          <w:numId w:val="3"/>
        </w:numPr>
        <w:spacing w:after="120"/>
        <w:jc w:val="both"/>
        <w:rPr>
          <w:rFonts w:ascii="Sylfaen" w:hAnsi="Sylfaen" w:cs="Arial"/>
        </w:rPr>
      </w:pPr>
      <w:r>
        <w:rPr>
          <w:rFonts w:ascii="Sylfaen" w:hAnsi="Sylfaen" w:cs="Arial"/>
        </w:rPr>
        <w:lastRenderedPageBreak/>
        <w:t xml:space="preserve">whether or not the appellant’s use of social media from this country </w:t>
      </w:r>
      <w:r w:rsidR="004335C5">
        <w:rPr>
          <w:rFonts w:ascii="Sylfaen" w:hAnsi="Sylfaen" w:cs="Arial"/>
        </w:rPr>
        <w:t xml:space="preserve">was opportunistic, as the judge found, </w:t>
      </w:r>
      <w:r>
        <w:rPr>
          <w:rFonts w:ascii="Sylfaen" w:hAnsi="Sylfaen" w:cs="Arial"/>
        </w:rPr>
        <w:t>or not was irrelevant to the question of whether it would put him at risk on return to Iran;</w:t>
      </w:r>
    </w:p>
    <w:p w14:paraId="3B99DC66" w14:textId="77777777" w:rsidR="006575B0" w:rsidRDefault="006575B0" w:rsidP="006575B0">
      <w:pPr>
        <w:numPr>
          <w:ilvl w:val="0"/>
          <w:numId w:val="3"/>
        </w:numPr>
        <w:spacing w:after="120"/>
        <w:jc w:val="both"/>
        <w:rPr>
          <w:rFonts w:ascii="Sylfaen" w:hAnsi="Sylfaen" w:cs="Arial"/>
        </w:rPr>
      </w:pPr>
      <w:r>
        <w:rPr>
          <w:rFonts w:ascii="Sylfaen" w:hAnsi="Sylfaen" w:cs="Arial"/>
        </w:rPr>
        <w:t xml:space="preserve">the judge did not have due regard to ‘country expert’ evidence from the well-known Professor Joffé, nor to the country guidance in </w:t>
      </w:r>
      <w:hyperlink r:id="rId8" w:history="1">
        <w:r w:rsidRPr="006575B0">
          <w:rPr>
            <w:rFonts w:ascii="Sylfaen" w:hAnsi="Sylfaen" w:cs="Arial"/>
            <w:i/>
            <w:color w:val="000000"/>
          </w:rPr>
          <w:t>SSH and HR</w:t>
        </w:r>
        <w:r w:rsidRPr="006575B0">
          <w:rPr>
            <w:rFonts w:ascii="Sylfaen" w:hAnsi="Sylfaen" w:cs="Arial"/>
            <w:color w:val="000000"/>
          </w:rPr>
          <w:t xml:space="preserve"> (illegal exit: failed asylum seeker Iran (CG) [2016] UKUT 308 (IAC</w:t>
        </w:r>
      </w:hyperlink>
      <w:r w:rsidRPr="006575B0">
        <w:rPr>
          <w:rFonts w:ascii="Sylfaen" w:hAnsi="Sylfaen" w:cs="Arial"/>
          <w:color w:val="000000"/>
        </w:rPr>
        <w:t>)</w:t>
      </w:r>
      <w:r>
        <w:rPr>
          <w:rFonts w:ascii="Sylfaen" w:hAnsi="Sylfaen" w:cs="Arial"/>
        </w:rPr>
        <w:t>;</w:t>
      </w:r>
    </w:p>
    <w:p w14:paraId="18A91A6F" w14:textId="77777777" w:rsidR="006575B0" w:rsidRDefault="006575B0" w:rsidP="006575B0">
      <w:pPr>
        <w:numPr>
          <w:ilvl w:val="0"/>
          <w:numId w:val="3"/>
        </w:numPr>
        <w:spacing w:after="120"/>
        <w:jc w:val="both"/>
        <w:rPr>
          <w:rFonts w:ascii="Sylfaen" w:hAnsi="Sylfaen" w:cs="Arial"/>
        </w:rPr>
      </w:pPr>
      <w:r>
        <w:rPr>
          <w:rFonts w:ascii="Sylfaen" w:hAnsi="Sylfaen" w:cs="Arial"/>
        </w:rPr>
        <w:t xml:space="preserve">the judge was not entitled, bearing in mind the difficulties for Kurds in leaving </w:t>
      </w:r>
      <w:smartTag w:uri="urn:schemas-microsoft-com:office:smarttags" w:element="country-region">
        <w:smartTag w:uri="urn:schemas-microsoft-com:office:smarttags" w:element="place">
          <w:r>
            <w:rPr>
              <w:rFonts w:ascii="Sylfaen" w:hAnsi="Sylfaen" w:cs="Arial"/>
            </w:rPr>
            <w:t>Iran</w:t>
          </w:r>
        </w:smartTag>
      </w:smartTag>
      <w:r>
        <w:rPr>
          <w:rFonts w:ascii="Sylfaen" w:hAnsi="Sylfaen" w:cs="Arial"/>
        </w:rPr>
        <w:t xml:space="preserve"> lawfully, to reject the appellant’s case on this point simply because he had disbelieved his account of political involvement;</w:t>
      </w:r>
    </w:p>
    <w:p w14:paraId="2A67E4F3" w14:textId="77777777" w:rsidR="006575B0" w:rsidRDefault="00386382" w:rsidP="006575B0">
      <w:pPr>
        <w:numPr>
          <w:ilvl w:val="0"/>
          <w:numId w:val="3"/>
        </w:numPr>
        <w:spacing w:after="120"/>
        <w:jc w:val="both"/>
        <w:rPr>
          <w:rFonts w:ascii="Sylfaen" w:hAnsi="Sylfaen" w:cs="Arial"/>
        </w:rPr>
      </w:pPr>
      <w:r>
        <w:rPr>
          <w:rFonts w:ascii="Sylfaen" w:hAnsi="Sylfaen" w:cs="Arial"/>
        </w:rPr>
        <w:t xml:space="preserve">nor to find that the appellant was “… of no interest to the Iranian authorities because he did not come to the attention of the authorities prior to the shooting incident following which he fled from </w:t>
      </w:r>
      <w:smartTag w:uri="urn:schemas-microsoft-com:office:smarttags" w:element="place">
        <w:smartTag w:uri="urn:schemas-microsoft-com:office:smarttags" w:element="country-region">
          <w:r>
            <w:rPr>
              <w:rFonts w:ascii="Sylfaen" w:hAnsi="Sylfaen" w:cs="Arial"/>
            </w:rPr>
            <w:t>Iran</w:t>
          </w:r>
        </w:smartTag>
      </w:smartTag>
      <w:r>
        <w:rPr>
          <w:rFonts w:ascii="Sylfaen" w:hAnsi="Sylfaen" w:cs="Arial"/>
        </w:rPr>
        <w:t>”.</w:t>
      </w:r>
    </w:p>
    <w:p w14:paraId="6EC702D6" w14:textId="77777777" w:rsidR="006575B0" w:rsidRDefault="00386382"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Ground 4 is wholly misconceived: what the judge actually said at paragraph 20 was that the appellant “… had no adverse risk profile in </w:t>
      </w:r>
      <w:smartTag w:uri="urn:schemas-microsoft-com:office:smarttags" w:element="country-region">
        <w:smartTag w:uri="urn:schemas-microsoft-com:office:smarttags" w:element="place">
          <w:r>
            <w:rPr>
              <w:rFonts w:ascii="Sylfaen" w:hAnsi="Sylfaen" w:cs="Arial"/>
            </w:rPr>
            <w:t>Iran</w:t>
          </w:r>
        </w:smartTag>
      </w:smartTag>
      <w:r>
        <w:rPr>
          <w:rFonts w:ascii="Sylfaen" w:hAnsi="Sylfaen" w:cs="Arial"/>
        </w:rPr>
        <w:t xml:space="preserve"> …” before the incident in question. That was an uncontroversial point on the facts: </w:t>
      </w:r>
      <w:r w:rsidR="004335C5">
        <w:rPr>
          <w:rFonts w:ascii="Sylfaen" w:hAnsi="Sylfaen" w:cs="Arial"/>
        </w:rPr>
        <w:t>all the judge meant that was that the appellant had not till then even claimed to have come to the notice of the authorities. Mr Dakora’s attempt to argue that he had a ‘risk profile’ (to use the fashionable jargon) merely because he was a Kurd would open the door, contrary to the country guidance, to any such per</w:t>
      </w:r>
      <w:r w:rsidR="00792C34">
        <w:rPr>
          <w:rFonts w:ascii="Sylfaen" w:hAnsi="Sylfaen" w:cs="Arial"/>
        </w:rPr>
        <w:t xml:space="preserve">son who arrived on these shores: see </w:t>
      </w:r>
      <w:r w:rsidR="00792C34">
        <w:rPr>
          <w:rFonts w:ascii="Sylfaen" w:hAnsi="Sylfaen" w:cs="Arial"/>
          <w:b/>
        </w:rPr>
        <w:t xml:space="preserve">11 – 13 </w:t>
      </w:r>
      <w:r w:rsidR="00792C34">
        <w:rPr>
          <w:rFonts w:ascii="Sylfaen" w:hAnsi="Sylfaen" w:cs="Arial"/>
        </w:rPr>
        <w:t>for more on this.</w:t>
      </w:r>
    </w:p>
    <w:p w14:paraId="63C4AD4C" w14:textId="77777777" w:rsidR="004335C5" w:rsidRDefault="004335C5"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Ground 3 is little better: while there might have been other reasons for the appellant to make an illegal departure (hard for Kurds to get passports, and military service unwelcome), if the judge had valid reasons for disbelieving him on what he put forward as the crucial part of his history, he was </w:t>
      </w:r>
      <w:r w:rsidRPr="004335C5">
        <w:rPr>
          <w:rFonts w:ascii="Sylfaen" w:hAnsi="Sylfaen" w:cs="Arial"/>
          <w:bCs/>
          <w:color w:val="000000"/>
        </w:rPr>
        <w:t>unquestionably</w:t>
      </w:r>
      <w:r>
        <w:rPr>
          <w:rFonts w:ascii="Sylfaen" w:hAnsi="Sylfaen" w:cs="Arial"/>
        </w:rPr>
        <w:t xml:space="preserve"> entitled also to disbelieve him on this part of his account</w:t>
      </w:r>
      <w:r w:rsidR="005E31F6">
        <w:rPr>
          <w:rFonts w:ascii="Sylfaen" w:hAnsi="Sylfaen" w:cs="Arial"/>
        </w:rPr>
        <w:t xml:space="preserve">, subject to what was said in </w:t>
      </w:r>
      <w:hyperlink r:id="rId9" w:history="1">
        <w:r w:rsidR="005E31F6" w:rsidRPr="005E31F6">
          <w:rPr>
            <w:rStyle w:val="Hyperlink"/>
            <w:rFonts w:ascii="Sylfaen" w:hAnsi="Sylfaen" w:cs="Arial"/>
            <w:i/>
            <w:color w:val="000000"/>
            <w:u w:val="none"/>
          </w:rPr>
          <w:t>MA (Somalia)</w:t>
        </w:r>
        <w:r w:rsidR="005E31F6" w:rsidRPr="005E31F6">
          <w:rPr>
            <w:rStyle w:val="Hyperlink"/>
            <w:rFonts w:ascii="Sylfaen" w:hAnsi="Sylfaen" w:cs="Arial"/>
            <w:color w:val="000000"/>
            <w:u w:val="none"/>
          </w:rPr>
          <w:t xml:space="preserve"> [2010] UKSC 49</w:t>
        </w:r>
      </w:hyperlink>
      <w:r w:rsidR="005E31F6">
        <w:rPr>
          <w:rFonts w:ascii="Sylfaen" w:hAnsi="Sylfaen" w:cs="Arial"/>
          <w:color w:val="000000"/>
        </w:rPr>
        <w:t xml:space="preserve"> (see </w:t>
      </w:r>
      <w:r w:rsidR="005E31F6">
        <w:rPr>
          <w:rFonts w:ascii="Sylfaen" w:hAnsi="Sylfaen" w:cs="Arial"/>
          <w:b/>
          <w:color w:val="000000"/>
        </w:rPr>
        <w:t>9</w:t>
      </w:r>
      <w:r w:rsidR="005E31F6">
        <w:rPr>
          <w:rFonts w:ascii="Sylfaen" w:hAnsi="Sylfaen" w:cs="Arial"/>
          <w:color w:val="000000"/>
        </w:rPr>
        <w:t xml:space="preserve"> onwards).</w:t>
      </w:r>
    </w:p>
    <w:p w14:paraId="0B3929A2" w14:textId="77777777" w:rsidR="004335C5" w:rsidRPr="004335C5" w:rsidRDefault="004335C5"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Turning to grounds 1 and 2, </w:t>
      </w:r>
      <w:r w:rsidRPr="004335C5">
        <w:rPr>
          <w:rFonts w:ascii="Sylfaen" w:hAnsi="Sylfaen" w:cs="Arial"/>
        </w:rPr>
        <w:t>Mr Dakora</w:t>
      </w:r>
      <w:r>
        <w:rPr>
          <w:rFonts w:ascii="Sylfaen" w:hAnsi="Sylfaen" w:cs="Arial"/>
        </w:rPr>
        <w:t xml:space="preserve"> began by placing reliance on </w:t>
      </w:r>
      <w:hyperlink r:id="rId10" w:history="1">
        <w:r w:rsidRPr="004335C5">
          <w:rPr>
            <w:rStyle w:val="Hyperlink"/>
            <w:rFonts w:ascii="Sylfaen" w:hAnsi="Sylfaen" w:cs="Arial"/>
            <w:i/>
            <w:color w:val="000000"/>
            <w:u w:val="none"/>
          </w:rPr>
          <w:t>AB and others</w:t>
        </w:r>
        <w:r w:rsidRPr="004335C5">
          <w:rPr>
            <w:rStyle w:val="Hyperlink"/>
            <w:rFonts w:ascii="Sylfaen" w:hAnsi="Sylfaen" w:cs="Arial"/>
            <w:color w:val="000000"/>
            <w:u w:val="none"/>
          </w:rPr>
          <w:t xml:space="preserve"> (internet activity – state of evidence) [2015] UKUT 257 (IAC)</w:t>
        </w:r>
      </w:hyperlink>
      <w:r>
        <w:rPr>
          <w:rFonts w:ascii="Sylfaen" w:hAnsi="Sylfaen" w:cs="Arial"/>
          <w:color w:val="000000"/>
        </w:rPr>
        <w:t xml:space="preserve">. This too was </w:t>
      </w:r>
      <w:r w:rsidR="008E66FE">
        <w:rPr>
          <w:rFonts w:ascii="Sylfaen" w:hAnsi="Sylfaen" w:cs="Arial"/>
          <w:color w:val="000000"/>
        </w:rPr>
        <w:t xml:space="preserve">somewhat </w:t>
      </w:r>
      <w:r>
        <w:rPr>
          <w:rFonts w:ascii="Sylfaen" w:hAnsi="Sylfaen" w:cs="Arial"/>
          <w:color w:val="000000"/>
        </w:rPr>
        <w:t xml:space="preserve">misconceived: </w:t>
      </w:r>
      <w:r w:rsidR="008E66FE">
        <w:rPr>
          <w:rFonts w:ascii="Sylfaen" w:hAnsi="Sylfaen" w:cs="Arial"/>
          <w:color w:val="000000"/>
        </w:rPr>
        <w:t xml:space="preserve">the decision is not reported as country guidance, and </w:t>
      </w:r>
      <w:r>
        <w:rPr>
          <w:rFonts w:ascii="Sylfaen" w:hAnsi="Sylfaen" w:cs="Arial"/>
          <w:color w:val="000000"/>
        </w:rPr>
        <w:t xml:space="preserve">see the judicial head-note </w:t>
      </w:r>
    </w:p>
    <w:p w14:paraId="2AFEEA58" w14:textId="77777777" w:rsidR="004335C5" w:rsidRPr="00D6101E" w:rsidRDefault="004335C5" w:rsidP="00D6101E">
      <w:pPr>
        <w:spacing w:after="120"/>
        <w:ind w:left="1134" w:right="566"/>
        <w:jc w:val="both"/>
        <w:rPr>
          <w:rFonts w:ascii="Sylfaen" w:hAnsi="Sylfaen" w:cs="Arial"/>
          <w:sz w:val="22"/>
          <w:szCs w:val="22"/>
        </w:rPr>
      </w:pPr>
      <w:r w:rsidRPr="00D6101E">
        <w:rPr>
          <w:rFonts w:ascii="Sylfaen" w:hAnsi="Sylfaen"/>
          <w:i/>
          <w:iCs/>
          <w:sz w:val="22"/>
          <w:szCs w:val="22"/>
        </w:rPr>
        <w:t>The material put before the tribunal did not disclose a sufficient evidential basis for giving country or other guidance upon what, reliably, can be expected in terms of the reception in Iran for those returning otherwise than with a “regular” passport in relation to whom interest may be excited from the authorities into internet activity as might be revealed by an examination of blogging activity or a Facebook account. However, this determination is reported so that the evidence considered by the Upper Tribunal is available in the public domain.</w:t>
      </w:r>
    </w:p>
    <w:p w14:paraId="1070F82E" w14:textId="77777777" w:rsidR="004335C5" w:rsidRDefault="008E66FE"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 most that could be said about </w:t>
      </w:r>
      <w:r>
        <w:rPr>
          <w:rFonts w:ascii="Sylfaen" w:hAnsi="Sylfaen" w:cs="Arial"/>
          <w:i/>
        </w:rPr>
        <w:t xml:space="preserve">AB </w:t>
      </w:r>
      <w:r>
        <w:rPr>
          <w:rFonts w:ascii="Sylfaen" w:hAnsi="Sylfaen" w:cs="Arial"/>
        </w:rPr>
        <w:t xml:space="preserve"> is that, if referred to it, as I am prepared to accept was the case here, judges are required to deal with it as a matter of evidence, though not to follow the country guidance it does not contain. On this point, the relevant parts are these</w:t>
      </w:r>
      <w:r w:rsidR="003D6C6F">
        <w:rPr>
          <w:rFonts w:ascii="Sylfaen" w:hAnsi="Sylfaen" w:cs="Arial"/>
        </w:rPr>
        <w:t>, and they are worth setting out in full</w:t>
      </w:r>
      <w:r>
        <w:rPr>
          <w:rFonts w:ascii="Sylfaen" w:hAnsi="Sylfaen" w:cs="Arial"/>
        </w:rPr>
        <w:t>:</w:t>
      </w:r>
    </w:p>
    <w:p w14:paraId="58EDB7C1" w14:textId="417CCE30" w:rsidR="003D6C6F" w:rsidRDefault="008E66FE" w:rsidP="00D6101E">
      <w:pPr>
        <w:autoSpaceDE w:val="0"/>
        <w:autoSpaceDN w:val="0"/>
        <w:adjustRightInd w:val="0"/>
        <w:spacing w:before="120" w:after="120"/>
        <w:ind w:left="1701" w:right="567" w:hanging="567"/>
        <w:jc w:val="both"/>
        <w:rPr>
          <w:rFonts w:ascii="Sylfaen" w:hAnsi="Sylfaen"/>
          <w:sz w:val="22"/>
          <w:szCs w:val="22"/>
        </w:rPr>
      </w:pPr>
      <w:r w:rsidRPr="008E66FE">
        <w:rPr>
          <w:rFonts w:ascii="Sylfaen" w:hAnsi="Sylfaen" w:cs="Century Schoolbook"/>
          <w:color w:val="000000"/>
          <w:sz w:val="22"/>
          <w:szCs w:val="22"/>
        </w:rPr>
        <w:t>467.</w:t>
      </w:r>
      <w:r w:rsidR="00D6101E">
        <w:rPr>
          <w:rFonts w:ascii="Sylfaen" w:hAnsi="Sylfaen" w:cs="Century Schoolbook"/>
          <w:color w:val="000000"/>
          <w:sz w:val="22"/>
          <w:szCs w:val="22"/>
        </w:rPr>
        <w:tab/>
      </w:r>
      <w:r w:rsidRPr="008E66FE">
        <w:rPr>
          <w:rFonts w:ascii="Sylfaen" w:hAnsi="Sylfaen" w:cs="Century Schoolbook"/>
          <w:color w:val="000000"/>
          <w:sz w:val="22"/>
          <w:szCs w:val="22"/>
        </w:rPr>
        <w:t xml:space="preserve">The mere fact of being in the United Kingdom for a prolonged period does not lead to persecution. However it may lead to scrutiny and there is clear evidence that some people are asked about their internet activity and particularly for their </w:t>
      </w:r>
      <w:r w:rsidRPr="008E66FE">
        <w:rPr>
          <w:rFonts w:ascii="Sylfaen" w:hAnsi="Sylfaen" w:cs="Century Schoolbook"/>
          <w:color w:val="000000"/>
          <w:sz w:val="22"/>
          <w:szCs w:val="22"/>
        </w:rPr>
        <w:lastRenderedPageBreak/>
        <w:t xml:space="preserve">Facebook password. The act of returning someone creates a “pinch point” so that </w:t>
      </w:r>
      <w:r w:rsidRPr="008E66FE">
        <w:rPr>
          <w:rFonts w:ascii="Sylfaen" w:hAnsi="Sylfaen"/>
          <w:sz w:val="22"/>
          <w:szCs w:val="22"/>
        </w:rPr>
        <w:t xml:space="preserve">a person is brought into direct contact with the authorities in </w:t>
      </w:r>
      <w:smartTag w:uri="urn:schemas-microsoft-com:office:smarttags" w:element="country-region">
        <w:smartTag w:uri="urn:schemas-microsoft-com:office:smarttags" w:element="place">
          <w:r w:rsidRPr="008E66FE">
            <w:rPr>
              <w:rFonts w:ascii="Sylfaen" w:hAnsi="Sylfaen"/>
              <w:sz w:val="22"/>
              <w:szCs w:val="22"/>
            </w:rPr>
            <w:t>Iran</w:t>
          </w:r>
        </w:smartTag>
      </w:smartTag>
      <w:r w:rsidRPr="008E66FE">
        <w:rPr>
          <w:rFonts w:ascii="Sylfaen" w:hAnsi="Sylfaen"/>
          <w:sz w:val="22"/>
          <w:szCs w:val="22"/>
        </w:rPr>
        <w:t xml:space="preserve"> who have both the time and inclination to interrogate them. We think it likely that they will be asked about their internet activity and likely if they have any internet activity for that to be exposed and if it is less than flattering of the government to lead to at the very least a real risk of persecution. </w:t>
      </w:r>
    </w:p>
    <w:p w14:paraId="32AF460C" w14:textId="59991262" w:rsidR="003D6C6F" w:rsidRPr="003D6C6F" w:rsidRDefault="008E66FE" w:rsidP="00D6101E">
      <w:pPr>
        <w:autoSpaceDE w:val="0"/>
        <w:autoSpaceDN w:val="0"/>
        <w:adjustRightInd w:val="0"/>
        <w:spacing w:before="120" w:after="120"/>
        <w:ind w:left="1701" w:right="567" w:hanging="567"/>
        <w:jc w:val="both"/>
        <w:rPr>
          <w:rFonts w:ascii="Sylfaen" w:hAnsi="Sylfaen"/>
          <w:sz w:val="22"/>
          <w:szCs w:val="22"/>
        </w:rPr>
      </w:pPr>
      <w:r w:rsidRPr="003D6C6F">
        <w:rPr>
          <w:rFonts w:ascii="Sylfaen" w:hAnsi="Sylfaen"/>
          <w:sz w:val="22"/>
          <w:szCs w:val="22"/>
        </w:rPr>
        <w:t>468.</w:t>
      </w:r>
      <w:r w:rsidR="003D6C6F">
        <w:rPr>
          <w:rFonts w:ascii="Sylfaen" w:hAnsi="Sylfaen"/>
          <w:sz w:val="22"/>
          <w:szCs w:val="22"/>
        </w:rPr>
        <w:tab/>
      </w:r>
      <w:r w:rsidRPr="003D6C6F">
        <w:rPr>
          <w:rFonts w:ascii="Sylfaen" w:hAnsi="Sylfaen"/>
          <w:sz w:val="22"/>
          <w:szCs w:val="22"/>
        </w:rPr>
        <w:t xml:space="preserve">Social and other internet-based media is used widely through Iran by a very high percentage of the population and activities such as blogging may be perceived as criticisms of the state which is very aware of the power of the internet. The Iranian authorities in their various guises both regulate and police the internet, closing down or marking internet sites although this does not appear to be linked directly to persecution. </w:t>
      </w:r>
    </w:p>
    <w:p w14:paraId="091F1986" w14:textId="43D001B6" w:rsidR="003D6C6F" w:rsidRPr="003D6C6F" w:rsidRDefault="008E66FE" w:rsidP="00D6101E">
      <w:pPr>
        <w:autoSpaceDE w:val="0"/>
        <w:autoSpaceDN w:val="0"/>
        <w:adjustRightInd w:val="0"/>
        <w:spacing w:before="120" w:after="120"/>
        <w:ind w:left="1701" w:right="567" w:hanging="567"/>
        <w:jc w:val="both"/>
        <w:rPr>
          <w:rFonts w:ascii="Sylfaen" w:hAnsi="Sylfaen"/>
          <w:sz w:val="22"/>
          <w:szCs w:val="22"/>
        </w:rPr>
      </w:pPr>
      <w:r w:rsidRPr="003D6C6F">
        <w:rPr>
          <w:rFonts w:ascii="Sylfaen" w:hAnsi="Sylfaen"/>
          <w:sz w:val="22"/>
          <w:szCs w:val="22"/>
        </w:rPr>
        <w:t>469.</w:t>
      </w:r>
      <w:r w:rsidR="003D6C6F">
        <w:rPr>
          <w:rFonts w:ascii="Sylfaen" w:hAnsi="Sylfaen"/>
          <w:sz w:val="22"/>
          <w:szCs w:val="22"/>
        </w:rPr>
        <w:tab/>
      </w:r>
      <w:r w:rsidRPr="003D6C6F">
        <w:rPr>
          <w:rFonts w:ascii="Sylfaen" w:hAnsi="Sylfaen"/>
          <w:sz w:val="22"/>
          <w:szCs w:val="22"/>
        </w:rPr>
        <w:t xml:space="preserve">The capability to monitor outside Iran is not very different from the capability to monitor inside Iran. The Iranian authorities clearly have the capacity to restrict access to social internet-based media. Overall it is very difficult to make any sensible findings about anything that converts a technical possibility of something being discovered into a real risk of it being discovered. </w:t>
      </w:r>
    </w:p>
    <w:p w14:paraId="0922D105" w14:textId="4B7338FB" w:rsidR="008E66FE" w:rsidRPr="003D6C6F" w:rsidRDefault="008E66FE" w:rsidP="00D6101E">
      <w:pPr>
        <w:autoSpaceDE w:val="0"/>
        <w:autoSpaceDN w:val="0"/>
        <w:adjustRightInd w:val="0"/>
        <w:spacing w:before="120" w:after="120"/>
        <w:ind w:left="1701" w:right="567" w:hanging="567"/>
        <w:jc w:val="both"/>
        <w:rPr>
          <w:rFonts w:ascii="Sylfaen" w:hAnsi="Sylfaen"/>
          <w:sz w:val="22"/>
          <w:szCs w:val="22"/>
        </w:rPr>
      </w:pPr>
      <w:r w:rsidRPr="003D6C6F">
        <w:rPr>
          <w:rFonts w:ascii="Sylfaen" w:hAnsi="Sylfaen"/>
          <w:sz w:val="22"/>
          <w:szCs w:val="22"/>
        </w:rPr>
        <w:t>470.</w:t>
      </w:r>
      <w:r w:rsidR="003D6C6F">
        <w:rPr>
          <w:rFonts w:ascii="Sylfaen" w:hAnsi="Sylfaen"/>
          <w:sz w:val="22"/>
          <w:szCs w:val="22"/>
        </w:rPr>
        <w:tab/>
      </w:r>
      <w:r w:rsidRPr="003D6C6F">
        <w:rPr>
          <w:rFonts w:ascii="Sylfaen" w:hAnsi="Sylfaen"/>
          <w:sz w:val="22"/>
          <w:szCs w:val="22"/>
        </w:rPr>
        <w:t xml:space="preserve">The main concern is the pinch point of return. A person who was returning to Iran after a reasonably short period of time on an ordinary passport having left Iran illegally would almost certainly not attract any particular attention at all and for the small number of people who would be returning on an ordinary passport having left lawfully we do not think that there would be any risk to them at all. </w:t>
      </w:r>
    </w:p>
    <w:p w14:paraId="17B96E28" w14:textId="77777777" w:rsidR="008E66FE" w:rsidRPr="003D6C6F" w:rsidRDefault="003D6C6F" w:rsidP="00BD3A9C">
      <w:pPr>
        <w:numPr>
          <w:ilvl w:val="0"/>
          <w:numId w:val="1"/>
        </w:numPr>
        <w:tabs>
          <w:tab w:val="clear" w:pos="757"/>
        </w:tabs>
        <w:spacing w:after="120"/>
        <w:ind w:left="540" w:hanging="540"/>
        <w:jc w:val="both"/>
        <w:rPr>
          <w:rFonts w:ascii="Sylfaen" w:hAnsi="Sylfaen" w:cs="Arial"/>
        </w:rPr>
      </w:pPr>
      <w:r>
        <w:rPr>
          <w:rFonts w:ascii="Sylfaen" w:hAnsi="Sylfaen" w:cs="Arial"/>
        </w:rPr>
        <w:t>The result, in short, is that it is impossible to say that there is a real risk of social media activity by a teenager, or anyone else, putting him at risk on return to Iran, unless he is exposed by illegal departure to heightened scrutiny at the ‘</w:t>
      </w:r>
      <w:r w:rsidRPr="003D6C6F">
        <w:rPr>
          <w:rFonts w:ascii="Sylfaen" w:hAnsi="Sylfaen"/>
        </w:rPr>
        <w:t>pinch point of return</w:t>
      </w:r>
      <w:r>
        <w:rPr>
          <w:rFonts w:ascii="Sylfaen" w:hAnsi="Sylfaen"/>
        </w:rPr>
        <w:t xml:space="preserve">’. In other words, ground 1 must depend on ground 3, and that in turn on ground 2: see </w:t>
      </w:r>
      <w:r>
        <w:rPr>
          <w:rFonts w:ascii="Sylfaen" w:hAnsi="Sylfaen"/>
          <w:b/>
        </w:rPr>
        <w:t>4</w:t>
      </w:r>
      <w:r>
        <w:rPr>
          <w:rFonts w:ascii="Sylfaen" w:hAnsi="Sylfaen"/>
        </w:rPr>
        <w:t>.</w:t>
      </w:r>
    </w:p>
    <w:p w14:paraId="3FC3B6FE" w14:textId="77777777" w:rsidR="003D6C6F" w:rsidRPr="00D91E39" w:rsidRDefault="003D6C6F" w:rsidP="00BD3A9C">
      <w:pPr>
        <w:numPr>
          <w:ilvl w:val="0"/>
          <w:numId w:val="1"/>
        </w:numPr>
        <w:tabs>
          <w:tab w:val="clear" w:pos="757"/>
        </w:tabs>
        <w:spacing w:after="120"/>
        <w:ind w:left="540" w:hanging="540"/>
        <w:jc w:val="both"/>
        <w:rPr>
          <w:rStyle w:val="Hyperlink"/>
          <w:rFonts w:ascii="Sylfaen" w:hAnsi="Sylfaen" w:cs="Arial"/>
          <w:color w:val="auto"/>
          <w:u w:val="none"/>
        </w:rPr>
      </w:pPr>
      <w:r>
        <w:rPr>
          <w:rFonts w:ascii="Sylfaen" w:hAnsi="Sylfaen"/>
        </w:rPr>
        <w:t xml:space="preserve">Coming finally to ground 2, there is, as </w:t>
      </w:r>
      <w:r w:rsidRPr="003D6C6F">
        <w:rPr>
          <w:rStyle w:val="Hyperlink"/>
          <w:rFonts w:ascii="Sylfaen" w:hAnsi="Sylfaen" w:cs="Arial"/>
          <w:color w:val="000000"/>
          <w:u w:val="none"/>
        </w:rPr>
        <w:t>Mr Jarvis</w:t>
      </w:r>
      <w:r>
        <w:rPr>
          <w:rStyle w:val="Hyperlink"/>
          <w:rFonts w:ascii="Sylfaen" w:hAnsi="Sylfaen" w:cs="Arial"/>
          <w:color w:val="000000"/>
          <w:u w:val="none"/>
        </w:rPr>
        <w:t xml:space="preserve"> pointed out, no basis for any suggestion that </w:t>
      </w:r>
      <w:r w:rsidRPr="003D6C6F">
        <w:rPr>
          <w:rStyle w:val="Hyperlink"/>
          <w:rFonts w:ascii="Sylfaen" w:hAnsi="Sylfaen" w:cs="Arial"/>
          <w:color w:val="000000"/>
          <w:u w:val="none"/>
        </w:rPr>
        <w:t>Professor Joffé</w:t>
      </w:r>
      <w:r>
        <w:rPr>
          <w:rStyle w:val="Hyperlink"/>
          <w:rFonts w:ascii="Sylfaen" w:hAnsi="Sylfaen" w:cs="Arial"/>
          <w:color w:val="000000"/>
          <w:u w:val="none"/>
        </w:rPr>
        <w:t xml:space="preserve">’s original 2014 general report on ‘Kurds in Iran’ could undermine the later (2016) country guidance in </w:t>
      </w:r>
      <w:hyperlink r:id="rId11" w:history="1">
        <w:r w:rsidRPr="003D6C6F">
          <w:rPr>
            <w:rStyle w:val="Hyperlink"/>
            <w:rFonts w:ascii="Sylfaen" w:hAnsi="Sylfaen" w:cs="Arial"/>
            <w:i/>
            <w:color w:val="000000"/>
            <w:u w:val="none"/>
          </w:rPr>
          <w:t>SSH and HR</w:t>
        </w:r>
      </w:hyperlink>
      <w:r>
        <w:rPr>
          <w:rStyle w:val="Hyperlink"/>
          <w:rFonts w:ascii="Sylfaen" w:hAnsi="Sylfaen" w:cs="Arial"/>
          <w:color w:val="000000"/>
          <w:u w:val="none"/>
        </w:rPr>
        <w:t xml:space="preserve">. That could only be founded on his </w:t>
      </w:r>
      <w:r w:rsidR="00D91E39">
        <w:rPr>
          <w:rStyle w:val="Hyperlink"/>
          <w:rFonts w:ascii="Sylfaen" w:hAnsi="Sylfaen" w:cs="Arial"/>
          <w:color w:val="000000"/>
          <w:u w:val="none"/>
        </w:rPr>
        <w:t xml:space="preserve">supplementary report on this appellant (26 August 2016). </w:t>
      </w:r>
    </w:p>
    <w:p w14:paraId="52500C88" w14:textId="77777777" w:rsidR="00D91E39" w:rsidRDefault="00D91E39" w:rsidP="00D91E39">
      <w:pPr>
        <w:numPr>
          <w:ilvl w:val="0"/>
          <w:numId w:val="1"/>
        </w:numPr>
        <w:tabs>
          <w:tab w:val="clear" w:pos="757"/>
        </w:tabs>
        <w:spacing w:after="120"/>
        <w:ind w:left="540" w:hanging="540"/>
        <w:jc w:val="both"/>
        <w:rPr>
          <w:rFonts w:ascii="Sylfaen" w:hAnsi="Sylfaen" w:cs="Arial"/>
        </w:rPr>
      </w:pPr>
      <w:r>
        <w:rPr>
          <w:rStyle w:val="Hyperlink"/>
          <w:rFonts w:ascii="Sylfaen" w:hAnsi="Sylfaen" w:cs="Arial"/>
          <w:color w:val="000000"/>
          <w:u w:val="none"/>
        </w:rPr>
        <w:t xml:space="preserve">Before turning to that report, it is worth citing another decision of the highest authority, to which </w:t>
      </w:r>
      <w:r w:rsidRPr="00D91E39">
        <w:rPr>
          <w:rStyle w:val="Hyperlink"/>
          <w:rFonts w:ascii="Sylfaen" w:hAnsi="Sylfaen" w:cs="Arial"/>
          <w:color w:val="000000"/>
          <w:u w:val="none"/>
        </w:rPr>
        <w:t>Mr Jarvis</w:t>
      </w:r>
      <w:r>
        <w:rPr>
          <w:rStyle w:val="Hyperlink"/>
          <w:rFonts w:ascii="Sylfaen" w:hAnsi="Sylfaen" w:cs="Arial"/>
          <w:color w:val="000000"/>
          <w:u w:val="none"/>
        </w:rPr>
        <w:t xml:space="preserve"> referred me. While, as the title makes clear, it is not specifically about </w:t>
      </w:r>
      <w:smartTag w:uri="urn:schemas-microsoft-com:office:smarttags" w:element="country-region">
        <w:smartTag w:uri="urn:schemas-microsoft-com:office:smarttags" w:element="place">
          <w:r>
            <w:rPr>
              <w:rStyle w:val="Hyperlink"/>
              <w:rFonts w:ascii="Sylfaen" w:hAnsi="Sylfaen" w:cs="Arial"/>
              <w:color w:val="000000"/>
              <w:u w:val="none"/>
            </w:rPr>
            <w:t>Iran</w:t>
          </w:r>
        </w:smartTag>
      </w:smartTag>
      <w:r>
        <w:rPr>
          <w:rStyle w:val="Hyperlink"/>
          <w:rFonts w:ascii="Sylfaen" w:hAnsi="Sylfaen" w:cs="Arial"/>
          <w:color w:val="000000"/>
          <w:u w:val="none"/>
        </w:rPr>
        <w:t xml:space="preserve">, it is, contrary to what </w:t>
      </w:r>
      <w:r w:rsidRPr="00D91E39">
        <w:rPr>
          <w:rStyle w:val="Hyperlink"/>
          <w:rFonts w:ascii="Sylfaen" w:hAnsi="Sylfaen" w:cs="Arial"/>
          <w:color w:val="000000"/>
          <w:u w:val="none"/>
        </w:rPr>
        <w:t>Mr Dakora</w:t>
      </w:r>
      <w:r>
        <w:rPr>
          <w:rStyle w:val="Hyperlink"/>
          <w:rFonts w:ascii="Sylfaen" w:hAnsi="Sylfaen" w:cs="Arial"/>
          <w:color w:val="000000"/>
          <w:u w:val="none"/>
        </w:rPr>
        <w:t xml:space="preserve"> argued, not to be treated as a decision on its own facts, but as providing useful general guidance on all illegal departure cases. It is </w:t>
      </w:r>
      <w:hyperlink r:id="rId12" w:history="1">
        <w:r w:rsidRPr="00D91E39">
          <w:rPr>
            <w:rStyle w:val="Hyperlink"/>
            <w:rFonts w:ascii="Sylfaen" w:hAnsi="Sylfaen"/>
            <w:i/>
            <w:color w:val="000000"/>
            <w:u w:val="none"/>
          </w:rPr>
          <w:t>MA (Somalia)</w:t>
        </w:r>
        <w:r w:rsidRPr="00D91E39">
          <w:rPr>
            <w:rStyle w:val="Hyperlink"/>
            <w:rFonts w:ascii="Sylfaen" w:hAnsi="Sylfaen"/>
            <w:color w:val="000000"/>
            <w:u w:val="none"/>
          </w:rPr>
          <w:t xml:space="preserve"> [2010] UKSC 49</w:t>
        </w:r>
      </w:hyperlink>
      <w:r>
        <w:rPr>
          <w:rFonts w:ascii="Sylfaen" w:hAnsi="Sylfaen" w:cs="Arial"/>
        </w:rPr>
        <w:t>, and the relevant part is this:</w:t>
      </w:r>
      <w:r w:rsidR="00177468">
        <w:rPr>
          <w:rFonts w:ascii="Sylfaen" w:hAnsi="Sylfaen" w:cs="Arial"/>
        </w:rPr>
        <w:t xml:space="preserve"> once again a substantial citation is required, including the Supreme Court’s review of the Court of Appeal’s reasons </w:t>
      </w:r>
    </w:p>
    <w:p w14:paraId="63FDAA93" w14:textId="40C4E8DD" w:rsidR="00177468" w:rsidRPr="00177468" w:rsidRDefault="00177468" w:rsidP="00D6101E">
      <w:pPr>
        <w:numPr>
          <w:ilvl w:val="0"/>
          <w:numId w:val="4"/>
        </w:numPr>
        <w:tabs>
          <w:tab w:val="clear" w:pos="720"/>
        </w:tabs>
        <w:spacing w:before="120" w:after="120"/>
        <w:ind w:left="1701" w:right="567" w:hanging="567"/>
        <w:jc w:val="both"/>
        <w:rPr>
          <w:rFonts w:ascii="Sylfaen" w:hAnsi="Sylfaen" w:cs="Arial"/>
          <w:sz w:val="22"/>
          <w:szCs w:val="22"/>
        </w:rPr>
      </w:pPr>
      <w:bookmarkStart w:id="4" w:name="para28"/>
      <w:r w:rsidRPr="00177468">
        <w:rPr>
          <w:rFonts w:ascii="Sylfaen" w:hAnsi="Sylfaen" w:cs="Arial"/>
          <w:sz w:val="22"/>
          <w:szCs w:val="22"/>
        </w:rPr>
        <w:t xml:space="preserve">Dyson LJ agreed that MY's appeal should be dismissed substantially for the reasons given by Laws LJ. At para 61, he said: </w:t>
      </w:r>
      <w:bookmarkEnd w:id="4"/>
    </w:p>
    <w:p w14:paraId="1585BC32" w14:textId="440F412D" w:rsidR="00177468" w:rsidRPr="00177468" w:rsidRDefault="00177468" w:rsidP="00D6101E">
      <w:pPr>
        <w:spacing w:before="120" w:after="120"/>
        <w:ind w:left="2268" w:right="1133"/>
        <w:jc w:val="both"/>
        <w:rPr>
          <w:rFonts w:ascii="Sylfaen" w:hAnsi="Sylfaen" w:cs="Arial"/>
          <w:sz w:val="22"/>
          <w:szCs w:val="22"/>
        </w:rPr>
      </w:pPr>
      <w:r w:rsidRPr="00177468">
        <w:rPr>
          <w:rFonts w:ascii="Sylfaen" w:hAnsi="Sylfaen" w:cs="Arial"/>
          <w:sz w:val="22"/>
          <w:szCs w:val="22"/>
        </w:rPr>
        <w:t xml:space="preserve">"Unless it can safely be said that exit by </w:t>
      </w:r>
      <w:r w:rsidRPr="00177468">
        <w:rPr>
          <w:rFonts w:ascii="Sylfaen" w:hAnsi="Sylfaen" w:cs="Arial"/>
          <w:i/>
          <w:iCs/>
          <w:sz w:val="22"/>
          <w:szCs w:val="22"/>
        </w:rPr>
        <w:t xml:space="preserve">any </w:t>
      </w:r>
      <w:r w:rsidRPr="00177468">
        <w:rPr>
          <w:rFonts w:ascii="Sylfaen" w:hAnsi="Sylfaen" w:cs="Arial"/>
          <w:sz w:val="22"/>
          <w:szCs w:val="22"/>
        </w:rPr>
        <w:t xml:space="preserve">17 year old girl is illegal, whether it is reasonably likely that the exit by an individual 17 year old girl was illegal will depend on the facts of her particular case. Her failure to give a credible account of those facts </w:t>
      </w:r>
      <w:r w:rsidR="00C9337C">
        <w:rPr>
          <w:rFonts w:ascii="Sylfaen" w:hAnsi="Sylfaen" w:cs="Arial"/>
          <w:sz w:val="22"/>
          <w:szCs w:val="22"/>
        </w:rPr>
        <w:t>may</w:t>
      </w:r>
      <w:r w:rsidRPr="00177468">
        <w:rPr>
          <w:rFonts w:ascii="Sylfaen" w:hAnsi="Sylfaen" w:cs="Arial"/>
          <w:sz w:val="22"/>
          <w:szCs w:val="22"/>
        </w:rPr>
        <w:t xml:space="preserve"> lead to the </w:t>
      </w:r>
      <w:r w:rsidRPr="00177468">
        <w:rPr>
          <w:rFonts w:ascii="Sylfaen" w:hAnsi="Sylfaen" w:cs="Arial"/>
          <w:sz w:val="22"/>
          <w:szCs w:val="22"/>
        </w:rPr>
        <w:lastRenderedPageBreak/>
        <w:t>conclusion that she has not shown that there is a reasonable likelihood that her exit was illegal. "</w:t>
      </w:r>
    </w:p>
    <w:p w14:paraId="46918821" w14:textId="4063FE28" w:rsidR="00177468" w:rsidRPr="00177468" w:rsidRDefault="00177468" w:rsidP="00D6101E">
      <w:pPr>
        <w:numPr>
          <w:ilvl w:val="0"/>
          <w:numId w:val="5"/>
        </w:numPr>
        <w:tabs>
          <w:tab w:val="clear" w:pos="720"/>
        </w:tabs>
        <w:spacing w:before="120" w:after="120"/>
        <w:ind w:left="1701" w:right="567" w:hanging="567"/>
        <w:jc w:val="both"/>
        <w:rPr>
          <w:rFonts w:ascii="Sylfaen" w:hAnsi="Sylfaen" w:cs="Arial"/>
          <w:sz w:val="22"/>
          <w:szCs w:val="22"/>
        </w:rPr>
      </w:pPr>
      <w:bookmarkStart w:id="5" w:name="para29"/>
      <w:r>
        <w:rPr>
          <w:rFonts w:ascii="Sylfaen" w:hAnsi="Sylfaen" w:cs="Arial"/>
          <w:sz w:val="22"/>
          <w:szCs w:val="22"/>
        </w:rPr>
        <w:tab/>
      </w:r>
      <w:r w:rsidRPr="00177468">
        <w:rPr>
          <w:rFonts w:ascii="Sylfaen" w:hAnsi="Sylfaen" w:cs="Arial"/>
          <w:sz w:val="22"/>
          <w:szCs w:val="22"/>
        </w:rPr>
        <w:t xml:space="preserve">Like Laws LJ, he concluded on the basis of the general evidence that "it was entirely possible that MY left Eritrea legally" (para 64). </w:t>
      </w:r>
      <w:bookmarkEnd w:id="5"/>
    </w:p>
    <w:p w14:paraId="58203C25" w14:textId="2B5291EE" w:rsidR="00177468" w:rsidRPr="00177468" w:rsidRDefault="00177468" w:rsidP="00D6101E">
      <w:pPr>
        <w:numPr>
          <w:ilvl w:val="0"/>
          <w:numId w:val="6"/>
        </w:numPr>
        <w:tabs>
          <w:tab w:val="clear" w:pos="720"/>
        </w:tabs>
        <w:spacing w:before="120" w:after="120"/>
        <w:ind w:left="1701" w:right="567" w:hanging="567"/>
        <w:jc w:val="both"/>
        <w:rPr>
          <w:rFonts w:ascii="Sylfaen" w:hAnsi="Sylfaen" w:cs="Arial"/>
          <w:sz w:val="22"/>
          <w:szCs w:val="22"/>
        </w:rPr>
      </w:pPr>
      <w:bookmarkStart w:id="6" w:name="para30"/>
      <w:r>
        <w:rPr>
          <w:rFonts w:ascii="Sylfaen" w:hAnsi="Sylfaen" w:cs="Arial"/>
          <w:sz w:val="22"/>
          <w:szCs w:val="22"/>
        </w:rPr>
        <w:tab/>
      </w:r>
      <w:r w:rsidRPr="00177468">
        <w:rPr>
          <w:rFonts w:ascii="Sylfaen" w:hAnsi="Sylfaen" w:cs="Arial"/>
          <w:sz w:val="22"/>
          <w:szCs w:val="22"/>
        </w:rPr>
        <w:t>The appeal to this court has been conducted on the basis that the approach adopted by Laws and Dyson LJJ is substantially correct. But Mr Drabble questioned para 54 of Laws LJ's judgment. We think that what Laws LJ had in mind was a case where (i) the claimant's account is rejected as wholly incredible (it is riddled with contradictions and the tribunal is left in a state of being unable to believe anything that the claimant has said); but (ii) there is undisputed objective evidence about conditions in the relevant country which goes a long way to</w:t>
      </w:r>
      <w:bookmarkEnd w:id="6"/>
      <w:r>
        <w:rPr>
          <w:rFonts w:ascii="Sylfaen" w:hAnsi="Sylfaen" w:cs="Arial"/>
          <w:sz w:val="22"/>
          <w:szCs w:val="22"/>
        </w:rPr>
        <w:t xml:space="preserve"> making</w:t>
      </w:r>
      <w:r w:rsidRPr="00177468">
        <w:rPr>
          <w:rFonts w:ascii="Sylfaen" w:hAnsi="Sylfaen" w:cs="Arial"/>
          <w:sz w:val="22"/>
          <w:szCs w:val="22"/>
        </w:rPr>
        <w:t xml:space="preserve"> good the shortcomings in the claimant's own evidence. In </w:t>
      </w:r>
      <w:r w:rsidRPr="00177468">
        <w:rPr>
          <w:rFonts w:ascii="Sylfaen" w:hAnsi="Sylfaen" w:cs="Arial"/>
          <w:i/>
          <w:iCs/>
          <w:sz w:val="22"/>
          <w:szCs w:val="22"/>
        </w:rPr>
        <w:t>GM (</w:t>
      </w:r>
      <w:smartTag w:uri="urn:schemas-microsoft-com:office:smarttags" w:element="country-region">
        <w:smartTag w:uri="urn:schemas-microsoft-com:office:smarttags" w:element="place">
          <w:r w:rsidRPr="00177468">
            <w:rPr>
              <w:rFonts w:ascii="Sylfaen" w:hAnsi="Sylfaen" w:cs="Arial"/>
              <w:i/>
              <w:iCs/>
              <w:sz w:val="22"/>
              <w:szCs w:val="22"/>
            </w:rPr>
            <w:t>Eritrea</w:t>
          </w:r>
        </w:smartTag>
      </w:smartTag>
      <w:r w:rsidRPr="00177468">
        <w:rPr>
          <w:rFonts w:ascii="Sylfaen" w:hAnsi="Sylfaen" w:cs="Arial"/>
          <w:i/>
          <w:iCs/>
          <w:sz w:val="22"/>
          <w:szCs w:val="22"/>
        </w:rPr>
        <w:t xml:space="preserve">), </w:t>
      </w:r>
      <w:r w:rsidRPr="00177468">
        <w:rPr>
          <w:rFonts w:ascii="Sylfaen" w:hAnsi="Sylfaen" w:cs="Arial"/>
          <w:sz w:val="22"/>
          <w:szCs w:val="22"/>
        </w:rPr>
        <w:t xml:space="preserve">for example, the AIT did not believe the account given to them by MY as to how she had left the country. They could not, therefore, rely on her account as a basis for concluding that she had left the country illegally. But if there had been objective evidence that </w:t>
      </w:r>
      <w:r w:rsidRPr="00177468">
        <w:rPr>
          <w:rFonts w:ascii="Sylfaen" w:hAnsi="Sylfaen" w:cs="Arial"/>
          <w:i/>
          <w:iCs/>
          <w:sz w:val="22"/>
          <w:szCs w:val="22"/>
        </w:rPr>
        <w:t>no</w:t>
      </w:r>
      <w:r w:rsidRPr="00177468">
        <w:rPr>
          <w:rFonts w:ascii="Sylfaen" w:hAnsi="Sylfaen" w:cs="Arial"/>
          <w:sz w:val="22"/>
          <w:szCs w:val="22"/>
        </w:rPr>
        <w:t xml:space="preserve"> 17 year old girls were allowed to leave the country, her appeal would surely have succeeded despite her dishonest evidence. In fact, the objective evidence did not go nearly that far and the appeal was dismissed. </w:t>
      </w:r>
    </w:p>
    <w:p w14:paraId="67B02F55" w14:textId="5828ADA5" w:rsidR="00177468" w:rsidRPr="00177468" w:rsidRDefault="00177468" w:rsidP="00D6101E">
      <w:pPr>
        <w:numPr>
          <w:ilvl w:val="0"/>
          <w:numId w:val="7"/>
        </w:numPr>
        <w:tabs>
          <w:tab w:val="clear" w:pos="720"/>
        </w:tabs>
        <w:spacing w:before="120" w:after="120"/>
        <w:ind w:left="1701" w:right="567" w:hanging="567"/>
        <w:jc w:val="both"/>
        <w:rPr>
          <w:rFonts w:ascii="Sylfaen" w:hAnsi="Sylfaen" w:cs="Arial"/>
          <w:sz w:val="22"/>
          <w:szCs w:val="22"/>
        </w:rPr>
      </w:pPr>
      <w:bookmarkStart w:id="7" w:name="para31"/>
      <w:r>
        <w:rPr>
          <w:rFonts w:ascii="Sylfaen" w:hAnsi="Sylfaen" w:cs="Arial"/>
          <w:sz w:val="22"/>
          <w:szCs w:val="22"/>
        </w:rPr>
        <w:tab/>
      </w:r>
      <w:r w:rsidRPr="00177468">
        <w:rPr>
          <w:rFonts w:ascii="Sylfaen" w:hAnsi="Sylfaen" w:cs="Arial"/>
          <w:sz w:val="22"/>
          <w:szCs w:val="22"/>
        </w:rPr>
        <w:t>What Laws LJ was saying at para 54 was that, where a claimant tells lies on a central issue, his or her case will not be saved by general evidence unless that evidence is extremely strong. It is only evidence of that kind which will be sufficient to counteract the negative pull of the lie. But much depends on the bearing that the lie has on the case.</w:t>
      </w:r>
      <w:bookmarkEnd w:id="7"/>
      <w:r w:rsidR="00C9337C">
        <w:rPr>
          <w:rFonts w:ascii="Sylfaen" w:hAnsi="Sylfaen" w:cs="Arial"/>
          <w:sz w:val="22"/>
          <w:szCs w:val="22"/>
        </w:rPr>
        <w:t xml:space="preserve"> …</w:t>
      </w:r>
    </w:p>
    <w:p w14:paraId="6D14AC30" w14:textId="77777777" w:rsidR="005E31F6" w:rsidRDefault="00C9337C" w:rsidP="00D91E39">
      <w:pPr>
        <w:numPr>
          <w:ilvl w:val="0"/>
          <w:numId w:val="1"/>
        </w:numPr>
        <w:tabs>
          <w:tab w:val="clear" w:pos="757"/>
        </w:tabs>
        <w:spacing w:after="120"/>
        <w:ind w:left="540" w:hanging="540"/>
        <w:jc w:val="both"/>
        <w:rPr>
          <w:rFonts w:ascii="Sylfaen" w:hAnsi="Sylfaen" w:cs="Arial"/>
        </w:rPr>
      </w:pPr>
      <w:r>
        <w:rPr>
          <w:rFonts w:ascii="Sylfaen" w:hAnsi="Sylfaen" w:cs="Arial"/>
        </w:rPr>
        <w:t xml:space="preserve">The result is that, unless </w:t>
      </w:r>
      <w:r w:rsidRPr="00C9337C">
        <w:rPr>
          <w:rFonts w:ascii="Sylfaen" w:hAnsi="Sylfaen" w:cs="Arial"/>
        </w:rPr>
        <w:t>Professor Joffé</w:t>
      </w:r>
      <w:r>
        <w:rPr>
          <w:rFonts w:ascii="Sylfaen" w:hAnsi="Sylfaen" w:cs="Arial"/>
        </w:rPr>
        <w:t xml:space="preserve">’s evidence shows that no young Kurdish man could have left </w:t>
      </w:r>
      <w:smartTag w:uri="urn:schemas-microsoft-com:office:smarttags" w:element="place">
        <w:smartTag w:uri="urn:schemas-microsoft-com:office:smarttags" w:element="country-region">
          <w:r>
            <w:rPr>
              <w:rFonts w:ascii="Sylfaen" w:hAnsi="Sylfaen" w:cs="Arial"/>
            </w:rPr>
            <w:t>Iran</w:t>
          </w:r>
        </w:smartTag>
      </w:smartTag>
      <w:r>
        <w:rPr>
          <w:rFonts w:ascii="Sylfaen" w:hAnsi="Sylfaen" w:cs="Arial"/>
        </w:rPr>
        <w:t xml:space="preserve"> legally, the judge must </w:t>
      </w:r>
      <w:r w:rsidR="00FB6A7F">
        <w:rPr>
          <w:rFonts w:ascii="Sylfaen" w:hAnsi="Sylfaen" w:cs="Arial"/>
        </w:rPr>
        <w:t xml:space="preserve">have </w:t>
      </w:r>
      <w:r>
        <w:rPr>
          <w:rFonts w:ascii="Sylfaen" w:hAnsi="Sylfaen" w:cs="Arial"/>
        </w:rPr>
        <w:t>be</w:t>
      </w:r>
      <w:r w:rsidR="00FB6A7F">
        <w:rPr>
          <w:rFonts w:ascii="Sylfaen" w:hAnsi="Sylfaen" w:cs="Arial"/>
        </w:rPr>
        <w:t>en</w:t>
      </w:r>
      <w:r>
        <w:rPr>
          <w:rFonts w:ascii="Sylfaen" w:hAnsi="Sylfaen" w:cs="Arial"/>
        </w:rPr>
        <w:t xml:space="preserve"> entitled to rely on his reasons for rejecting the appellant’s individual history in order to reject his case on that point too. </w:t>
      </w:r>
      <w:r w:rsidR="005E31F6">
        <w:rPr>
          <w:rFonts w:ascii="Sylfaen" w:hAnsi="Sylfaen" w:cs="Arial"/>
        </w:rPr>
        <w:t xml:space="preserve">The general evidence on illegal exit by Kurds to which </w:t>
      </w:r>
      <w:r w:rsidR="005E31F6" w:rsidRPr="005E31F6">
        <w:rPr>
          <w:rFonts w:ascii="Sylfaen" w:hAnsi="Sylfaen" w:cs="Arial"/>
        </w:rPr>
        <w:t>Mr Dakora</w:t>
      </w:r>
      <w:r w:rsidR="005E31F6">
        <w:rPr>
          <w:rFonts w:ascii="Sylfaen" w:hAnsi="Sylfaen" w:cs="Arial"/>
        </w:rPr>
        <w:t xml:space="preserve"> referred me comes from a Danish report (the joint work of the Danish Immigration Service and Danish Refugee Council). At (7) it refers to comments made to the reporters by a mayor from the border zone about the difficulties for Kurds in getting a passport, or in crossing the border legally even with one, and to the ease of crossing by illegal paths, despite the perils of barbed wire, unexploded mines, or high mountains. However, even taken together, I do not consider that these things </w:t>
      </w:r>
      <w:r w:rsidR="007979F6">
        <w:rPr>
          <w:rFonts w:ascii="Sylfaen" w:hAnsi="Sylfaen" w:cs="Arial"/>
        </w:rPr>
        <w:t xml:space="preserve">could have </w:t>
      </w:r>
      <w:r w:rsidR="005E31F6">
        <w:rPr>
          <w:rFonts w:ascii="Sylfaen" w:hAnsi="Sylfaen" w:cs="Arial"/>
        </w:rPr>
        <w:t xml:space="preserve">amounted, in the words used in </w:t>
      </w:r>
      <w:r w:rsidR="005E31F6">
        <w:rPr>
          <w:rFonts w:ascii="Sylfaen" w:hAnsi="Sylfaen" w:cs="Arial"/>
          <w:i/>
        </w:rPr>
        <w:t>MA (</w:t>
      </w:r>
      <w:smartTag w:uri="urn:schemas-microsoft-com:office:smarttags" w:element="country-region">
        <w:r w:rsidR="005E31F6">
          <w:rPr>
            <w:rFonts w:ascii="Sylfaen" w:hAnsi="Sylfaen" w:cs="Arial"/>
            <w:i/>
          </w:rPr>
          <w:t>Somalia</w:t>
        </w:r>
      </w:smartTag>
      <w:r w:rsidR="005E31F6">
        <w:rPr>
          <w:rFonts w:ascii="Sylfaen" w:hAnsi="Sylfaen" w:cs="Arial"/>
          <w:i/>
        </w:rPr>
        <w:t xml:space="preserve">) </w:t>
      </w:r>
      <w:r w:rsidR="005E31F6">
        <w:rPr>
          <w:rFonts w:ascii="Sylfaen" w:hAnsi="Sylfaen" w:cs="Arial"/>
        </w:rPr>
        <w:t xml:space="preserve">to extremely strong evidence that no Kurd could have left </w:t>
      </w:r>
      <w:smartTag w:uri="urn:schemas-microsoft-com:office:smarttags" w:element="country-region">
        <w:smartTag w:uri="urn:schemas-microsoft-com:office:smarttags" w:element="place">
          <w:r w:rsidR="005E31F6">
            <w:rPr>
              <w:rFonts w:ascii="Sylfaen" w:hAnsi="Sylfaen" w:cs="Arial"/>
            </w:rPr>
            <w:t>Iran</w:t>
          </w:r>
        </w:smartTag>
      </w:smartTag>
      <w:r w:rsidR="005E31F6">
        <w:rPr>
          <w:rFonts w:ascii="Sylfaen" w:hAnsi="Sylfaen" w:cs="Arial"/>
        </w:rPr>
        <w:t xml:space="preserve"> legally.</w:t>
      </w:r>
    </w:p>
    <w:p w14:paraId="4D1EA53F" w14:textId="77777777" w:rsidR="00D91E39" w:rsidRPr="00C9337C" w:rsidRDefault="005E31F6" w:rsidP="00D91E39">
      <w:pPr>
        <w:numPr>
          <w:ilvl w:val="0"/>
          <w:numId w:val="1"/>
        </w:numPr>
        <w:tabs>
          <w:tab w:val="clear" w:pos="757"/>
        </w:tabs>
        <w:spacing w:after="120"/>
        <w:ind w:left="540" w:hanging="540"/>
        <w:jc w:val="both"/>
        <w:rPr>
          <w:rFonts w:ascii="Sylfaen" w:hAnsi="Sylfaen" w:cs="Arial"/>
        </w:rPr>
      </w:pPr>
      <w:r>
        <w:rPr>
          <w:rFonts w:ascii="Sylfaen" w:hAnsi="Sylfaen" w:cs="Arial"/>
        </w:rPr>
        <w:t xml:space="preserve"> </w:t>
      </w:r>
      <w:r w:rsidR="00C9337C">
        <w:rPr>
          <w:rFonts w:ascii="Sylfaen" w:hAnsi="Sylfaen" w:cs="Arial"/>
        </w:rPr>
        <w:t xml:space="preserve">As for </w:t>
      </w:r>
      <w:hyperlink r:id="rId13" w:history="1">
        <w:r w:rsidR="00C9337C" w:rsidRPr="00C9337C">
          <w:rPr>
            <w:rFonts w:ascii="Sylfaen" w:hAnsi="Sylfaen" w:cs="Arial"/>
            <w:i/>
            <w:color w:val="000000"/>
          </w:rPr>
          <w:t>SSH and HR</w:t>
        </w:r>
      </w:hyperlink>
      <w:r w:rsidR="00C9337C">
        <w:rPr>
          <w:rFonts w:ascii="Sylfaen" w:hAnsi="Sylfaen" w:cs="Arial"/>
          <w:color w:val="000000"/>
        </w:rPr>
        <w:t>, the country guidance there is very much to the contrary</w:t>
      </w:r>
      <w:r w:rsidR="007979F6">
        <w:rPr>
          <w:rFonts w:ascii="Sylfaen" w:hAnsi="Sylfaen" w:cs="Arial"/>
          <w:color w:val="000000"/>
        </w:rPr>
        <w:t xml:space="preserve"> of </w:t>
      </w:r>
      <w:r w:rsidR="007979F6" w:rsidRPr="007979F6">
        <w:rPr>
          <w:rFonts w:ascii="Sylfaen" w:hAnsi="Sylfaen" w:cs="Arial"/>
          <w:color w:val="000000"/>
        </w:rPr>
        <w:t>Mr Dakora</w:t>
      </w:r>
      <w:r w:rsidR="007979F6">
        <w:rPr>
          <w:rFonts w:ascii="Sylfaen" w:hAnsi="Sylfaen" w:cs="Arial"/>
          <w:color w:val="000000"/>
        </w:rPr>
        <w:t>’s submissions</w:t>
      </w:r>
      <w:r w:rsidR="00C9337C">
        <w:rPr>
          <w:rFonts w:ascii="Sylfaen" w:hAnsi="Sylfaen" w:cs="Arial"/>
          <w:color w:val="000000"/>
        </w:rPr>
        <w:t>:</w:t>
      </w:r>
    </w:p>
    <w:p w14:paraId="2BB64CD0" w14:textId="5BD1F60D" w:rsidR="00C9337C" w:rsidRPr="00C9337C" w:rsidRDefault="00D6101E" w:rsidP="00D6101E">
      <w:pPr>
        <w:spacing w:before="120" w:after="120"/>
        <w:ind w:left="1701" w:right="567" w:hanging="567"/>
        <w:jc w:val="both"/>
        <w:rPr>
          <w:rFonts w:ascii="Sylfaen" w:hAnsi="Sylfaen"/>
          <w:sz w:val="22"/>
          <w:szCs w:val="22"/>
        </w:rPr>
      </w:pPr>
      <w:r>
        <w:rPr>
          <w:rFonts w:ascii="Sylfaen" w:hAnsi="Sylfaen"/>
          <w:i/>
          <w:iCs/>
          <w:sz w:val="22"/>
          <w:szCs w:val="22"/>
        </w:rPr>
        <w:t>(a)</w:t>
      </w:r>
      <w:r w:rsidR="00C9337C" w:rsidRPr="00C9337C">
        <w:rPr>
          <w:rFonts w:ascii="Sylfaen" w:hAnsi="Sylfaen"/>
          <w:i/>
          <w:iCs/>
          <w:sz w:val="22"/>
          <w:szCs w:val="22"/>
        </w:rPr>
        <w:tab/>
        <w:t>An Iranian male whom it is sought to return to Iran, who does not possess a passport, will be returnable on a laissez passer, which he can obtain from the Iranian Embassy on proof of identity and nationality.</w:t>
      </w:r>
    </w:p>
    <w:p w14:paraId="0BAD82C2" w14:textId="344DC533" w:rsidR="00C9337C" w:rsidRPr="00C9337C" w:rsidRDefault="00D6101E" w:rsidP="00D6101E">
      <w:pPr>
        <w:spacing w:before="120" w:after="120"/>
        <w:ind w:left="1701" w:right="567" w:hanging="567"/>
        <w:jc w:val="both"/>
        <w:rPr>
          <w:rFonts w:ascii="Sylfaen" w:hAnsi="Sylfaen"/>
          <w:sz w:val="22"/>
          <w:szCs w:val="22"/>
        </w:rPr>
      </w:pPr>
      <w:r>
        <w:rPr>
          <w:rFonts w:ascii="Sylfaen" w:hAnsi="Sylfaen"/>
          <w:i/>
          <w:iCs/>
          <w:sz w:val="22"/>
          <w:szCs w:val="22"/>
        </w:rPr>
        <w:t>(b)</w:t>
      </w:r>
      <w:r w:rsidR="00C9337C" w:rsidRPr="00C9337C">
        <w:rPr>
          <w:rFonts w:ascii="Sylfaen" w:hAnsi="Sylfaen"/>
          <w:i/>
          <w:iCs/>
          <w:sz w:val="22"/>
          <w:szCs w:val="22"/>
        </w:rPr>
        <w:tab/>
        <w:t xml:space="preserve">An Iranian male in respect of whom no adverse interest has previously been manifested by the Iranian State does not face a real risk of persecution/breach of his Article 3 rights on return to Iran on account of having left Iran illegally and/or being a failed asylum seeker. No such risk exists at the time of questioning on </w:t>
      </w:r>
      <w:r w:rsidR="00C9337C" w:rsidRPr="00C9337C">
        <w:rPr>
          <w:rFonts w:ascii="Sylfaen" w:hAnsi="Sylfaen"/>
          <w:i/>
          <w:iCs/>
          <w:sz w:val="22"/>
          <w:szCs w:val="22"/>
        </w:rPr>
        <w:lastRenderedPageBreak/>
        <w:t xml:space="preserve">return to </w:t>
      </w:r>
      <w:smartTag w:uri="urn:schemas-microsoft-com:office:smarttags" w:element="place">
        <w:smartTag w:uri="urn:schemas-microsoft-com:office:smarttags" w:element="country-region">
          <w:r w:rsidR="00C9337C" w:rsidRPr="00C9337C">
            <w:rPr>
              <w:rFonts w:ascii="Sylfaen" w:hAnsi="Sylfaen"/>
              <w:i/>
              <w:iCs/>
              <w:sz w:val="22"/>
              <w:szCs w:val="22"/>
            </w:rPr>
            <w:t>Iran</w:t>
          </w:r>
        </w:smartTag>
      </w:smartTag>
      <w:r w:rsidR="00C9337C" w:rsidRPr="00C9337C">
        <w:rPr>
          <w:rFonts w:ascii="Sylfaen" w:hAnsi="Sylfaen"/>
          <w:i/>
          <w:iCs/>
          <w:sz w:val="22"/>
          <w:szCs w:val="22"/>
        </w:rPr>
        <w:t xml:space="preserve"> nor after the facts (i.e. of illegal exit and being a failed asylum seeker) have been established. In particular, there is not a real risk of prosecution leading to imprisonment.</w:t>
      </w:r>
    </w:p>
    <w:p w14:paraId="1A7E12FD" w14:textId="77777777" w:rsidR="00C9337C" w:rsidRDefault="0083368E" w:rsidP="00D91E39">
      <w:pPr>
        <w:numPr>
          <w:ilvl w:val="0"/>
          <w:numId w:val="1"/>
        </w:numPr>
        <w:tabs>
          <w:tab w:val="clear" w:pos="757"/>
        </w:tabs>
        <w:spacing w:after="120"/>
        <w:ind w:left="540" w:hanging="540"/>
        <w:jc w:val="both"/>
        <w:rPr>
          <w:rFonts w:ascii="Sylfaen" w:hAnsi="Sylfaen" w:cs="Arial"/>
        </w:rPr>
      </w:pPr>
      <w:r>
        <w:rPr>
          <w:rFonts w:ascii="Sylfaen" w:hAnsi="Sylfaen" w:cs="Arial"/>
        </w:rPr>
        <w:t xml:space="preserve">Returning to </w:t>
      </w:r>
      <w:r w:rsidRPr="0083368E">
        <w:rPr>
          <w:rFonts w:ascii="Sylfaen" w:hAnsi="Sylfaen" w:cs="Arial"/>
        </w:rPr>
        <w:t>Professor Joffé</w:t>
      </w:r>
      <w:r>
        <w:rPr>
          <w:rFonts w:ascii="Sylfaen" w:hAnsi="Sylfaen" w:cs="Arial"/>
        </w:rPr>
        <w:t xml:space="preserve">’s supplementary report, </w:t>
      </w:r>
      <w:r w:rsidR="0043503B" w:rsidRPr="0043503B">
        <w:rPr>
          <w:rFonts w:ascii="Sylfaen" w:hAnsi="Sylfaen" w:cs="Arial"/>
        </w:rPr>
        <w:t>Mr Dakora</w:t>
      </w:r>
      <w:r w:rsidR="0043503B">
        <w:rPr>
          <w:rFonts w:ascii="Sylfaen" w:hAnsi="Sylfaen" w:cs="Arial"/>
        </w:rPr>
        <w:t xml:space="preserve"> referred me to paragraph (6) ‘Specific examples of repression’, which he goes on to give: clearly Kurds who have got into serious trouble with the Iranian régime have suffered very serious consequences. The other passage to which he referred was in </w:t>
      </w:r>
      <w:r w:rsidR="0043503B" w:rsidRPr="0043503B">
        <w:rPr>
          <w:rFonts w:ascii="Sylfaen" w:hAnsi="Sylfaen" w:cs="Arial"/>
        </w:rPr>
        <w:t>Professor Joffé</w:t>
      </w:r>
      <w:r w:rsidR="0043503B">
        <w:rPr>
          <w:rFonts w:ascii="Sylfaen" w:hAnsi="Sylfaen" w:cs="Arial"/>
        </w:rPr>
        <w:t>’s conclusions, at (16):</w:t>
      </w:r>
    </w:p>
    <w:p w14:paraId="71AB2476" w14:textId="77777777" w:rsidR="0043503B" w:rsidRPr="00D6101E" w:rsidRDefault="0043503B" w:rsidP="00D6101E">
      <w:pPr>
        <w:spacing w:after="120"/>
        <w:ind w:left="1134"/>
        <w:jc w:val="both"/>
        <w:rPr>
          <w:rFonts w:ascii="Sylfaen" w:hAnsi="Sylfaen" w:cs="Arial"/>
          <w:szCs w:val="22"/>
        </w:rPr>
      </w:pPr>
      <w:r w:rsidRPr="00D6101E">
        <w:rPr>
          <w:rFonts w:ascii="Sylfaen" w:hAnsi="Sylfaen" w:cs="Arial"/>
          <w:szCs w:val="22"/>
        </w:rPr>
        <w:t xml:space="preserve">The result is that any Kurd returned to </w:t>
      </w:r>
      <w:smartTag w:uri="urn:schemas-microsoft-com:office:smarttags" w:element="country-region">
        <w:r w:rsidRPr="00D6101E">
          <w:rPr>
            <w:rFonts w:ascii="Sylfaen" w:hAnsi="Sylfaen" w:cs="Arial"/>
            <w:szCs w:val="22"/>
          </w:rPr>
          <w:t>Iran</w:t>
        </w:r>
      </w:smartTag>
      <w:r w:rsidRPr="00D6101E">
        <w:rPr>
          <w:rFonts w:ascii="Sylfaen" w:hAnsi="Sylfaen" w:cs="Arial"/>
          <w:szCs w:val="22"/>
        </w:rPr>
        <w:t xml:space="preserve"> must anticipate the serious risk of official discrimination or persecution simply on the grounds of his membership of an ethnic group, quite apart from any specific threats he or she might face for illegal exit from </w:t>
      </w:r>
      <w:smartTag w:uri="urn:schemas-microsoft-com:office:smarttags" w:element="country-region">
        <w:smartTag w:uri="urn:schemas-microsoft-com:office:smarttags" w:element="place">
          <w:r w:rsidRPr="00D6101E">
            <w:rPr>
              <w:rFonts w:ascii="Sylfaen" w:hAnsi="Sylfaen" w:cs="Arial"/>
              <w:szCs w:val="22"/>
            </w:rPr>
            <w:t>Iran</w:t>
          </w:r>
        </w:smartTag>
      </w:smartTag>
      <w:r w:rsidRPr="00D6101E">
        <w:rPr>
          <w:rFonts w:ascii="Sylfaen" w:hAnsi="Sylfaen" w:cs="Arial"/>
          <w:szCs w:val="22"/>
        </w:rPr>
        <w:t xml:space="preserve"> or because there are specific charges outstanding against her or him. </w:t>
      </w:r>
    </w:p>
    <w:p w14:paraId="5F46007F" w14:textId="77777777" w:rsidR="0043503B" w:rsidRPr="007979F6" w:rsidRDefault="007979F6" w:rsidP="00D91E39">
      <w:pPr>
        <w:numPr>
          <w:ilvl w:val="0"/>
          <w:numId w:val="1"/>
        </w:numPr>
        <w:tabs>
          <w:tab w:val="clear" w:pos="757"/>
        </w:tabs>
        <w:spacing w:after="120"/>
        <w:ind w:left="540" w:hanging="540"/>
        <w:jc w:val="both"/>
        <w:rPr>
          <w:rFonts w:ascii="Sylfaen" w:hAnsi="Sylfaen" w:cs="Arial"/>
        </w:rPr>
      </w:pPr>
      <w:r>
        <w:rPr>
          <w:rFonts w:ascii="Sylfaen" w:hAnsi="Sylfaen" w:cs="Arial"/>
        </w:rPr>
        <w:t xml:space="preserve">Both appellants in </w:t>
      </w:r>
      <w:hyperlink r:id="rId14" w:history="1">
        <w:r w:rsidRPr="00C9337C">
          <w:rPr>
            <w:rFonts w:ascii="Sylfaen" w:hAnsi="Sylfaen" w:cs="Arial"/>
            <w:i/>
            <w:color w:val="000000"/>
          </w:rPr>
          <w:t>SSH and HR</w:t>
        </w:r>
      </w:hyperlink>
      <w:r>
        <w:rPr>
          <w:rFonts w:ascii="Sylfaen" w:hAnsi="Sylfaen" w:cs="Arial"/>
          <w:color w:val="000000"/>
        </w:rPr>
        <w:t xml:space="preserve"> were of course Kurds themselves. The incidents in </w:t>
      </w:r>
      <w:r w:rsidRPr="007979F6">
        <w:rPr>
          <w:rFonts w:ascii="Sylfaen" w:hAnsi="Sylfaen" w:cs="Arial"/>
          <w:color w:val="000000"/>
        </w:rPr>
        <w:t>Professor Joffé</w:t>
      </w:r>
      <w:r>
        <w:rPr>
          <w:rFonts w:ascii="Sylfaen" w:hAnsi="Sylfaen" w:cs="Arial"/>
          <w:color w:val="000000"/>
        </w:rPr>
        <w:t>’s supplementary report to which I was referred deal with events in Iran in 2015, and I do not think they can reasonably be put forward as negating that country guidance from 2016, or as casting any doubt on the judge’s credibility findings on the individual facts of this case.</w:t>
      </w:r>
    </w:p>
    <w:p w14:paraId="1B8DE62D" w14:textId="77777777" w:rsidR="007979F6" w:rsidRPr="003842B4" w:rsidRDefault="007979F6" w:rsidP="00D91E39">
      <w:pPr>
        <w:numPr>
          <w:ilvl w:val="0"/>
          <w:numId w:val="1"/>
        </w:numPr>
        <w:tabs>
          <w:tab w:val="clear" w:pos="757"/>
        </w:tabs>
        <w:spacing w:after="120"/>
        <w:ind w:left="540" w:hanging="540"/>
        <w:jc w:val="both"/>
        <w:rPr>
          <w:rFonts w:ascii="Sylfaen" w:hAnsi="Sylfaen" w:cs="Arial"/>
        </w:rPr>
      </w:pPr>
      <w:r>
        <w:rPr>
          <w:rFonts w:ascii="Sylfaen" w:hAnsi="Sylfaen" w:cs="Arial"/>
          <w:color w:val="000000"/>
        </w:rPr>
        <w:t xml:space="preserve">The passage in the background evidence </w:t>
      </w:r>
      <w:r w:rsidR="00792C34">
        <w:rPr>
          <w:rFonts w:ascii="Sylfaen" w:hAnsi="Sylfaen" w:cs="Arial"/>
          <w:color w:val="000000"/>
        </w:rPr>
        <w:t>which might have</w:t>
      </w:r>
      <w:r>
        <w:rPr>
          <w:rFonts w:ascii="Sylfaen" w:hAnsi="Sylfaen" w:cs="Arial"/>
          <w:color w:val="000000"/>
        </w:rPr>
        <w:t xml:space="preserve"> be</w:t>
      </w:r>
      <w:r w:rsidR="00792C34">
        <w:rPr>
          <w:rFonts w:ascii="Sylfaen" w:hAnsi="Sylfaen" w:cs="Arial"/>
          <w:color w:val="000000"/>
        </w:rPr>
        <w:t>en</w:t>
      </w:r>
      <w:r>
        <w:rPr>
          <w:rFonts w:ascii="Sylfaen" w:hAnsi="Sylfaen" w:cs="Arial"/>
          <w:color w:val="000000"/>
        </w:rPr>
        <w:t xml:space="preserve"> of particular relevance to the case in hand comes also from the Danish report, at 1.3.3. The source is a named person: unfortunately the acronym relating to the organization he represents has been cropped by a careless photocopier from [AB 96]. This appellant’s role, as related by him (see paragraph 4 of the decision under appeal)</w:t>
      </w:r>
      <w:r w:rsidR="003842B4">
        <w:rPr>
          <w:rFonts w:ascii="Sylfaen" w:hAnsi="Sylfaen" w:cs="Arial"/>
          <w:color w:val="000000"/>
        </w:rPr>
        <w:t xml:space="preserve"> has him going out as a look-out while others distributed leaflets for his PJAK organization</w:t>
      </w:r>
      <w:r w:rsidR="003842B4">
        <w:rPr>
          <w:rStyle w:val="FootnoteReference"/>
          <w:rFonts w:ascii="Sylfaen" w:hAnsi="Sylfaen" w:cs="Arial"/>
          <w:color w:val="000000"/>
        </w:rPr>
        <w:footnoteReference w:id="1"/>
      </w:r>
      <w:r w:rsidR="003842B4">
        <w:rPr>
          <w:rFonts w:ascii="Sylfaen" w:hAnsi="Sylfaen" w:cs="Arial"/>
          <w:color w:val="000000"/>
        </w:rPr>
        <w:t>. Then he heard shots, and fled to a friend of his grandfather’s, who told him the next day that he was wanted and had better flee the country. One is no doubt required to assume that one of his friends had been arrested, and given the authorities his name.</w:t>
      </w:r>
    </w:p>
    <w:p w14:paraId="2DC3FE40" w14:textId="77777777" w:rsidR="003842B4" w:rsidRPr="00792C34" w:rsidRDefault="003842B4" w:rsidP="00D91E39">
      <w:pPr>
        <w:numPr>
          <w:ilvl w:val="0"/>
          <w:numId w:val="1"/>
        </w:numPr>
        <w:tabs>
          <w:tab w:val="clear" w:pos="757"/>
        </w:tabs>
        <w:spacing w:after="120"/>
        <w:ind w:left="540" w:hanging="540"/>
        <w:jc w:val="both"/>
        <w:rPr>
          <w:rFonts w:ascii="Sylfaen" w:hAnsi="Sylfaen" w:cs="Arial"/>
        </w:rPr>
      </w:pPr>
      <w:r>
        <w:rPr>
          <w:rFonts w:ascii="Sylfaen" w:hAnsi="Sylfaen" w:cs="Arial"/>
          <w:color w:val="000000"/>
        </w:rPr>
        <w:t xml:space="preserve">What the Danish report says, in short, is that “… if a low profile person is caught with a single flyer, he will be taken in for </w:t>
      </w:r>
      <w:r w:rsidRPr="003842B4">
        <w:rPr>
          <w:rFonts w:ascii="Sylfaen" w:hAnsi="Sylfaen" w:cs="Arial"/>
          <w:color w:val="000000"/>
        </w:rPr>
        <w:t>investigation</w:t>
      </w:r>
      <w:r>
        <w:rPr>
          <w:rFonts w:ascii="Sylfaen" w:hAnsi="Sylfaen" w:cs="Arial"/>
          <w:color w:val="000000"/>
        </w:rPr>
        <w:t xml:space="preserve"> and can be detained from two to six months depending on whether he confesses, and on the extent to which he </w:t>
      </w:r>
      <w:r w:rsidRPr="003842B4">
        <w:rPr>
          <w:rFonts w:ascii="Sylfaen" w:hAnsi="Sylfaen" w:cs="Arial"/>
          <w:color w:val="000000"/>
        </w:rPr>
        <w:t>co-operate</w:t>
      </w:r>
      <w:r>
        <w:rPr>
          <w:rFonts w:ascii="Sylfaen" w:hAnsi="Sylfaen" w:cs="Arial"/>
          <w:color w:val="000000"/>
        </w:rPr>
        <w:t xml:space="preserve">s with the authorities. … The </w:t>
      </w:r>
      <w:r w:rsidRPr="003842B4">
        <w:rPr>
          <w:rFonts w:ascii="Sylfaen" w:hAnsi="Sylfaen" w:cs="Arial"/>
          <w:color w:val="000000"/>
        </w:rPr>
        <w:t>investigation</w:t>
      </w:r>
      <w:r>
        <w:rPr>
          <w:rFonts w:ascii="Sylfaen" w:hAnsi="Sylfaen" w:cs="Arial"/>
          <w:color w:val="000000"/>
        </w:rPr>
        <w:t xml:space="preserve"> is harsh and the person is subjected to torture … however the form and the harshness of torture is different from person to person</w:t>
      </w:r>
      <w:r w:rsidR="00792C34">
        <w:rPr>
          <w:rFonts w:ascii="Sylfaen" w:hAnsi="Sylfaen" w:cs="Arial"/>
          <w:color w:val="000000"/>
        </w:rPr>
        <w:t xml:space="preserve"> … If it is the first time the person is arrested, and if he co-operates with the authorities, confesses, fills out and signs a formula of regret … not to engage in further activities, he will in most cases be sentenced to up to a year’s probation and then released on bail. If he is arrested again, the probation will be enforced, and the bail will be much higher this time …”.</w:t>
      </w:r>
    </w:p>
    <w:p w14:paraId="52FDB60A" w14:textId="77777777" w:rsidR="009F5220" w:rsidRPr="00A544A8" w:rsidRDefault="00792C34" w:rsidP="00792C34">
      <w:pPr>
        <w:numPr>
          <w:ilvl w:val="0"/>
          <w:numId w:val="1"/>
        </w:numPr>
        <w:tabs>
          <w:tab w:val="clear" w:pos="757"/>
        </w:tabs>
        <w:spacing w:after="120"/>
        <w:ind w:left="540" w:hanging="540"/>
        <w:jc w:val="both"/>
        <w:rPr>
          <w:rFonts w:ascii="Sylfaen" w:hAnsi="Sylfaen" w:cs="Arial"/>
        </w:rPr>
      </w:pPr>
      <w:r>
        <w:rPr>
          <w:rFonts w:ascii="Sylfaen" w:hAnsi="Sylfaen" w:cs="Arial"/>
          <w:color w:val="000000"/>
        </w:rPr>
        <w:t xml:space="preserve">While all this would have been background evidence relevant to the appellant’s individual history, unlike </w:t>
      </w:r>
      <w:r w:rsidRPr="00792C34">
        <w:rPr>
          <w:rFonts w:ascii="Sylfaen" w:hAnsi="Sylfaen" w:cs="Arial"/>
          <w:color w:val="000000"/>
        </w:rPr>
        <w:t>Professor Joffé</w:t>
      </w:r>
      <w:r>
        <w:rPr>
          <w:rFonts w:ascii="Sylfaen" w:hAnsi="Sylfaen" w:cs="Arial"/>
          <w:color w:val="000000"/>
        </w:rPr>
        <w:t xml:space="preserve">’s report (or the evidence in </w:t>
      </w:r>
      <w:r>
        <w:rPr>
          <w:rFonts w:ascii="Sylfaen" w:hAnsi="Sylfaen" w:cs="Arial"/>
          <w:i/>
          <w:color w:val="000000"/>
        </w:rPr>
        <w:t xml:space="preserve">AB </w:t>
      </w:r>
      <w:r>
        <w:rPr>
          <w:rFonts w:ascii="Sylfaen" w:hAnsi="Sylfaen" w:cs="Arial"/>
          <w:color w:val="000000"/>
        </w:rPr>
        <w:t xml:space="preserve">about Internet activity) it was not mentioned in </w:t>
      </w:r>
      <w:r w:rsidRPr="00792C34">
        <w:rPr>
          <w:rFonts w:ascii="Sylfaen" w:hAnsi="Sylfaen" w:cs="Arial"/>
          <w:color w:val="000000"/>
        </w:rPr>
        <w:t>Mr Dakora</w:t>
      </w:r>
      <w:r>
        <w:rPr>
          <w:rFonts w:ascii="Sylfaen" w:hAnsi="Sylfaen" w:cs="Arial"/>
          <w:color w:val="000000"/>
        </w:rPr>
        <w:t>’s skeleton argument on his behalf, and I do not think the judge can be blamed for not dealing with it</w:t>
      </w:r>
      <w:r w:rsidR="00AD5255">
        <w:rPr>
          <w:rFonts w:ascii="Sylfaen" w:hAnsi="Sylfaen" w:cs="Arial"/>
          <w:color w:val="000000"/>
        </w:rPr>
        <w:t>, amongst a total volume of 211 pages of background evidence</w:t>
      </w:r>
      <w:r>
        <w:rPr>
          <w:rFonts w:ascii="Sylfaen" w:hAnsi="Sylfaen" w:cs="Arial"/>
          <w:color w:val="000000"/>
        </w:rPr>
        <w:t xml:space="preserve">. Though it would have been better for </w:t>
      </w:r>
      <w:r w:rsidR="00B86211">
        <w:rPr>
          <w:rFonts w:ascii="Sylfaen" w:hAnsi="Sylfaen" w:cs="Arial"/>
          <w:color w:val="000000"/>
        </w:rPr>
        <w:t>the judge</w:t>
      </w:r>
      <w:r>
        <w:rPr>
          <w:rFonts w:ascii="Sylfaen" w:hAnsi="Sylfaen" w:cs="Arial"/>
          <w:color w:val="000000"/>
        </w:rPr>
        <w:t xml:space="preserve"> to say more than he did about </w:t>
      </w:r>
      <w:r w:rsidRPr="00792C34">
        <w:rPr>
          <w:rFonts w:ascii="Sylfaen" w:hAnsi="Sylfaen" w:cs="Arial"/>
          <w:color w:val="000000"/>
        </w:rPr>
        <w:t>Professor Joffé</w:t>
      </w:r>
      <w:r>
        <w:rPr>
          <w:rFonts w:ascii="Sylfaen" w:hAnsi="Sylfaen" w:cs="Arial"/>
          <w:color w:val="000000"/>
        </w:rPr>
        <w:t xml:space="preserve">’s report, from my own analysis of the effect of that report at </w:t>
      </w:r>
      <w:r>
        <w:rPr>
          <w:rFonts w:ascii="Sylfaen" w:hAnsi="Sylfaen" w:cs="Arial"/>
          <w:b/>
          <w:color w:val="000000"/>
        </w:rPr>
        <w:t>12 – 13</w:t>
      </w:r>
      <w:r>
        <w:rPr>
          <w:rFonts w:ascii="Sylfaen" w:hAnsi="Sylfaen" w:cs="Arial"/>
          <w:color w:val="000000"/>
        </w:rPr>
        <w:t xml:space="preserve">, I do not </w:t>
      </w:r>
      <w:r>
        <w:rPr>
          <w:rFonts w:ascii="Sylfaen" w:hAnsi="Sylfaen" w:cs="Arial"/>
          <w:color w:val="000000"/>
        </w:rPr>
        <w:lastRenderedPageBreak/>
        <w:t xml:space="preserve">think there is anything to show that it would have made any real difference to the result </w:t>
      </w:r>
      <w:r w:rsidR="00B86211">
        <w:rPr>
          <w:rFonts w:ascii="Sylfaen" w:hAnsi="Sylfaen" w:cs="Arial"/>
          <w:color w:val="000000"/>
        </w:rPr>
        <w:t>he</w:t>
      </w:r>
      <w:r>
        <w:rPr>
          <w:rFonts w:ascii="Sylfaen" w:hAnsi="Sylfaen" w:cs="Arial"/>
          <w:color w:val="000000"/>
        </w:rPr>
        <w:t xml:space="preserve"> reached. The consequence is that the appeal is dismissed.</w:t>
      </w:r>
    </w:p>
    <w:p w14:paraId="6A3D80D6" w14:textId="3ECFF9D8" w:rsidR="009F5220" w:rsidRPr="008F23F4" w:rsidRDefault="008F23F4" w:rsidP="00780F86">
      <w:pPr>
        <w:ind w:left="540" w:hanging="540"/>
        <w:jc w:val="both"/>
        <w:rPr>
          <w:rFonts w:ascii="Sylfaen" w:hAnsi="Sylfaen" w:cs="Arial"/>
          <w:b/>
        </w:rPr>
      </w:pPr>
      <w:r>
        <w:rPr>
          <w:rFonts w:ascii="Sylfaen" w:hAnsi="Sylfaen" w:cs="Arial"/>
          <w:b/>
        </w:rPr>
        <w:t xml:space="preserve">Appeal </w:t>
      </w:r>
      <w:bookmarkStart w:id="8" w:name="Dropdown3"/>
      <w:r>
        <w:rPr>
          <w:rFonts w:ascii="Sylfaen" w:hAnsi="Sylfaen" w:cs="Arial"/>
          <w:b/>
        </w:rPr>
        <w:fldChar w:fldCharType="begin">
          <w:ffData>
            <w:name w:val="Dropdown3"/>
            <w:enabled/>
            <w:calcOnExit w:val="0"/>
            <w:ddList>
              <w:listEntry w:val="dismissed"/>
              <w:listEntry w:val="allowed"/>
            </w:ddList>
          </w:ffData>
        </w:fldChar>
      </w:r>
      <w:r>
        <w:rPr>
          <w:rFonts w:ascii="Sylfaen" w:hAnsi="Sylfaen" w:cs="Arial"/>
          <w:b/>
        </w:rPr>
        <w:instrText xml:space="preserve"> FORMDROPDOWN </w:instrText>
      </w:r>
      <w:r w:rsidR="00C44CC3">
        <w:rPr>
          <w:rFonts w:ascii="Sylfaen" w:hAnsi="Sylfaen" w:cs="Arial"/>
          <w:b/>
        </w:rPr>
      </w:r>
      <w:r w:rsidR="00C44CC3">
        <w:rPr>
          <w:rFonts w:ascii="Sylfaen" w:hAnsi="Sylfaen" w:cs="Arial"/>
          <w:b/>
        </w:rPr>
        <w:fldChar w:fldCharType="separate"/>
      </w:r>
      <w:r>
        <w:rPr>
          <w:rFonts w:ascii="Sylfaen" w:hAnsi="Sylfaen" w:cs="Arial"/>
          <w:b/>
        </w:rPr>
        <w:fldChar w:fldCharType="end"/>
      </w:r>
      <w:bookmarkEnd w:id="8"/>
    </w:p>
    <w:p w14:paraId="5EC8CF2E" w14:textId="77777777" w:rsidR="00D6101E" w:rsidRDefault="00D6101E" w:rsidP="00F07170">
      <w:pPr>
        <w:ind w:left="4508" w:hanging="539"/>
        <w:rPr>
          <w:rFonts w:ascii="Sylfaen" w:hAnsi="Sylfaen" w:cs="Arial"/>
        </w:rPr>
      </w:pPr>
    </w:p>
    <w:p w14:paraId="54847E76" w14:textId="082A6DF4" w:rsidR="00B95326" w:rsidRDefault="00A85264" w:rsidP="00F07170">
      <w:pPr>
        <w:ind w:left="4508" w:hanging="539"/>
        <w:rPr>
          <w:rFonts w:ascii="Sylfaen" w:hAnsi="Sylfaen" w:cs="Arial"/>
          <w:color w:val="000000"/>
        </w:rPr>
      </w:pPr>
      <w:r w:rsidRPr="00A544A8">
        <w:rPr>
          <w:rFonts w:ascii="Sylfaen" w:hAnsi="Sylfaen" w:cs="Arial"/>
          <w:b/>
          <w:noProof/>
        </w:rPr>
        <w:drawing>
          <wp:inline distT="0" distB="0" distL="0" distR="0" wp14:anchorId="57BDB0AE" wp14:editId="0A6ECC71">
            <wp:extent cx="2141220" cy="103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1220" cy="1036320"/>
                    </a:xfrm>
                    <a:prstGeom prst="rect">
                      <a:avLst/>
                    </a:prstGeom>
                    <a:noFill/>
                    <a:ln>
                      <a:noFill/>
                    </a:ln>
                  </pic:spPr>
                </pic:pic>
              </a:graphicData>
            </a:graphic>
          </wp:inline>
        </w:drawing>
      </w:r>
      <w:r w:rsidR="00A544A8">
        <w:rPr>
          <w:rFonts w:ascii="Sylfaen" w:hAnsi="Sylfaen" w:cs="Arial"/>
        </w:rPr>
        <w:t xml:space="preserve"> </w:t>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D9111A" w:rsidRPr="00A544A8">
        <w:rPr>
          <w:rFonts w:ascii="Sylfaen" w:hAnsi="Sylfaen" w:cs="Arial"/>
          <w:color w:val="000000"/>
        </w:rPr>
        <w:t xml:space="preserve"> </w:t>
      </w:r>
      <w:r w:rsidR="00A544A8">
        <w:rPr>
          <w:rFonts w:ascii="Sylfaen" w:hAnsi="Sylfaen" w:cs="Arial"/>
          <w:color w:val="000000"/>
        </w:rPr>
        <w:t xml:space="preserve">(a </w:t>
      </w:r>
      <w:r w:rsidR="00A544A8" w:rsidRPr="00A544A8">
        <w:rPr>
          <w:rFonts w:ascii="Sylfaen" w:hAnsi="Sylfaen" w:cs="Arial"/>
          <w:color w:val="000000"/>
        </w:rPr>
        <w:t xml:space="preserve">judge </w:t>
      </w:r>
      <w:r w:rsidR="00A544A8">
        <w:rPr>
          <w:rFonts w:ascii="Sylfaen" w:hAnsi="Sylfaen" w:cs="Arial"/>
          <w:color w:val="000000"/>
        </w:rPr>
        <w:t>of the Upper Tribunal)</w:t>
      </w:r>
    </w:p>
    <w:p w14:paraId="79F46435" w14:textId="77777777" w:rsidR="00194609" w:rsidRPr="00A544A8" w:rsidRDefault="00194609" w:rsidP="00F07170">
      <w:pPr>
        <w:ind w:left="4508" w:hanging="539"/>
        <w:rPr>
          <w:rFonts w:ascii="Sylfaen" w:hAnsi="Sylfaen" w:cs="Arial"/>
          <w:color w:val="000000"/>
        </w:rPr>
      </w:pPr>
      <w:r>
        <w:rPr>
          <w:rFonts w:ascii="Sylfaen" w:hAnsi="Sylfaen" w:cs="Arial"/>
          <w:b/>
        </w:rPr>
        <w:t xml:space="preserve">                                     </w:t>
      </w:r>
      <w:r w:rsidRPr="00194609">
        <w:rPr>
          <w:rFonts w:ascii="Sylfaen" w:hAnsi="Sylfaen" w:cs="Arial"/>
          <w:b/>
        </w:rPr>
        <w:t>signed:</w:t>
      </w:r>
      <w:r>
        <w:rPr>
          <w:rFonts w:ascii="Sylfaen" w:hAnsi="Sylfaen" w:cs="Arial"/>
          <w:b/>
        </w:rPr>
        <w:t xml:space="preserve"> </w:t>
      </w:r>
      <w:r w:rsidRPr="00194609">
        <w:rPr>
          <w:rFonts w:ascii="Sylfaen" w:hAnsi="Sylfaen" w:cs="Arial"/>
          <w:b/>
        </w:rPr>
        <w:t>24.05.2018</w:t>
      </w:r>
    </w:p>
    <w:sectPr w:rsidR="00194609" w:rsidRPr="00A544A8" w:rsidSect="00776E97">
      <w:headerReference w:type="default" r:id="rId16"/>
      <w:footerReference w:type="default" r:id="rId17"/>
      <w:footerReference w:type="first" r:id="rId18"/>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C11A9" w14:textId="77777777" w:rsidR="00C70418" w:rsidRDefault="00C70418">
      <w:r>
        <w:separator/>
      </w:r>
    </w:p>
  </w:endnote>
  <w:endnote w:type="continuationSeparator" w:id="0">
    <w:p w14:paraId="0FE42210" w14:textId="77777777" w:rsidR="00C70418" w:rsidRDefault="00C70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7B234" w14:textId="4F8EE91A" w:rsidR="0043503B" w:rsidRPr="00AA71B2" w:rsidRDefault="0043503B" w:rsidP="00593795">
    <w:pPr>
      <w:pStyle w:val="Footer"/>
      <w:jc w:val="center"/>
      <w:rPr>
        <w:rFonts w:ascii="Sylfaen" w:hAnsi="Sylfaen" w:cs="Arial"/>
        <w:sz w:val="20"/>
        <w:szCs w:val="20"/>
      </w:rPr>
    </w:pPr>
    <w:r w:rsidRPr="00AA71B2">
      <w:rPr>
        <w:rStyle w:val="PageNumber"/>
        <w:rFonts w:ascii="Sylfaen" w:hAnsi="Sylfaen" w:cs="Arial"/>
        <w:sz w:val="20"/>
        <w:szCs w:val="20"/>
      </w:rPr>
      <w:fldChar w:fldCharType="begin"/>
    </w:r>
    <w:r w:rsidRPr="00AA71B2">
      <w:rPr>
        <w:rStyle w:val="PageNumber"/>
        <w:rFonts w:ascii="Sylfaen" w:hAnsi="Sylfaen" w:cs="Arial"/>
        <w:sz w:val="20"/>
        <w:szCs w:val="20"/>
      </w:rPr>
      <w:instrText xml:space="preserve"> PAGE </w:instrText>
    </w:r>
    <w:r w:rsidRPr="00AA71B2">
      <w:rPr>
        <w:rStyle w:val="PageNumber"/>
        <w:rFonts w:ascii="Sylfaen" w:hAnsi="Sylfaen" w:cs="Arial"/>
        <w:sz w:val="20"/>
        <w:szCs w:val="20"/>
      </w:rPr>
      <w:fldChar w:fldCharType="separate"/>
    </w:r>
    <w:r w:rsidR="00C44CC3">
      <w:rPr>
        <w:rStyle w:val="PageNumber"/>
        <w:rFonts w:ascii="Sylfaen" w:hAnsi="Sylfaen" w:cs="Arial"/>
        <w:noProof/>
        <w:sz w:val="20"/>
        <w:szCs w:val="20"/>
      </w:rPr>
      <w:t>6</w:t>
    </w:r>
    <w:r w:rsidRPr="00AA71B2">
      <w:rPr>
        <w:rStyle w:val="PageNumber"/>
        <w:rFonts w:ascii="Sylfaen" w:hAnsi="Sylfaen"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E4998" w14:textId="77777777" w:rsidR="0043503B" w:rsidRPr="00686C0C" w:rsidRDefault="0043503B" w:rsidP="00FF5012">
    <w:pPr>
      <w:ind w:left="720" w:hanging="720"/>
      <w:jc w:val="both"/>
      <w:rPr>
        <w:rFonts w:ascii="Sylfaen" w:hAnsi="Sylfaen" w:cs="Arial"/>
        <w:i/>
        <w:spacing w:val="-6"/>
        <w:sz w:val="22"/>
        <w:szCs w:val="22"/>
      </w:rPr>
    </w:pPr>
    <w:r w:rsidRPr="00686C0C">
      <w:rPr>
        <w:rFonts w:ascii="Sylfaen" w:hAnsi="Sylfaen" w:cs="Arial"/>
        <w:i/>
        <w:spacing w:val="-6"/>
        <w:sz w:val="22"/>
        <w:szCs w:val="22"/>
        <w:u w:val="single"/>
      </w:rPr>
      <w:t>NOTE</w:t>
    </w:r>
    <w:r w:rsidRPr="00686C0C">
      <w:rPr>
        <w:rFonts w:ascii="Sylfaen" w:hAnsi="Sylfaen" w:cs="Arial"/>
        <w:i/>
        <w:spacing w:val="-6"/>
        <w:sz w:val="22"/>
        <w:szCs w:val="22"/>
      </w:rPr>
      <w:t xml:space="preserve">: </w:t>
    </w:r>
    <w:r>
      <w:rPr>
        <w:rFonts w:ascii="Sylfaen" w:hAnsi="Sylfaen" w:cs="Arial"/>
        <w:i/>
        <w:spacing w:val="-6"/>
        <w:sz w:val="22"/>
        <w:szCs w:val="22"/>
      </w:rPr>
      <w:tab/>
      <w:t>(1)</w:t>
    </w:r>
    <w:r>
      <w:rPr>
        <w:rFonts w:ascii="Sylfaen" w:hAnsi="Sylfaen" w:cs="Arial"/>
        <w:i/>
        <w:spacing w:val="-6"/>
        <w:sz w:val="22"/>
        <w:szCs w:val="22"/>
      </w:rPr>
      <w:tab/>
    </w:r>
    <w:r w:rsidRPr="00686C0C">
      <w:rPr>
        <w:rFonts w:ascii="Sylfaen" w:hAnsi="Sylfaen" w:cs="Arial"/>
        <w:i/>
        <w:spacing w:val="-6"/>
        <w:sz w:val="22"/>
        <w:szCs w:val="22"/>
      </w:rPr>
      <w:t xml:space="preserve">no anonymity direction made at first instance </w:t>
    </w:r>
    <w:r>
      <w:rPr>
        <w:rFonts w:ascii="Sylfaen" w:hAnsi="Sylfaen" w:cs="Arial"/>
        <w:i/>
        <w:spacing w:val="-6"/>
        <w:sz w:val="22"/>
        <w:szCs w:val="22"/>
      </w:rPr>
      <w:t xml:space="preserve">will continue, unless extended </w:t>
    </w:r>
    <w:r w:rsidRPr="00686C0C">
      <w:rPr>
        <w:rFonts w:ascii="Sylfaen" w:hAnsi="Sylfaen" w:cs="Arial"/>
        <w:i/>
        <w:spacing w:val="-6"/>
        <w:sz w:val="22"/>
        <w:szCs w:val="22"/>
      </w:rPr>
      <w:t>by me.</w:t>
    </w:r>
  </w:p>
  <w:p w14:paraId="543A3F4F" w14:textId="77777777" w:rsidR="0043503B" w:rsidRPr="00686C0C" w:rsidRDefault="0043503B" w:rsidP="00FF5012">
    <w:pPr>
      <w:ind w:left="720" w:hanging="720"/>
      <w:jc w:val="both"/>
      <w:rPr>
        <w:rFonts w:ascii="Sylfaen" w:hAnsi="Sylfaen" w:cs="Arial"/>
        <w:i/>
        <w:spacing w:val="-6"/>
        <w:sz w:val="22"/>
        <w:szCs w:val="22"/>
      </w:rPr>
    </w:pPr>
    <w:r>
      <w:rPr>
        <w:rFonts w:ascii="Sylfaen" w:hAnsi="Sylfaen" w:cs="Arial"/>
        <w:i/>
        <w:spacing w:val="-6"/>
        <w:sz w:val="22"/>
        <w:szCs w:val="22"/>
      </w:rPr>
      <w:tab/>
      <w:t>(2)</w:t>
    </w:r>
    <w:r>
      <w:rPr>
        <w:rFonts w:ascii="Sylfaen" w:hAnsi="Sylfaen" w:cs="Arial"/>
        <w:i/>
        <w:spacing w:val="-6"/>
        <w:sz w:val="22"/>
        <w:szCs w:val="22"/>
      </w:rPr>
      <w:tab/>
      <w:t>persons under 18 are referred to by initials, and must not be further identified.</w:t>
    </w:r>
  </w:p>
  <w:p w14:paraId="14913DE1" w14:textId="77777777" w:rsidR="00AA71B2" w:rsidRDefault="00AA71B2" w:rsidP="00090CF9">
    <w:pPr>
      <w:jc w:val="center"/>
      <w:rPr>
        <w:rFonts w:ascii="Sylfaen" w:hAnsi="Sylfaen" w:cs="Arial"/>
        <w:i/>
        <w:spacing w:val="-6"/>
        <w:sz w:val="22"/>
        <w:szCs w:val="22"/>
      </w:rPr>
    </w:pPr>
  </w:p>
  <w:p w14:paraId="599B9389" w14:textId="67467206" w:rsidR="0043503B" w:rsidRPr="00AA71B2" w:rsidRDefault="0043503B" w:rsidP="00090CF9">
    <w:pPr>
      <w:jc w:val="center"/>
      <w:rPr>
        <w:rFonts w:ascii="Sylfaen" w:hAnsi="Sylfaen" w:cs="Arial"/>
        <w:b/>
        <w:szCs w:val="22"/>
      </w:rPr>
    </w:pPr>
    <w:r w:rsidRPr="00AA71B2">
      <w:rPr>
        <w:rFonts w:ascii="Sylfaen" w:hAnsi="Sylfaen" w:cs="Arial"/>
        <w:b/>
        <w:spacing w:val="-6"/>
        <w:szCs w:val="22"/>
      </w:rPr>
      <w:t>©</w:t>
    </w:r>
    <w:r w:rsidRPr="00AA71B2">
      <w:rPr>
        <w:rFonts w:ascii="Sylfaen" w:hAnsi="Sylfaen" w:cs="Arial"/>
        <w:b/>
        <w:szCs w:val="22"/>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EB990" w14:textId="77777777" w:rsidR="00C70418" w:rsidRDefault="00C70418">
      <w:r>
        <w:separator/>
      </w:r>
    </w:p>
  </w:footnote>
  <w:footnote w:type="continuationSeparator" w:id="0">
    <w:p w14:paraId="52687534" w14:textId="77777777" w:rsidR="00C70418" w:rsidRDefault="00C70418">
      <w:r>
        <w:continuationSeparator/>
      </w:r>
    </w:p>
  </w:footnote>
  <w:footnote w:id="1">
    <w:p w14:paraId="3438ED4C" w14:textId="77777777" w:rsidR="003842B4" w:rsidRPr="003842B4" w:rsidRDefault="003842B4" w:rsidP="003842B4">
      <w:pPr>
        <w:pStyle w:val="pedal2"/>
      </w:pPr>
      <w:r>
        <w:rPr>
          <w:rStyle w:val="FootnoteReference"/>
        </w:rPr>
        <w:footnoteRef/>
      </w:r>
      <w:r>
        <w:t xml:space="preserve"> </w:t>
      </w:r>
      <w:r>
        <w:tab/>
      </w:r>
      <w:r>
        <w:rPr>
          <w:i/>
        </w:rPr>
        <w:t xml:space="preserve">Partiya Jiyan a Azad a Kurdistanë  </w:t>
      </w:r>
      <w:r>
        <w:t xml:space="preserve">[‘Party of Free Life for </w:t>
      </w:r>
      <w:smartTag w:uri="urn:schemas-microsoft-com:office:smarttags" w:element="place">
        <w:r>
          <w:t>Kurdistan</w:t>
        </w:r>
      </w:smartTag>
      <w:r>
        <w:t>’: see Danish report.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8EBAC" w14:textId="77777777" w:rsidR="00AE1590" w:rsidRPr="00AE1590" w:rsidRDefault="00AE1590" w:rsidP="00AE1590">
    <w:pPr>
      <w:pStyle w:val="Header"/>
      <w:jc w:val="right"/>
      <w:rPr>
        <w:sz w:val="20"/>
        <w:szCs w:val="20"/>
      </w:rPr>
    </w:pPr>
    <w:r w:rsidRPr="00AE1590">
      <w:rPr>
        <w:sz w:val="20"/>
        <w:szCs w:val="20"/>
      </w:rPr>
      <w:t>PA/01079/2018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66E74"/>
    <w:multiLevelType w:val="hybridMultilevel"/>
    <w:tmpl w:val="2B047E96"/>
    <w:lvl w:ilvl="0" w:tplc="4BDE0C90">
      <w:start w:val="1"/>
      <w:numFmt w:val="decimal"/>
      <w:lvlText w:val="%1."/>
      <w:lvlJc w:val="left"/>
      <w:pPr>
        <w:tabs>
          <w:tab w:val="num" w:pos="900"/>
        </w:tabs>
        <w:ind w:left="900" w:hanging="360"/>
      </w:pPr>
      <w:rPr>
        <w:rFonts w:hint="default"/>
      </w:rPr>
    </w:lvl>
    <w:lvl w:ilvl="1" w:tplc="08090019" w:tentative="1">
      <w:start w:val="1"/>
      <w:numFmt w:val="lowerLetter"/>
      <w:lvlText w:val="%2."/>
      <w:lvlJc w:val="left"/>
      <w:pPr>
        <w:tabs>
          <w:tab w:val="num" w:pos="1620"/>
        </w:tabs>
        <w:ind w:left="1620" w:hanging="360"/>
      </w:pPr>
    </w:lvl>
    <w:lvl w:ilvl="2" w:tplc="0809001B" w:tentative="1">
      <w:start w:val="1"/>
      <w:numFmt w:val="lowerRoman"/>
      <w:lvlText w:val="%3."/>
      <w:lvlJc w:val="right"/>
      <w:pPr>
        <w:tabs>
          <w:tab w:val="num" w:pos="2340"/>
        </w:tabs>
        <w:ind w:left="2340" w:hanging="180"/>
      </w:pPr>
    </w:lvl>
    <w:lvl w:ilvl="3" w:tplc="0809000F" w:tentative="1">
      <w:start w:val="1"/>
      <w:numFmt w:val="decimal"/>
      <w:lvlText w:val="%4."/>
      <w:lvlJc w:val="left"/>
      <w:pPr>
        <w:tabs>
          <w:tab w:val="num" w:pos="3060"/>
        </w:tabs>
        <w:ind w:left="3060" w:hanging="360"/>
      </w:pPr>
    </w:lvl>
    <w:lvl w:ilvl="4" w:tplc="08090019" w:tentative="1">
      <w:start w:val="1"/>
      <w:numFmt w:val="lowerLetter"/>
      <w:lvlText w:val="%5."/>
      <w:lvlJc w:val="left"/>
      <w:pPr>
        <w:tabs>
          <w:tab w:val="num" w:pos="3780"/>
        </w:tabs>
        <w:ind w:left="3780" w:hanging="360"/>
      </w:pPr>
    </w:lvl>
    <w:lvl w:ilvl="5" w:tplc="0809001B" w:tentative="1">
      <w:start w:val="1"/>
      <w:numFmt w:val="lowerRoman"/>
      <w:lvlText w:val="%6."/>
      <w:lvlJc w:val="right"/>
      <w:pPr>
        <w:tabs>
          <w:tab w:val="num" w:pos="4500"/>
        </w:tabs>
        <w:ind w:left="4500" w:hanging="180"/>
      </w:pPr>
    </w:lvl>
    <w:lvl w:ilvl="6" w:tplc="0809000F" w:tentative="1">
      <w:start w:val="1"/>
      <w:numFmt w:val="decimal"/>
      <w:lvlText w:val="%7."/>
      <w:lvlJc w:val="left"/>
      <w:pPr>
        <w:tabs>
          <w:tab w:val="num" w:pos="5220"/>
        </w:tabs>
        <w:ind w:left="5220" w:hanging="360"/>
      </w:pPr>
    </w:lvl>
    <w:lvl w:ilvl="7" w:tplc="08090019" w:tentative="1">
      <w:start w:val="1"/>
      <w:numFmt w:val="lowerLetter"/>
      <w:lvlText w:val="%8."/>
      <w:lvlJc w:val="left"/>
      <w:pPr>
        <w:tabs>
          <w:tab w:val="num" w:pos="5940"/>
        </w:tabs>
        <w:ind w:left="5940" w:hanging="360"/>
      </w:pPr>
    </w:lvl>
    <w:lvl w:ilvl="8" w:tplc="0809001B" w:tentative="1">
      <w:start w:val="1"/>
      <w:numFmt w:val="lowerRoman"/>
      <w:lvlText w:val="%9."/>
      <w:lvlJc w:val="right"/>
      <w:pPr>
        <w:tabs>
          <w:tab w:val="num" w:pos="6660"/>
        </w:tabs>
        <w:ind w:left="6660" w:hanging="180"/>
      </w:pPr>
    </w:lvl>
  </w:abstractNum>
  <w:abstractNum w:abstractNumId="1" w15:restartNumberingAfterBreak="0">
    <w:nsid w:val="567C2D46"/>
    <w:multiLevelType w:val="hybridMultilevel"/>
    <w:tmpl w:val="8760021E"/>
    <w:lvl w:ilvl="0" w:tplc="0542F5A8">
      <w:start w:val="2"/>
      <w:numFmt w:val="decimal"/>
      <w:lvlText w:val="%1."/>
      <w:lvlJc w:val="left"/>
      <w:pPr>
        <w:tabs>
          <w:tab w:val="num" w:pos="757"/>
        </w:tabs>
        <w:ind w:left="757" w:hanging="397"/>
      </w:pPr>
      <w:rPr>
        <w:rFonts w:ascii="Sylfaen" w:hAnsi="Sylfaen"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59252B96"/>
    <w:multiLevelType w:val="multilevel"/>
    <w:tmpl w:val="49B4DD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67847D81"/>
    <w:multiLevelType w:val="multilevel"/>
    <w:tmpl w:val="32FC48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lvlOverride w:ilvl="0">
      <w:startOverride w:val="28"/>
    </w:lvlOverride>
  </w:num>
  <w:num w:numId="5">
    <w:abstractNumId w:val="3"/>
    <w:lvlOverride w:ilvl="0">
      <w:startOverride w:val="29"/>
    </w:lvlOverride>
  </w:num>
  <w:num w:numId="6">
    <w:abstractNumId w:val="3"/>
    <w:lvlOverride w:ilvl="0">
      <w:startOverride w:val="30"/>
    </w:lvlOverride>
  </w:num>
  <w:num w:numId="7">
    <w:abstractNumId w:val="3"/>
    <w:lvlOverride w:ilvl="0">
      <w:startOverride w:val="3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A55"/>
    <w:rsid w:val="00000621"/>
    <w:rsid w:val="000036C2"/>
    <w:rsid w:val="00033D3D"/>
    <w:rsid w:val="00057601"/>
    <w:rsid w:val="00062F02"/>
    <w:rsid w:val="00071A7E"/>
    <w:rsid w:val="000746C0"/>
    <w:rsid w:val="00074D1D"/>
    <w:rsid w:val="000857AF"/>
    <w:rsid w:val="00090CF9"/>
    <w:rsid w:val="00092580"/>
    <w:rsid w:val="00093D4D"/>
    <w:rsid w:val="000A1210"/>
    <w:rsid w:val="000B2183"/>
    <w:rsid w:val="000D5D94"/>
    <w:rsid w:val="000F1A0E"/>
    <w:rsid w:val="00102EBC"/>
    <w:rsid w:val="001165A7"/>
    <w:rsid w:val="00117FD8"/>
    <w:rsid w:val="001401BB"/>
    <w:rsid w:val="001435AF"/>
    <w:rsid w:val="00167D3A"/>
    <w:rsid w:val="00177468"/>
    <w:rsid w:val="00194609"/>
    <w:rsid w:val="00194E6E"/>
    <w:rsid w:val="001A3082"/>
    <w:rsid w:val="001A5D86"/>
    <w:rsid w:val="001B186A"/>
    <w:rsid w:val="001B2F75"/>
    <w:rsid w:val="001D2A55"/>
    <w:rsid w:val="001E6DE8"/>
    <w:rsid w:val="001F114E"/>
    <w:rsid w:val="001F2716"/>
    <w:rsid w:val="00206F6B"/>
    <w:rsid w:val="00207617"/>
    <w:rsid w:val="0023134B"/>
    <w:rsid w:val="0026015E"/>
    <w:rsid w:val="002667BE"/>
    <w:rsid w:val="00270E13"/>
    <w:rsid w:val="00283659"/>
    <w:rsid w:val="002B5149"/>
    <w:rsid w:val="002C6BD4"/>
    <w:rsid w:val="002D68BF"/>
    <w:rsid w:val="002F6B98"/>
    <w:rsid w:val="00310B90"/>
    <w:rsid w:val="00336CBF"/>
    <w:rsid w:val="00343FE3"/>
    <w:rsid w:val="003546C8"/>
    <w:rsid w:val="00374981"/>
    <w:rsid w:val="003842B4"/>
    <w:rsid w:val="003860CF"/>
    <w:rsid w:val="00386382"/>
    <w:rsid w:val="003A3DA7"/>
    <w:rsid w:val="003A7CF2"/>
    <w:rsid w:val="003C5CE5"/>
    <w:rsid w:val="003D6C6F"/>
    <w:rsid w:val="003E267B"/>
    <w:rsid w:val="003E5773"/>
    <w:rsid w:val="003E7CD1"/>
    <w:rsid w:val="003F2E3F"/>
    <w:rsid w:val="00402B9E"/>
    <w:rsid w:val="00420643"/>
    <w:rsid w:val="004249CB"/>
    <w:rsid w:val="004335C5"/>
    <w:rsid w:val="0043503B"/>
    <w:rsid w:val="0044127D"/>
    <w:rsid w:val="004448DB"/>
    <w:rsid w:val="00446C9A"/>
    <w:rsid w:val="00452F2B"/>
    <w:rsid w:val="004617F0"/>
    <w:rsid w:val="00463036"/>
    <w:rsid w:val="00473EEA"/>
    <w:rsid w:val="00477193"/>
    <w:rsid w:val="00480D87"/>
    <w:rsid w:val="0049406D"/>
    <w:rsid w:val="004A1848"/>
    <w:rsid w:val="004A6F4A"/>
    <w:rsid w:val="004C5C63"/>
    <w:rsid w:val="004E4717"/>
    <w:rsid w:val="005035E7"/>
    <w:rsid w:val="00507FEC"/>
    <w:rsid w:val="00510F0E"/>
    <w:rsid w:val="00531929"/>
    <w:rsid w:val="005479E1"/>
    <w:rsid w:val="00553E0A"/>
    <w:rsid w:val="005570FD"/>
    <w:rsid w:val="005575EA"/>
    <w:rsid w:val="00574E42"/>
    <w:rsid w:val="0057790C"/>
    <w:rsid w:val="005829AB"/>
    <w:rsid w:val="00593795"/>
    <w:rsid w:val="00593821"/>
    <w:rsid w:val="00597008"/>
    <w:rsid w:val="005A549B"/>
    <w:rsid w:val="005A75FF"/>
    <w:rsid w:val="005D10AB"/>
    <w:rsid w:val="005D721A"/>
    <w:rsid w:val="005E31F6"/>
    <w:rsid w:val="005F1F19"/>
    <w:rsid w:val="00601D8F"/>
    <w:rsid w:val="00611011"/>
    <w:rsid w:val="00653E97"/>
    <w:rsid w:val="00655341"/>
    <w:rsid w:val="006568E3"/>
    <w:rsid w:val="006575B0"/>
    <w:rsid w:val="00676204"/>
    <w:rsid w:val="00684A74"/>
    <w:rsid w:val="00686C0C"/>
    <w:rsid w:val="00690B8A"/>
    <w:rsid w:val="0069160E"/>
    <w:rsid w:val="00696018"/>
    <w:rsid w:val="00696D3B"/>
    <w:rsid w:val="006B058B"/>
    <w:rsid w:val="006F2CF1"/>
    <w:rsid w:val="007038ED"/>
    <w:rsid w:val="00703BC3"/>
    <w:rsid w:val="00704B61"/>
    <w:rsid w:val="007334B3"/>
    <w:rsid w:val="00741157"/>
    <w:rsid w:val="007420F1"/>
    <w:rsid w:val="00742454"/>
    <w:rsid w:val="00750745"/>
    <w:rsid w:val="007552A9"/>
    <w:rsid w:val="00761858"/>
    <w:rsid w:val="00767D59"/>
    <w:rsid w:val="00776E97"/>
    <w:rsid w:val="00780F86"/>
    <w:rsid w:val="007912AD"/>
    <w:rsid w:val="00792C34"/>
    <w:rsid w:val="007979F6"/>
    <w:rsid w:val="007A37E8"/>
    <w:rsid w:val="007B0824"/>
    <w:rsid w:val="007B5D3C"/>
    <w:rsid w:val="007B67B0"/>
    <w:rsid w:val="00821B72"/>
    <w:rsid w:val="00823EF2"/>
    <w:rsid w:val="008303B8"/>
    <w:rsid w:val="0083368E"/>
    <w:rsid w:val="00833DCE"/>
    <w:rsid w:val="00871D34"/>
    <w:rsid w:val="00872185"/>
    <w:rsid w:val="008A414E"/>
    <w:rsid w:val="008B270C"/>
    <w:rsid w:val="008B382D"/>
    <w:rsid w:val="008B5078"/>
    <w:rsid w:val="008C3D3D"/>
    <w:rsid w:val="008D4131"/>
    <w:rsid w:val="008E66FE"/>
    <w:rsid w:val="008F0697"/>
    <w:rsid w:val="008F1932"/>
    <w:rsid w:val="008F23F4"/>
    <w:rsid w:val="00921062"/>
    <w:rsid w:val="00923B15"/>
    <w:rsid w:val="00925AB2"/>
    <w:rsid w:val="009722BC"/>
    <w:rsid w:val="009727A3"/>
    <w:rsid w:val="00977EB3"/>
    <w:rsid w:val="00984B8B"/>
    <w:rsid w:val="00987774"/>
    <w:rsid w:val="00996FBB"/>
    <w:rsid w:val="009A11E8"/>
    <w:rsid w:val="009C5F92"/>
    <w:rsid w:val="009E30EE"/>
    <w:rsid w:val="009F3381"/>
    <w:rsid w:val="009F5220"/>
    <w:rsid w:val="00A11F19"/>
    <w:rsid w:val="00A15234"/>
    <w:rsid w:val="00A201AB"/>
    <w:rsid w:val="00A240AA"/>
    <w:rsid w:val="00A253BF"/>
    <w:rsid w:val="00A31C8B"/>
    <w:rsid w:val="00A509FA"/>
    <w:rsid w:val="00A544A8"/>
    <w:rsid w:val="00A57A67"/>
    <w:rsid w:val="00A845DC"/>
    <w:rsid w:val="00A85264"/>
    <w:rsid w:val="00A8721C"/>
    <w:rsid w:val="00AA71B2"/>
    <w:rsid w:val="00AD5255"/>
    <w:rsid w:val="00AE1590"/>
    <w:rsid w:val="00AE226C"/>
    <w:rsid w:val="00B20636"/>
    <w:rsid w:val="00B26AA2"/>
    <w:rsid w:val="00B3524D"/>
    <w:rsid w:val="00B40F69"/>
    <w:rsid w:val="00B46616"/>
    <w:rsid w:val="00B7040A"/>
    <w:rsid w:val="00B83391"/>
    <w:rsid w:val="00B86211"/>
    <w:rsid w:val="00B95326"/>
    <w:rsid w:val="00BA334F"/>
    <w:rsid w:val="00BB3DF4"/>
    <w:rsid w:val="00BB3FC4"/>
    <w:rsid w:val="00BB7997"/>
    <w:rsid w:val="00BC481C"/>
    <w:rsid w:val="00BC4DE5"/>
    <w:rsid w:val="00BD2083"/>
    <w:rsid w:val="00BD3A9C"/>
    <w:rsid w:val="00BD4196"/>
    <w:rsid w:val="00BF22CA"/>
    <w:rsid w:val="00BF23BB"/>
    <w:rsid w:val="00C12F97"/>
    <w:rsid w:val="00C217AF"/>
    <w:rsid w:val="00C26032"/>
    <w:rsid w:val="00C345E1"/>
    <w:rsid w:val="00C43BFD"/>
    <w:rsid w:val="00C44CC3"/>
    <w:rsid w:val="00C45496"/>
    <w:rsid w:val="00C70418"/>
    <w:rsid w:val="00C9337C"/>
    <w:rsid w:val="00CB6E35"/>
    <w:rsid w:val="00CC0CC9"/>
    <w:rsid w:val="00CE1A46"/>
    <w:rsid w:val="00D20757"/>
    <w:rsid w:val="00D22636"/>
    <w:rsid w:val="00D40FD9"/>
    <w:rsid w:val="00D50A21"/>
    <w:rsid w:val="00D53769"/>
    <w:rsid w:val="00D6101E"/>
    <w:rsid w:val="00D85C13"/>
    <w:rsid w:val="00D9111A"/>
    <w:rsid w:val="00D91BE3"/>
    <w:rsid w:val="00D91E39"/>
    <w:rsid w:val="00D94AFC"/>
    <w:rsid w:val="00DB1EA9"/>
    <w:rsid w:val="00DB70AE"/>
    <w:rsid w:val="00DD5071"/>
    <w:rsid w:val="00DD5C39"/>
    <w:rsid w:val="00DD6918"/>
    <w:rsid w:val="00DE20CE"/>
    <w:rsid w:val="00DE65C8"/>
    <w:rsid w:val="00DE7DB7"/>
    <w:rsid w:val="00DF2161"/>
    <w:rsid w:val="00DF392C"/>
    <w:rsid w:val="00E00A0A"/>
    <w:rsid w:val="00E024EB"/>
    <w:rsid w:val="00E066DE"/>
    <w:rsid w:val="00E07F57"/>
    <w:rsid w:val="00E30683"/>
    <w:rsid w:val="00E418CE"/>
    <w:rsid w:val="00E453D8"/>
    <w:rsid w:val="00E50BCE"/>
    <w:rsid w:val="00E574BF"/>
    <w:rsid w:val="00E61292"/>
    <w:rsid w:val="00E74B5A"/>
    <w:rsid w:val="00E77C4D"/>
    <w:rsid w:val="00E80AD9"/>
    <w:rsid w:val="00E81D01"/>
    <w:rsid w:val="00E862ED"/>
    <w:rsid w:val="00EE43F3"/>
    <w:rsid w:val="00EE45D8"/>
    <w:rsid w:val="00F07170"/>
    <w:rsid w:val="00F118C6"/>
    <w:rsid w:val="00F22EDA"/>
    <w:rsid w:val="00F556F2"/>
    <w:rsid w:val="00F97703"/>
    <w:rsid w:val="00FA48DC"/>
    <w:rsid w:val="00FA6250"/>
    <w:rsid w:val="00FB6A7F"/>
    <w:rsid w:val="00FC5AE2"/>
    <w:rsid w:val="00FD79ED"/>
    <w:rsid w:val="00FE4D99"/>
    <w:rsid w:val="00FF5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3"/>
    <o:shapelayout v:ext="edit">
      <o:idmap v:ext="edit" data="1"/>
    </o:shapelayout>
  </w:shapeDefaults>
  <w:decimalSymbol w:val="."/>
  <w:listSeparator w:val=","/>
  <w14:docId w14:val="729690B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ownfootnote">
    <w:name w:val="own footnote"/>
    <w:basedOn w:val="FootnoteText"/>
    <w:autoRedefine/>
    <w:rsid w:val="00DE65C8"/>
    <w:pPr>
      <w:ind w:left="540" w:hanging="540"/>
    </w:pPr>
    <w:rPr>
      <w:rFonts w:ascii="Sylfaen" w:hAnsi="Sylfaen"/>
      <w:sz w:val="22"/>
      <w:szCs w:val="22"/>
    </w:rPr>
  </w:style>
  <w:style w:type="paragraph" w:styleId="FootnoteText">
    <w:name w:val="footnote text"/>
    <w:basedOn w:val="Normal"/>
    <w:semiHidden/>
    <w:rsid w:val="00DE65C8"/>
    <w:rPr>
      <w:sz w:val="20"/>
      <w:szCs w:val="20"/>
    </w:rPr>
  </w:style>
  <w:style w:type="paragraph" w:customStyle="1" w:styleId="pedal">
    <w:name w:val="pedal"/>
    <w:basedOn w:val="Footer"/>
    <w:autoRedefine/>
    <w:rsid w:val="00E862ED"/>
    <w:pPr>
      <w:ind w:left="540" w:hanging="540"/>
    </w:pPr>
    <w:rPr>
      <w:rFonts w:ascii="Sylfaen" w:hAnsi="Sylfaen"/>
      <w:sz w:val="22"/>
      <w:szCs w:val="22"/>
    </w:rPr>
  </w:style>
  <w:style w:type="paragraph" w:customStyle="1" w:styleId="pedal1">
    <w:name w:val="pedal1"/>
    <w:basedOn w:val="pedal"/>
    <w:autoRedefine/>
    <w:rsid w:val="000B2183"/>
    <w:pPr>
      <w:ind w:left="539" w:hanging="539"/>
    </w:pPr>
  </w:style>
  <w:style w:type="paragraph" w:customStyle="1" w:styleId="pedal2">
    <w:name w:val="pedal2"/>
    <w:basedOn w:val="pedal"/>
    <w:autoRedefine/>
    <w:rsid w:val="000B2183"/>
    <w:pPr>
      <w:ind w:left="539" w:hanging="539"/>
      <w:jc w:val="both"/>
    </w:pPr>
  </w:style>
  <w:style w:type="paragraph" w:customStyle="1" w:styleId="foot-note">
    <w:name w:val="foot-note"/>
    <w:basedOn w:val="pedal2"/>
    <w:rsid w:val="003A3DA7"/>
  </w:style>
  <w:style w:type="character" w:styleId="FollowedHyperlink">
    <w:name w:val="FollowedHyperlink"/>
    <w:rsid w:val="004335C5"/>
    <w:rPr>
      <w:color w:val="800080"/>
      <w:u w:val="single"/>
    </w:rPr>
  </w:style>
  <w:style w:type="paragraph" w:customStyle="1" w:styleId="Default">
    <w:name w:val="Default"/>
    <w:rsid w:val="004335C5"/>
    <w:pPr>
      <w:autoSpaceDE w:val="0"/>
      <w:autoSpaceDN w:val="0"/>
      <w:adjustRightInd w:val="0"/>
    </w:pPr>
    <w:rPr>
      <w:rFonts w:ascii="Book Antiqua" w:hAnsi="Book Antiqua" w:cs="Book Antiqua"/>
      <w:color w:val="000000"/>
      <w:sz w:val="24"/>
      <w:szCs w:val="24"/>
    </w:rPr>
  </w:style>
  <w:style w:type="character" w:styleId="FootnoteReference">
    <w:name w:val="footnote reference"/>
    <w:semiHidden/>
    <w:rsid w:val="003842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487284">
      <w:bodyDiv w:val="1"/>
      <w:marLeft w:val="0"/>
      <w:marRight w:val="0"/>
      <w:marTop w:val="0"/>
      <w:marBottom w:val="0"/>
      <w:divBdr>
        <w:top w:val="none" w:sz="0" w:space="0" w:color="auto"/>
        <w:left w:val="none" w:sz="0" w:space="0" w:color="auto"/>
        <w:bottom w:val="none" w:sz="0" w:space="0" w:color="auto"/>
        <w:right w:val="none" w:sz="0" w:space="0" w:color="auto"/>
      </w:divBdr>
    </w:div>
    <w:div w:id="1728457106">
      <w:bodyDiv w:val="1"/>
      <w:marLeft w:val="0"/>
      <w:marRight w:val="0"/>
      <w:marTop w:val="0"/>
      <w:marBottom w:val="0"/>
      <w:divBdr>
        <w:top w:val="none" w:sz="0" w:space="0" w:color="auto"/>
        <w:left w:val="none" w:sz="0" w:space="0" w:color="auto"/>
        <w:bottom w:val="none" w:sz="0" w:space="0" w:color="auto"/>
        <w:right w:val="none" w:sz="0" w:space="0" w:color="auto"/>
      </w:divBdr>
      <w:divsChild>
        <w:div w:id="7850069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1884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cgi-bin/format.cgi?doc=/uk/cases/UKUT/IAC/2016/308.html&amp;query=(title:(+ssh+))" TargetMode="External"/><Relationship Id="rId13" Type="http://schemas.openxmlformats.org/officeDocument/2006/relationships/hyperlink" Target="http://www.bailii.org/cgi-bin/format.cgi?doc=/uk/cases/UKUT/IAC/2016/308.html&amp;query=(title:(+ssh+))"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bailii.org/cgi-bin/format.cgi?doc=/uk/cases/UKSC/2010/49.html&amp;query=%28title:%28+ma+%29%29"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ilii.org/cgi-bin/format.cgi?doc=/uk/cases/UKUT/IAC/2016/308.html&amp;query=(title:(+ssh+))"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www.bailii.org/cgi-bin/format.cgi?doc=/uk/cases/UKUT/IAC/2015/257.html&amp;query=(title:(+a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ailii.org/cgi-bin/format.cgi?doc=/uk/cases/UKSC/2010/49.html&amp;query=%28title:%28+ma+%29%29" TargetMode="External"/><Relationship Id="rId14" Type="http://schemas.openxmlformats.org/officeDocument/2006/relationships/hyperlink" Target="http://www.bailii.org/cgi-bin/format.cgi?doc=/uk/cases/UKUT/IAC/2016/308.html&amp;query=(title:(+s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2539</Words>
  <Characters>12787</Characters>
  <Application>Microsoft Office Word</Application>
  <DocSecurity>0</DocSecurity>
  <Lines>106</Lines>
  <Paragraphs>30</Paragraphs>
  <ScaleCrop>false</ScaleCrop>
  <Company/>
  <LinksUpToDate>false</LinksUpToDate>
  <CharactersWithSpaces>15296</CharactersWithSpaces>
  <SharedDoc>false</SharedDoc>
  <HLinks>
    <vt:vector size="42" baseType="variant">
      <vt:variant>
        <vt:i4>6291500</vt:i4>
      </vt:variant>
      <vt:variant>
        <vt:i4>27</vt:i4>
      </vt:variant>
      <vt:variant>
        <vt:i4>0</vt:i4>
      </vt:variant>
      <vt:variant>
        <vt:i4>5</vt:i4>
      </vt:variant>
      <vt:variant>
        <vt:lpwstr>http://www.bailii.org/cgi-bin/format.cgi?doc=/uk/cases/UKUT/IAC/2016/308.html&amp;query=(title:(+ssh+))</vt:lpwstr>
      </vt:variant>
      <vt:variant>
        <vt:lpwstr/>
      </vt:variant>
      <vt:variant>
        <vt:i4>6291500</vt:i4>
      </vt:variant>
      <vt:variant>
        <vt:i4>24</vt:i4>
      </vt:variant>
      <vt:variant>
        <vt:i4>0</vt:i4>
      </vt:variant>
      <vt:variant>
        <vt:i4>5</vt:i4>
      </vt:variant>
      <vt:variant>
        <vt:lpwstr>http://www.bailii.org/cgi-bin/format.cgi?doc=/uk/cases/UKUT/IAC/2016/308.html&amp;query=(title:(+ssh+))</vt:lpwstr>
      </vt:variant>
      <vt:variant>
        <vt:lpwstr/>
      </vt:variant>
      <vt:variant>
        <vt:i4>5767173</vt:i4>
      </vt:variant>
      <vt:variant>
        <vt:i4>21</vt:i4>
      </vt:variant>
      <vt:variant>
        <vt:i4>0</vt:i4>
      </vt:variant>
      <vt:variant>
        <vt:i4>5</vt:i4>
      </vt:variant>
      <vt:variant>
        <vt:lpwstr>http://www.bailii.org/cgi-bin/format.cgi?doc=/uk/cases/UKSC/2010/49.html&amp;query=%28title:%28+ma+%29%29</vt:lpwstr>
      </vt:variant>
      <vt:variant>
        <vt:lpwstr/>
      </vt:variant>
      <vt:variant>
        <vt:i4>6291500</vt:i4>
      </vt:variant>
      <vt:variant>
        <vt:i4>18</vt:i4>
      </vt:variant>
      <vt:variant>
        <vt:i4>0</vt:i4>
      </vt:variant>
      <vt:variant>
        <vt:i4>5</vt:i4>
      </vt:variant>
      <vt:variant>
        <vt:lpwstr>http://www.bailii.org/cgi-bin/format.cgi?doc=/uk/cases/UKUT/IAC/2016/308.html&amp;query=(title:(+ssh+))</vt:lpwstr>
      </vt:variant>
      <vt:variant>
        <vt:lpwstr/>
      </vt:variant>
      <vt:variant>
        <vt:i4>3932218</vt:i4>
      </vt:variant>
      <vt:variant>
        <vt:i4>15</vt:i4>
      </vt:variant>
      <vt:variant>
        <vt:i4>0</vt:i4>
      </vt:variant>
      <vt:variant>
        <vt:i4>5</vt:i4>
      </vt:variant>
      <vt:variant>
        <vt:lpwstr>http://www.bailii.org/cgi-bin/format.cgi?doc=/uk/cases/UKUT/IAC/2015/257.html&amp;query=(title:(+ab+))</vt:lpwstr>
      </vt:variant>
      <vt:variant>
        <vt:lpwstr/>
      </vt:variant>
      <vt:variant>
        <vt:i4>5767173</vt:i4>
      </vt:variant>
      <vt:variant>
        <vt:i4>12</vt:i4>
      </vt:variant>
      <vt:variant>
        <vt:i4>0</vt:i4>
      </vt:variant>
      <vt:variant>
        <vt:i4>5</vt:i4>
      </vt:variant>
      <vt:variant>
        <vt:lpwstr>http://www.bailii.org/cgi-bin/format.cgi?doc=/uk/cases/UKSC/2010/49.html&amp;query=%28title:%28+ma+%29%29</vt:lpwstr>
      </vt:variant>
      <vt:variant>
        <vt:lpwstr/>
      </vt:variant>
      <vt:variant>
        <vt:i4>6291500</vt:i4>
      </vt:variant>
      <vt:variant>
        <vt:i4>9</vt:i4>
      </vt:variant>
      <vt:variant>
        <vt:i4>0</vt:i4>
      </vt:variant>
      <vt:variant>
        <vt:i4>5</vt:i4>
      </vt:variant>
      <vt:variant>
        <vt:lpwstr>http://www.bailii.org/cgi-bin/format.cgi?doc=/uk/cases/UKUT/IAC/2016/308.html&amp;query=(title:(+ssh+))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2018-06-19T12:25:00Z</dcterms:created>
  <dcterms:modified xsi:type="dcterms:W3CDTF">2018-06-19T12:25:00Z</dcterms:modified>
</cp:coreProperties>
</file>