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28240A" w:rsidP="006B6451">
      <w:pPr>
        <w:jc w:val="center"/>
        <w:rPr>
          <w:rFonts w:ascii="Book Antiqua" w:hAnsi="Book Antiqua" w:cs="Arial"/>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 xml:space="preserve">(Immigration and Asylum </w:t>
      </w:r>
      <w:proofErr w:type="gramStart"/>
      <w:r w:rsidRPr="00C01D77">
        <w:rPr>
          <w:rFonts w:ascii="Book Antiqua" w:hAnsi="Book Antiqua" w:cs="Arial"/>
          <w:b/>
        </w:rPr>
        <w:t>Chamber)</w:t>
      </w:r>
      <w:r w:rsidR="00D04528">
        <w:rPr>
          <w:rFonts w:ascii="Book Antiqua" w:hAnsi="Book Antiqua" w:cs="Arial"/>
          <w:b/>
        </w:rPr>
        <w:t xml:space="preserve">   </w:t>
      </w:r>
      <w:proofErr w:type="gramEnd"/>
      <w:r w:rsidR="00D04528">
        <w:rPr>
          <w:rFonts w:ascii="Book Antiqua" w:hAnsi="Book Antiqua" w:cs="Arial"/>
          <w:b/>
        </w:rPr>
        <w:t xml:space="preserve">                   </w:t>
      </w:r>
      <w:r w:rsidR="00B3524D" w:rsidRPr="00D04528">
        <w:rPr>
          <w:rFonts w:ascii="Book Antiqua" w:hAnsi="Book Antiqua" w:cs="Arial"/>
          <w:b/>
        </w:rPr>
        <w:t>Appeal Number</w:t>
      </w:r>
      <w:r w:rsidR="00D53769" w:rsidRPr="00D04528">
        <w:rPr>
          <w:rFonts w:ascii="Book Antiqua" w:hAnsi="Book Antiqua" w:cs="Arial"/>
          <w:b/>
        </w:rPr>
        <w:t>:</w:t>
      </w:r>
      <w:r w:rsidR="00B3524D" w:rsidRPr="00D04528">
        <w:rPr>
          <w:rFonts w:ascii="Book Antiqua" w:hAnsi="Book Antiqua" w:cs="Arial"/>
          <w:b/>
        </w:rPr>
        <w:t xml:space="preserve"> </w:t>
      </w:r>
      <w:r w:rsidR="0021405D" w:rsidRPr="00D04528">
        <w:rPr>
          <w:rFonts w:ascii="Book Antiqua" w:hAnsi="Book Antiqua" w:cs="Arial"/>
          <w:b/>
          <w:caps/>
        </w:rPr>
        <w:t>PA/01161/2018</w:t>
      </w:r>
    </w:p>
    <w:p w:rsidR="00C345E1" w:rsidRPr="00C01D77" w:rsidRDefault="00C345E1" w:rsidP="000647CD">
      <w:pP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0647CD">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11"/>
        <w:gridCol w:w="837"/>
        <w:gridCol w:w="3960"/>
      </w:tblGrid>
      <w:tr w:rsidR="00D22636" w:rsidRPr="00C01D77" w:rsidTr="000245A4">
        <w:tc>
          <w:tcPr>
            <w:tcW w:w="5211"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21405D">
              <w:rPr>
                <w:rFonts w:ascii="Book Antiqua" w:hAnsi="Book Antiqua" w:cs="Arial"/>
                <w:b/>
              </w:rPr>
              <w:t>Field House UT</w:t>
            </w:r>
          </w:p>
        </w:tc>
        <w:tc>
          <w:tcPr>
            <w:tcW w:w="4797" w:type="dxa"/>
            <w:gridSpan w:val="2"/>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0245A4">
        <w:tc>
          <w:tcPr>
            <w:tcW w:w="5211"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21405D">
              <w:rPr>
                <w:rFonts w:ascii="Book Antiqua" w:hAnsi="Book Antiqua" w:cs="Arial"/>
                <w:b/>
              </w:rPr>
              <w:t>13</w:t>
            </w:r>
            <w:r w:rsidR="0021405D" w:rsidRPr="0021405D">
              <w:rPr>
                <w:rFonts w:ascii="Book Antiqua" w:hAnsi="Book Antiqua" w:cs="Arial"/>
                <w:b/>
                <w:vertAlign w:val="superscript"/>
              </w:rPr>
              <w:t>th</w:t>
            </w:r>
            <w:r w:rsidR="0021405D">
              <w:rPr>
                <w:rFonts w:ascii="Book Antiqua" w:hAnsi="Book Antiqua" w:cs="Arial"/>
                <w:b/>
              </w:rPr>
              <w:t xml:space="preserve"> June 2018</w:t>
            </w:r>
          </w:p>
        </w:tc>
        <w:tc>
          <w:tcPr>
            <w:tcW w:w="4797" w:type="dxa"/>
            <w:gridSpan w:val="2"/>
          </w:tcPr>
          <w:p w:rsidR="00D22636" w:rsidRPr="00C01D77" w:rsidRDefault="000245A4" w:rsidP="004A1848">
            <w:pPr>
              <w:jc w:val="both"/>
              <w:rPr>
                <w:rFonts w:ascii="Book Antiqua" w:hAnsi="Book Antiqua" w:cs="Arial"/>
                <w:b/>
              </w:rPr>
            </w:pPr>
            <w:r>
              <w:rPr>
                <w:rFonts w:ascii="Book Antiqua" w:hAnsi="Book Antiqua" w:cs="Arial"/>
                <w:b/>
              </w:rPr>
              <w:t>On 22</w:t>
            </w:r>
            <w:r w:rsidRPr="000245A4">
              <w:rPr>
                <w:rFonts w:ascii="Book Antiqua" w:hAnsi="Book Antiqua" w:cs="Arial"/>
                <w:b/>
                <w:vertAlign w:val="superscript"/>
              </w:rPr>
              <w:t>nd</w:t>
            </w:r>
            <w:r>
              <w:rPr>
                <w:rFonts w:ascii="Book Antiqua" w:hAnsi="Book Antiqua" w:cs="Arial"/>
                <w:b/>
              </w:rPr>
              <w:t xml:space="preserve"> June 2018 </w:t>
            </w:r>
          </w:p>
        </w:tc>
      </w:tr>
      <w:tr w:rsidR="00D22636" w:rsidRPr="00C01D77" w:rsidTr="000245A4">
        <w:tc>
          <w:tcPr>
            <w:tcW w:w="6048" w:type="dxa"/>
            <w:gridSpan w:val="2"/>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0647CD">
      <w:pP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9B3C25" w:rsidP="00742A8D">
      <w:pPr>
        <w:jc w:val="center"/>
        <w:rPr>
          <w:rFonts w:ascii="Book Antiqua" w:hAnsi="Book Antiqua" w:cs="Arial"/>
          <w:b/>
          <w:caps/>
        </w:rPr>
      </w:pPr>
      <w:r>
        <w:rPr>
          <w:rFonts w:ascii="Book Antiqua" w:hAnsi="Book Antiqua" w:cs="Arial"/>
          <w:b/>
          <w:caps/>
        </w:rPr>
        <w:t>R</w:t>
      </w:r>
      <w:r w:rsidR="00FF08BF">
        <w:rPr>
          <w:rFonts w:ascii="Book Antiqua" w:hAnsi="Book Antiqua" w:cs="Arial"/>
          <w:b/>
          <w:caps/>
        </w:rPr>
        <w:t>.</w:t>
      </w:r>
      <w:r>
        <w:rPr>
          <w:rFonts w:ascii="Book Antiqua" w:hAnsi="Book Antiqua" w:cs="Arial"/>
          <w:b/>
          <w:caps/>
        </w:rPr>
        <w:t>M</w:t>
      </w:r>
      <w:r w:rsidR="00FF08BF">
        <w:rPr>
          <w:rFonts w:ascii="Book Antiqua" w:hAnsi="Book Antiqua" w:cs="Arial"/>
          <w:b/>
          <w:caps/>
        </w:rPr>
        <w:t>.</w:t>
      </w:r>
    </w:p>
    <w:p w:rsidR="00073E80" w:rsidRPr="00D04528" w:rsidRDefault="00073E80" w:rsidP="00073E80">
      <w:pPr>
        <w:jc w:val="center"/>
        <w:rPr>
          <w:rFonts w:ascii="Book Antiqua" w:hAnsi="Book Antiqua" w:cs="Arial"/>
          <w:caps/>
        </w:rPr>
      </w:pPr>
      <w:r w:rsidRPr="00D04528">
        <w:rPr>
          <w:rFonts w:ascii="Book Antiqua" w:hAnsi="Book Antiqua" w:cs="Arial"/>
          <w:caps/>
        </w:rPr>
        <w:t xml:space="preserve">(ANONYMITY DIRECTION </w:t>
      </w:r>
      <w:r w:rsidR="0021405D" w:rsidRPr="00D04528">
        <w:rPr>
          <w:rFonts w:ascii="Book Antiqua" w:hAnsi="Book Antiqua" w:cs="Arial"/>
          <w:caps/>
        </w:rPr>
        <w:t>made</w:t>
      </w:r>
      <w:r w:rsidRPr="00D04528">
        <w:rPr>
          <w:rFonts w:ascii="Book Antiqua" w:hAnsi="Book Antiqua" w:cs="Arial"/>
          <w:caps/>
        </w:rPr>
        <w:t>)</w:t>
      </w:r>
    </w:p>
    <w:p w:rsidR="006D1DFA" w:rsidRPr="000647CD" w:rsidRDefault="00704B61" w:rsidP="000647CD">
      <w:pPr>
        <w:jc w:val="right"/>
        <w:rPr>
          <w:rFonts w:ascii="Book Antiqua" w:hAnsi="Book Antiqua" w:cs="Arial"/>
          <w:u w:val="single"/>
        </w:rPr>
      </w:pPr>
      <w:r w:rsidRPr="00C01D77">
        <w:rPr>
          <w:rFonts w:ascii="Book Antiqua" w:hAnsi="Book Antiqua" w:cs="Arial"/>
          <w:u w:val="single"/>
        </w:rPr>
        <w:t>Appellant</w:t>
      </w:r>
    </w:p>
    <w:p w:rsidR="00D04528" w:rsidRDefault="00D04528"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Default="00DD5071" w:rsidP="00704B61">
      <w:pPr>
        <w:jc w:val="center"/>
        <w:rPr>
          <w:rFonts w:ascii="Book Antiqua" w:hAnsi="Book Antiqua" w:cs="Arial"/>
          <w:b/>
        </w:rPr>
      </w:pPr>
    </w:p>
    <w:p w:rsidR="00D04528" w:rsidRPr="00C01D77" w:rsidRDefault="00D04528" w:rsidP="00704B61">
      <w:pPr>
        <w:jc w:val="center"/>
        <w:rPr>
          <w:rFonts w:ascii="Book Antiqua" w:hAnsi="Book Antiqua" w:cs="Arial"/>
          <w:b/>
        </w:rPr>
      </w:pPr>
      <w:r>
        <w:rPr>
          <w:rFonts w:ascii="Book Antiqua" w:hAnsi="Book Antiqua" w:cs="Arial"/>
          <w:b/>
        </w:rPr>
        <w:t>THE SECRETARY OF STATE FOR THE HOME DEPARTMENT</w:t>
      </w: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21405D">
        <w:rPr>
          <w:rFonts w:ascii="Book Antiqua" w:hAnsi="Book Antiqua" w:cs="Arial"/>
        </w:rPr>
        <w:t xml:space="preserve">Mr </w:t>
      </w:r>
      <w:proofErr w:type="spellStart"/>
      <w:r w:rsidR="0021405D">
        <w:rPr>
          <w:rFonts w:ascii="Book Antiqua" w:hAnsi="Book Antiqua" w:cs="Arial"/>
        </w:rPr>
        <w:t>Sel</w:t>
      </w:r>
      <w:r w:rsidR="003530DD">
        <w:rPr>
          <w:rFonts w:ascii="Book Antiqua" w:hAnsi="Book Antiqua" w:cs="Arial"/>
        </w:rPr>
        <w:t>l</w:t>
      </w:r>
      <w:r w:rsidR="00FF08BF">
        <w:rPr>
          <w:rFonts w:ascii="Book Antiqua" w:hAnsi="Book Antiqua" w:cs="Arial"/>
        </w:rPr>
        <w:t>wood</w:t>
      </w:r>
      <w:proofErr w:type="spellEnd"/>
      <w:r w:rsidR="00FF08BF">
        <w:rPr>
          <w:rFonts w:ascii="Book Antiqua" w:hAnsi="Book Antiqua" w:cs="Arial"/>
        </w:rPr>
        <w:t xml:space="preserve"> of Counsel</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21405D">
        <w:rPr>
          <w:rFonts w:ascii="Book Antiqua" w:hAnsi="Book Antiqua" w:cs="Arial"/>
        </w:rPr>
        <w:t>Mr P Duffy, Senior Home Office Presenting Officer</w:t>
      </w:r>
    </w:p>
    <w:p w:rsidR="00DE7DB7" w:rsidRPr="00C01D77" w:rsidRDefault="00DE7DB7" w:rsidP="00402B9E">
      <w:pPr>
        <w:tabs>
          <w:tab w:val="left" w:pos="2520"/>
        </w:tabs>
        <w:jc w:val="center"/>
        <w:rPr>
          <w:rFonts w:ascii="Book Antiqua" w:hAnsi="Book Antiqua" w:cs="Arial"/>
        </w:rPr>
      </w:pPr>
    </w:p>
    <w:p w:rsidR="00073E80" w:rsidRDefault="00073E80" w:rsidP="00402B9E">
      <w:pPr>
        <w:tabs>
          <w:tab w:val="left" w:pos="2520"/>
        </w:tabs>
        <w:jc w:val="both"/>
        <w:rPr>
          <w:rFonts w:ascii="Book Antiqua" w:hAnsi="Book Antiqua" w:cs="Arial"/>
        </w:rPr>
      </w:pPr>
    </w:p>
    <w:p w:rsidR="0021405D" w:rsidRPr="0021405D" w:rsidRDefault="0021405D" w:rsidP="00402B9E">
      <w:pPr>
        <w:tabs>
          <w:tab w:val="left" w:pos="2520"/>
        </w:tabs>
        <w:jc w:val="both"/>
        <w:rPr>
          <w:rFonts w:ascii="Book Antiqua" w:hAnsi="Book Antiqua" w:cs="Arial"/>
          <w:b/>
          <w:u w:val="single"/>
        </w:rPr>
      </w:pPr>
      <w:r w:rsidRPr="0021405D">
        <w:rPr>
          <w:rFonts w:ascii="Book Antiqua" w:hAnsi="Book Antiqua" w:cs="Arial"/>
          <w:b/>
          <w:u w:val="single"/>
        </w:rPr>
        <w:t>Anonymity</w:t>
      </w:r>
    </w:p>
    <w:p w:rsidR="00FF08BF" w:rsidRDefault="00FF08BF" w:rsidP="00FF08BF">
      <w:pPr>
        <w:rPr>
          <w:rFonts w:ascii="Book Antiqua" w:hAnsi="Book Antiqua" w:cs="Arial"/>
          <w:i/>
        </w:rPr>
      </w:pPr>
      <w:bookmarkStart w:id="0" w:name="_Hlk517181830"/>
    </w:p>
    <w:p w:rsidR="00FF08BF" w:rsidRPr="002B111E" w:rsidRDefault="00FF08BF" w:rsidP="00FF08BF">
      <w:pPr>
        <w:rPr>
          <w:rFonts w:ascii="Book Antiqua" w:hAnsi="Book Antiqua" w:cs="Arial"/>
          <w:i/>
        </w:rPr>
      </w:pPr>
      <w:r w:rsidRPr="002B111E">
        <w:rPr>
          <w:rFonts w:ascii="Book Antiqua" w:hAnsi="Book Antiqua" w:cs="Arial"/>
          <w:i/>
        </w:rPr>
        <w:t>Rule 14: The Tribunal Procedure (Upper Tribunal) Rules 2008</w:t>
      </w:r>
    </w:p>
    <w:p w:rsidR="00FF08BF" w:rsidRPr="002B111E" w:rsidRDefault="00FF08BF" w:rsidP="00FF08BF">
      <w:pPr>
        <w:rPr>
          <w:rFonts w:ascii="Book Antiqua" w:hAnsi="Book Antiqua" w:cs="Arial"/>
        </w:rPr>
      </w:pPr>
      <w:r>
        <w:rPr>
          <w:rFonts w:ascii="Book Antiqua" w:hAnsi="Book Antiqua" w:cs="Arial"/>
        </w:rPr>
        <w:t xml:space="preserve">An anonymity direction is made. As this a protection claim made by a minor, it is appropriate to do so. </w:t>
      </w:r>
    </w:p>
    <w:p w:rsidR="00FF08BF" w:rsidRDefault="00FF08BF">
      <w:pPr>
        <w:rPr>
          <w:rFonts w:ascii="Book Antiqua" w:hAnsi="Book Antiqua" w:cs="Arial"/>
          <w:b/>
          <w:u w:val="single"/>
        </w:rPr>
      </w:pPr>
    </w:p>
    <w:p w:rsidR="00FF08BF" w:rsidRDefault="00FF08BF" w:rsidP="00FF08BF">
      <w:pPr>
        <w:tabs>
          <w:tab w:val="left" w:pos="2520"/>
        </w:tabs>
        <w:jc w:val="center"/>
        <w:rPr>
          <w:rFonts w:ascii="Book Antiqua" w:hAnsi="Book Antiqua" w:cs="Arial"/>
          <w:b/>
          <w:u w:val="single"/>
        </w:rPr>
      </w:pPr>
      <w:r>
        <w:rPr>
          <w:rFonts w:ascii="Book Antiqua" w:hAnsi="Book Antiqua" w:cs="Arial"/>
          <w:b/>
          <w:u w:val="single"/>
        </w:rPr>
        <w:t xml:space="preserve">DECISION </w:t>
      </w:r>
      <w:r w:rsidRPr="00C01D77">
        <w:rPr>
          <w:rFonts w:ascii="Book Antiqua" w:hAnsi="Book Antiqua" w:cs="Arial"/>
          <w:b/>
          <w:u w:val="single"/>
        </w:rPr>
        <w:t>AND REASONS</w:t>
      </w:r>
    </w:p>
    <w:p w:rsidR="002174B1" w:rsidRPr="00C01D77" w:rsidRDefault="002174B1" w:rsidP="00FF08BF">
      <w:pPr>
        <w:tabs>
          <w:tab w:val="left" w:pos="2520"/>
        </w:tabs>
        <w:jc w:val="center"/>
        <w:rPr>
          <w:rFonts w:ascii="Book Antiqua" w:hAnsi="Book Antiqua" w:cs="Arial"/>
        </w:rPr>
      </w:pPr>
    </w:p>
    <w:bookmarkEnd w:id="0"/>
    <w:p w:rsidR="0021405D" w:rsidRDefault="0021405D" w:rsidP="0021405D">
      <w:pPr>
        <w:numPr>
          <w:ilvl w:val="0"/>
          <w:numId w:val="3"/>
        </w:numPr>
        <w:spacing w:before="240"/>
        <w:jc w:val="both"/>
        <w:rPr>
          <w:rFonts w:ascii="Book Antiqua" w:hAnsi="Book Antiqua" w:cs="Arial"/>
        </w:rPr>
      </w:pPr>
      <w:r>
        <w:rPr>
          <w:rFonts w:ascii="Book Antiqua" w:hAnsi="Book Antiqua" w:cs="Arial"/>
        </w:rPr>
        <w:t>The Appellant</w:t>
      </w:r>
      <w:r w:rsidR="00FF08BF">
        <w:rPr>
          <w:rFonts w:ascii="Book Antiqua" w:hAnsi="Book Antiqua" w:cs="Arial"/>
        </w:rPr>
        <w:t>,</w:t>
      </w:r>
      <w:r>
        <w:rPr>
          <w:rFonts w:ascii="Book Antiqua" w:hAnsi="Book Antiqua" w:cs="Arial"/>
        </w:rPr>
        <w:t xml:space="preserve"> a citizen of Albania (date of birth 20</w:t>
      </w:r>
      <w:r w:rsidRPr="0021405D">
        <w:rPr>
          <w:rFonts w:ascii="Book Antiqua" w:hAnsi="Book Antiqua" w:cs="Arial"/>
          <w:vertAlign w:val="superscript"/>
        </w:rPr>
        <w:t>th</w:t>
      </w:r>
      <w:r>
        <w:rPr>
          <w:rFonts w:ascii="Book Antiqua" w:hAnsi="Book Antiqua" w:cs="Arial"/>
        </w:rPr>
        <w:t xml:space="preserve"> January 2002)</w:t>
      </w:r>
      <w:r w:rsidR="00FF08BF">
        <w:rPr>
          <w:rFonts w:ascii="Book Antiqua" w:hAnsi="Book Antiqua" w:cs="Arial"/>
        </w:rPr>
        <w:t>,</w:t>
      </w:r>
      <w:r>
        <w:rPr>
          <w:rFonts w:ascii="Book Antiqua" w:hAnsi="Book Antiqua" w:cs="Arial"/>
        </w:rPr>
        <w:t xml:space="preserve"> appeals with permission against the decision of the First-tier Tribunal (Judge Geraint Jones QC) promulgated on 14</w:t>
      </w:r>
      <w:r w:rsidRPr="0021405D">
        <w:rPr>
          <w:rFonts w:ascii="Book Antiqua" w:hAnsi="Book Antiqua" w:cs="Arial"/>
          <w:vertAlign w:val="superscript"/>
        </w:rPr>
        <w:t>th</w:t>
      </w:r>
      <w:r>
        <w:rPr>
          <w:rFonts w:ascii="Book Antiqua" w:hAnsi="Book Antiqua" w:cs="Arial"/>
        </w:rPr>
        <w:t xml:space="preserve"> March 2018, dismissing his appeal against the</w:t>
      </w:r>
      <w:r w:rsidR="009B3C25">
        <w:rPr>
          <w:rFonts w:ascii="Book Antiqua" w:hAnsi="Book Antiqua" w:cs="Arial"/>
        </w:rPr>
        <w:t xml:space="preserve"> Respondent’s</w:t>
      </w:r>
      <w:r>
        <w:rPr>
          <w:rFonts w:ascii="Book Antiqua" w:hAnsi="Book Antiqua" w:cs="Arial"/>
        </w:rPr>
        <w:t xml:space="preserve"> refusal of his protection claim.  </w:t>
      </w:r>
    </w:p>
    <w:p w:rsidR="0021405D" w:rsidRPr="0021405D" w:rsidRDefault="0021405D" w:rsidP="0021405D">
      <w:pPr>
        <w:spacing w:before="240"/>
        <w:jc w:val="both"/>
        <w:rPr>
          <w:rFonts w:ascii="Book Antiqua" w:hAnsi="Book Antiqua" w:cs="Arial"/>
          <w:b/>
          <w:u w:val="single"/>
        </w:rPr>
      </w:pPr>
      <w:bookmarkStart w:id="1" w:name="_GoBack"/>
      <w:bookmarkEnd w:id="1"/>
      <w:r w:rsidRPr="0021405D">
        <w:rPr>
          <w:rFonts w:ascii="Book Antiqua" w:hAnsi="Book Antiqua" w:cs="Arial"/>
          <w:b/>
          <w:u w:val="single"/>
        </w:rPr>
        <w:lastRenderedPageBreak/>
        <w:t>Background</w:t>
      </w:r>
    </w:p>
    <w:p w:rsidR="0021405D" w:rsidRDefault="00FF08BF" w:rsidP="00E943B7">
      <w:pPr>
        <w:numPr>
          <w:ilvl w:val="0"/>
          <w:numId w:val="3"/>
        </w:numPr>
        <w:spacing w:before="240"/>
        <w:jc w:val="both"/>
        <w:rPr>
          <w:rFonts w:ascii="Book Antiqua" w:hAnsi="Book Antiqua" w:cs="Arial"/>
        </w:rPr>
      </w:pPr>
      <w:r>
        <w:rPr>
          <w:rFonts w:ascii="Book Antiqua" w:hAnsi="Book Antiqua" w:cs="Arial"/>
        </w:rPr>
        <w:t>In summary t</w:t>
      </w:r>
      <w:r w:rsidR="0021405D">
        <w:rPr>
          <w:rFonts w:ascii="Book Antiqua" w:hAnsi="Book Antiqua" w:cs="Arial"/>
        </w:rPr>
        <w:t>he core of the Appellant’s prot</w:t>
      </w:r>
      <w:r w:rsidR="009B3C25">
        <w:rPr>
          <w:rFonts w:ascii="Book Antiqua" w:hAnsi="Book Antiqua" w:cs="Arial"/>
        </w:rPr>
        <w:t xml:space="preserve">ection claim </w:t>
      </w:r>
      <w:r w:rsidR="0021405D">
        <w:rPr>
          <w:rFonts w:ascii="Book Antiqua" w:hAnsi="Book Antiqua" w:cs="Arial"/>
        </w:rPr>
        <w:t>is that he is a minor</w:t>
      </w:r>
      <w:r w:rsidR="009B3C25">
        <w:rPr>
          <w:rFonts w:ascii="Book Antiqua" w:hAnsi="Book Antiqua" w:cs="Arial"/>
        </w:rPr>
        <w:t xml:space="preserve"> who comes</w:t>
      </w:r>
      <w:r w:rsidR="0021405D">
        <w:rPr>
          <w:rFonts w:ascii="Book Antiqua" w:hAnsi="Book Antiqua" w:cs="Arial"/>
        </w:rPr>
        <w:t xml:space="preserve"> from a village in the northeast</w:t>
      </w:r>
      <w:r w:rsidR="009B3C25">
        <w:rPr>
          <w:rFonts w:ascii="Book Antiqua" w:hAnsi="Book Antiqua" w:cs="Arial"/>
        </w:rPr>
        <w:t xml:space="preserve"> part of Albania.  His mother</w:t>
      </w:r>
      <w:r>
        <w:rPr>
          <w:rFonts w:ascii="Book Antiqua" w:hAnsi="Book Antiqua" w:cs="Arial"/>
        </w:rPr>
        <w:t>,</w:t>
      </w:r>
      <w:r w:rsidR="009B3C25">
        <w:rPr>
          <w:rFonts w:ascii="Book Antiqua" w:hAnsi="Book Antiqua" w:cs="Arial"/>
        </w:rPr>
        <w:t xml:space="preserve"> and the Appellant himself, are victims</w:t>
      </w:r>
      <w:r w:rsidR="0021405D">
        <w:rPr>
          <w:rFonts w:ascii="Book Antiqua" w:hAnsi="Book Antiqua" w:cs="Arial"/>
        </w:rPr>
        <w:t xml:space="preserve"> of domestic violence</w:t>
      </w:r>
      <w:r w:rsidR="009B3C25">
        <w:rPr>
          <w:rFonts w:ascii="Book Antiqua" w:hAnsi="Book Antiqua" w:cs="Arial"/>
        </w:rPr>
        <w:t xml:space="preserve"> perpetrated by his alcoholic father</w:t>
      </w:r>
      <w:r w:rsidR="0021405D">
        <w:rPr>
          <w:rFonts w:ascii="Book Antiqua" w:hAnsi="Book Antiqua" w:cs="Arial"/>
        </w:rPr>
        <w:t xml:space="preserve">. </w:t>
      </w:r>
      <w:r w:rsidR="009B3C25">
        <w:rPr>
          <w:rFonts w:ascii="Book Antiqua" w:hAnsi="Book Antiqua" w:cs="Arial"/>
        </w:rPr>
        <w:t>His father has now left the home and his whereabouts is</w:t>
      </w:r>
      <w:r w:rsidR="00F81879">
        <w:rPr>
          <w:rFonts w:ascii="Book Antiqua" w:hAnsi="Book Antiqua" w:cs="Arial"/>
        </w:rPr>
        <w:t xml:space="preserve"> unknown.  </w:t>
      </w:r>
    </w:p>
    <w:p w:rsidR="00F81879" w:rsidRDefault="00F81879" w:rsidP="00E943B7">
      <w:pPr>
        <w:numPr>
          <w:ilvl w:val="0"/>
          <w:numId w:val="3"/>
        </w:numPr>
        <w:spacing w:before="240"/>
        <w:jc w:val="both"/>
        <w:rPr>
          <w:rFonts w:ascii="Book Antiqua" w:hAnsi="Book Antiqua" w:cs="Arial"/>
        </w:rPr>
      </w:pPr>
      <w:r>
        <w:rPr>
          <w:rFonts w:ascii="Book Antiqua" w:hAnsi="Book Antiqua" w:cs="Arial"/>
        </w:rPr>
        <w:t xml:space="preserve">The Appellant’s claim is that the fields around his village are used </w:t>
      </w:r>
      <w:r w:rsidR="00FF08BF">
        <w:rPr>
          <w:rFonts w:ascii="Book Antiqua" w:hAnsi="Book Antiqua" w:cs="Arial"/>
        </w:rPr>
        <w:t xml:space="preserve">by organised criminal gangs and networks </w:t>
      </w:r>
      <w:r>
        <w:rPr>
          <w:rFonts w:ascii="Book Antiqua" w:hAnsi="Book Antiqua" w:cs="Arial"/>
        </w:rPr>
        <w:t xml:space="preserve">for the illegal cultivation of cannabis.  The Appellant’s fear is that if he remained in his home village, he would be kidnapped and forced to work for the criminal gangs. </w:t>
      </w:r>
      <w:r w:rsidR="009B3C25">
        <w:rPr>
          <w:rFonts w:ascii="Book Antiqua" w:hAnsi="Book Antiqua" w:cs="Arial"/>
        </w:rPr>
        <w:t>There is no protection available to the Appellant as t</w:t>
      </w:r>
      <w:r>
        <w:rPr>
          <w:rFonts w:ascii="Book Antiqua" w:hAnsi="Book Antiqua" w:cs="Arial"/>
        </w:rPr>
        <w:t xml:space="preserve">he police and local </w:t>
      </w:r>
      <w:r w:rsidR="000647CD">
        <w:rPr>
          <w:rFonts w:ascii="Book Antiqua" w:hAnsi="Book Antiqua" w:cs="Arial"/>
        </w:rPr>
        <w:t>dignitaries</w:t>
      </w:r>
      <w:r w:rsidR="009B3C25">
        <w:rPr>
          <w:rFonts w:ascii="Book Antiqua" w:hAnsi="Book Antiqua" w:cs="Arial"/>
        </w:rPr>
        <w:t xml:space="preserve"> are complicit in the criminal activity.</w:t>
      </w:r>
      <w:r>
        <w:rPr>
          <w:rFonts w:ascii="Book Antiqua" w:hAnsi="Book Antiqua" w:cs="Arial"/>
        </w:rPr>
        <w:t xml:space="preserve"> </w:t>
      </w:r>
    </w:p>
    <w:p w:rsidR="00F81879" w:rsidRDefault="00F81879" w:rsidP="00E943B7">
      <w:pPr>
        <w:numPr>
          <w:ilvl w:val="0"/>
          <w:numId w:val="3"/>
        </w:numPr>
        <w:spacing w:before="240"/>
        <w:jc w:val="both"/>
        <w:rPr>
          <w:rFonts w:ascii="Book Antiqua" w:hAnsi="Book Antiqua" w:cs="Arial"/>
        </w:rPr>
      </w:pPr>
      <w:r>
        <w:rPr>
          <w:rFonts w:ascii="Book Antiqua" w:hAnsi="Book Antiqua" w:cs="Arial"/>
        </w:rPr>
        <w:t xml:space="preserve">His mother managed to obtain money to facilitate the Appellant’s escape.  He travelled through various countries on his way to the UK, including Spain where he </w:t>
      </w:r>
      <w:r w:rsidR="009B3C25">
        <w:rPr>
          <w:rFonts w:ascii="Book Antiqua" w:hAnsi="Book Antiqua" w:cs="Arial"/>
        </w:rPr>
        <w:t xml:space="preserve">was </w:t>
      </w:r>
      <w:r>
        <w:rPr>
          <w:rFonts w:ascii="Book Antiqua" w:hAnsi="Book Antiqua" w:cs="Arial"/>
        </w:rPr>
        <w:t>encountered</w:t>
      </w:r>
      <w:r w:rsidR="009B3C25">
        <w:rPr>
          <w:rFonts w:ascii="Book Antiqua" w:hAnsi="Book Antiqua" w:cs="Arial"/>
        </w:rPr>
        <w:t xml:space="preserve"> by</w:t>
      </w:r>
      <w:r>
        <w:rPr>
          <w:rFonts w:ascii="Book Antiqua" w:hAnsi="Book Antiqua" w:cs="Arial"/>
        </w:rPr>
        <w:t xml:space="preserve"> the authorities there.  He was taken to a social assistance centre in Spain</w:t>
      </w:r>
      <w:r w:rsidR="009B3C25">
        <w:rPr>
          <w:rFonts w:ascii="Book Antiqua" w:hAnsi="Book Antiqua" w:cs="Arial"/>
        </w:rPr>
        <w:t>,</w:t>
      </w:r>
      <w:r>
        <w:rPr>
          <w:rFonts w:ascii="Book Antiqua" w:hAnsi="Book Antiqua" w:cs="Arial"/>
        </w:rPr>
        <w:t xml:space="preserve"> but left the same day</w:t>
      </w:r>
      <w:r w:rsidR="009B3C25">
        <w:rPr>
          <w:rFonts w:ascii="Book Antiqua" w:hAnsi="Book Antiqua" w:cs="Arial"/>
        </w:rPr>
        <w:t>,</w:t>
      </w:r>
      <w:r>
        <w:rPr>
          <w:rFonts w:ascii="Book Antiqua" w:hAnsi="Book Antiqua" w:cs="Arial"/>
        </w:rPr>
        <w:t xml:space="preserve"> and travelled on to the UK where he claimed asylum.  The authorities in the UK accepted that the Appellant’s date of birth is as claimed and therefore he is a minor.  </w:t>
      </w:r>
    </w:p>
    <w:p w:rsidR="00F81879" w:rsidRDefault="00F81879" w:rsidP="00E943B7">
      <w:pPr>
        <w:numPr>
          <w:ilvl w:val="0"/>
          <w:numId w:val="3"/>
        </w:numPr>
        <w:spacing w:before="240"/>
        <w:jc w:val="both"/>
        <w:rPr>
          <w:rFonts w:ascii="Book Antiqua" w:hAnsi="Book Antiqua" w:cs="Arial"/>
        </w:rPr>
      </w:pPr>
      <w:r>
        <w:rPr>
          <w:rFonts w:ascii="Book Antiqua" w:hAnsi="Book Antiqua" w:cs="Arial"/>
        </w:rPr>
        <w:t>The Respondent</w:t>
      </w:r>
      <w:r w:rsidR="00241125">
        <w:rPr>
          <w:rFonts w:ascii="Book Antiqua" w:hAnsi="Book Antiqua" w:cs="Arial"/>
        </w:rPr>
        <w:t>,</w:t>
      </w:r>
      <w:r>
        <w:rPr>
          <w:rFonts w:ascii="Book Antiqua" w:hAnsi="Book Antiqua" w:cs="Arial"/>
        </w:rPr>
        <w:t xml:space="preserve"> a</w:t>
      </w:r>
      <w:r w:rsidR="00241125">
        <w:rPr>
          <w:rFonts w:ascii="Book Antiqua" w:hAnsi="Book Antiqua" w:cs="Arial"/>
        </w:rPr>
        <w:t>fter interviewing the Appellant</w:t>
      </w:r>
      <w:r>
        <w:rPr>
          <w:rFonts w:ascii="Book Antiqua" w:hAnsi="Book Antiqua" w:cs="Arial"/>
        </w:rPr>
        <w:t xml:space="preserve"> and considering the country background information, rejected his claim to asylum.  The Respondent’s decision was confirmed by the First-tier </w:t>
      </w:r>
      <w:r w:rsidR="003530DD">
        <w:rPr>
          <w:rFonts w:ascii="Book Antiqua" w:hAnsi="Book Antiqua" w:cs="Arial"/>
        </w:rPr>
        <w:t>Tribunal Judge who dismissed the</w:t>
      </w:r>
      <w:r>
        <w:rPr>
          <w:rFonts w:ascii="Book Antiqua" w:hAnsi="Book Antiqua" w:cs="Arial"/>
        </w:rPr>
        <w:t xml:space="preserve"> appeal</w:t>
      </w:r>
      <w:r w:rsidR="009B3C25">
        <w:rPr>
          <w:rFonts w:ascii="Book Antiqua" w:hAnsi="Book Antiqua" w:cs="Arial"/>
        </w:rPr>
        <w:t xml:space="preserve"> following a hearing </w:t>
      </w:r>
      <w:r w:rsidR="003530DD">
        <w:rPr>
          <w:rFonts w:ascii="Book Antiqua" w:hAnsi="Book Antiqua" w:cs="Arial"/>
        </w:rPr>
        <w:t>on 23</w:t>
      </w:r>
      <w:r w:rsidR="003530DD" w:rsidRPr="003530DD">
        <w:rPr>
          <w:rFonts w:ascii="Book Antiqua" w:hAnsi="Book Antiqua" w:cs="Arial"/>
          <w:vertAlign w:val="superscript"/>
        </w:rPr>
        <w:t>rd</w:t>
      </w:r>
      <w:r w:rsidR="003530DD">
        <w:rPr>
          <w:rFonts w:ascii="Book Antiqua" w:hAnsi="Book Antiqua" w:cs="Arial"/>
        </w:rPr>
        <w:t xml:space="preserve"> February 2018. </w:t>
      </w:r>
      <w:r>
        <w:rPr>
          <w:rFonts w:ascii="Book Antiqua" w:hAnsi="Book Antiqua" w:cs="Arial"/>
        </w:rPr>
        <w:t xml:space="preserve"> </w:t>
      </w:r>
    </w:p>
    <w:p w:rsidR="002174B1" w:rsidRDefault="002174B1" w:rsidP="00F81879">
      <w:pPr>
        <w:spacing w:before="240"/>
        <w:jc w:val="both"/>
        <w:rPr>
          <w:rFonts w:ascii="Book Antiqua" w:hAnsi="Book Antiqua" w:cs="Arial"/>
          <w:b/>
          <w:u w:val="single"/>
        </w:rPr>
      </w:pPr>
    </w:p>
    <w:p w:rsidR="00F81879" w:rsidRPr="00F81879" w:rsidRDefault="00F81879" w:rsidP="00F81879">
      <w:pPr>
        <w:spacing w:before="240"/>
        <w:jc w:val="both"/>
        <w:rPr>
          <w:rFonts w:ascii="Book Antiqua" w:hAnsi="Book Antiqua" w:cs="Arial"/>
          <w:b/>
          <w:u w:val="single"/>
        </w:rPr>
      </w:pPr>
      <w:r w:rsidRPr="00F81879">
        <w:rPr>
          <w:rFonts w:ascii="Book Antiqua" w:hAnsi="Book Antiqua" w:cs="Arial"/>
          <w:b/>
          <w:u w:val="single"/>
        </w:rPr>
        <w:t>Onward Appeal</w:t>
      </w:r>
    </w:p>
    <w:p w:rsidR="00F81879" w:rsidRPr="003530DD" w:rsidRDefault="003530DD" w:rsidP="003530DD">
      <w:pPr>
        <w:numPr>
          <w:ilvl w:val="0"/>
          <w:numId w:val="3"/>
        </w:numPr>
        <w:spacing w:before="240"/>
        <w:jc w:val="both"/>
        <w:rPr>
          <w:rFonts w:ascii="Book Antiqua" w:hAnsi="Book Antiqua" w:cs="Arial"/>
        </w:rPr>
      </w:pPr>
      <w:r>
        <w:rPr>
          <w:rFonts w:ascii="Book Antiqua" w:hAnsi="Book Antiqua" w:cs="Arial"/>
        </w:rPr>
        <w:t xml:space="preserve">The Appellant </w:t>
      </w:r>
      <w:r w:rsidR="00FF08BF">
        <w:rPr>
          <w:rFonts w:ascii="Book Antiqua" w:hAnsi="Book Antiqua" w:cs="Arial"/>
        </w:rPr>
        <w:t>seeks</w:t>
      </w:r>
      <w:r>
        <w:rPr>
          <w:rFonts w:ascii="Book Antiqua" w:hAnsi="Book Antiqua" w:cs="Arial"/>
        </w:rPr>
        <w:t xml:space="preserve"> to challenge the FtT’s decision. </w:t>
      </w:r>
      <w:r w:rsidR="00F81879" w:rsidRPr="003530DD">
        <w:rPr>
          <w:rFonts w:ascii="Book Antiqua" w:hAnsi="Book Antiqua" w:cs="Arial"/>
        </w:rPr>
        <w:t xml:space="preserve">The grounds seeking permission, deal with a number of issues, where it is asserted that the judge has erred in law.  The grant of permission succinctly sets out the issues and therefore the relevant part of the grant is reproduced below.  </w:t>
      </w:r>
    </w:p>
    <w:p w:rsidR="00372AB3" w:rsidRPr="00372AB3" w:rsidRDefault="00F81879" w:rsidP="00FF08BF">
      <w:pPr>
        <w:spacing w:before="240"/>
        <w:ind w:left="1134"/>
        <w:jc w:val="both"/>
        <w:rPr>
          <w:rFonts w:ascii="Book Antiqua" w:hAnsi="Book Antiqua" w:cs="Arial"/>
        </w:rPr>
      </w:pPr>
      <w:r>
        <w:rPr>
          <w:rFonts w:ascii="Book Antiqua" w:hAnsi="Book Antiqua" w:cs="Arial"/>
        </w:rPr>
        <w:t>“The grounds state that the Tribunal erred in law by</w:t>
      </w:r>
      <w:r w:rsidR="00FF08BF">
        <w:rPr>
          <w:rFonts w:ascii="Book Antiqua" w:hAnsi="Book Antiqua" w:cs="Arial"/>
        </w:rPr>
        <w:t xml:space="preserve"> (</w:t>
      </w:r>
      <w:proofErr w:type="spellStart"/>
      <w:r w:rsidR="00FF08BF">
        <w:rPr>
          <w:rFonts w:ascii="Book Antiqua" w:hAnsi="Book Antiqua" w:cs="Arial"/>
        </w:rPr>
        <w:t>i</w:t>
      </w:r>
      <w:proofErr w:type="spellEnd"/>
      <w:r w:rsidR="00FF08BF">
        <w:rPr>
          <w:rFonts w:ascii="Book Antiqua" w:hAnsi="Book Antiqua" w:cs="Arial"/>
        </w:rPr>
        <w:t xml:space="preserve">) </w:t>
      </w:r>
      <w:r>
        <w:rPr>
          <w:rFonts w:ascii="Book Antiqua" w:hAnsi="Book Antiqua" w:cs="Arial"/>
        </w:rPr>
        <w:t xml:space="preserve">failing to assess the plausibility of the </w:t>
      </w:r>
      <w:r w:rsidR="00FF08BF">
        <w:rPr>
          <w:rFonts w:ascii="Book Antiqua" w:hAnsi="Book Antiqua" w:cs="Arial"/>
        </w:rPr>
        <w:t>a</w:t>
      </w:r>
      <w:r>
        <w:rPr>
          <w:rFonts w:ascii="Book Antiqua" w:hAnsi="Book Antiqua" w:cs="Arial"/>
        </w:rPr>
        <w:t>ppellant’s narrative within the context of background country information and the expert report of Dr Antonia Young (</w:t>
      </w:r>
      <w:r w:rsidR="00FF08BF">
        <w:rPr>
          <w:rFonts w:ascii="Book Antiqua" w:hAnsi="Book Antiqua" w:cs="Arial"/>
        </w:rPr>
        <w:t>g</w:t>
      </w:r>
      <w:r>
        <w:rPr>
          <w:rFonts w:ascii="Book Antiqua" w:hAnsi="Book Antiqua" w:cs="Arial"/>
        </w:rPr>
        <w:t xml:space="preserve">rounds 1 and 3), </w:t>
      </w:r>
      <w:r w:rsidR="00FF08BF">
        <w:rPr>
          <w:rFonts w:ascii="Book Antiqua" w:hAnsi="Book Antiqua" w:cs="Arial"/>
        </w:rPr>
        <w:t xml:space="preserve">(ii) </w:t>
      </w:r>
      <w:r>
        <w:rPr>
          <w:rFonts w:ascii="Book Antiqua" w:hAnsi="Book Antiqua" w:cs="Arial"/>
        </w:rPr>
        <w:t xml:space="preserve">failing to demonstrate that it had given greater precedence to objective </w:t>
      </w:r>
      <w:r w:rsidR="00372AB3">
        <w:rPr>
          <w:rFonts w:ascii="Book Antiqua" w:hAnsi="Book Antiqua" w:cs="Arial"/>
        </w:rPr>
        <w:t>evidence and indicators of risk rather than personal credibility an</w:t>
      </w:r>
      <w:r w:rsidR="00FF08BF">
        <w:rPr>
          <w:rFonts w:ascii="Book Antiqua" w:hAnsi="Book Antiqua" w:cs="Arial"/>
        </w:rPr>
        <w:t>d/or subjective fear given the a</w:t>
      </w:r>
      <w:r w:rsidR="00372AB3">
        <w:rPr>
          <w:rFonts w:ascii="Book Antiqua" w:hAnsi="Book Antiqua" w:cs="Arial"/>
        </w:rPr>
        <w:t>ppellant’s age and vulnerability (</w:t>
      </w:r>
      <w:r w:rsidR="00FF08BF">
        <w:rPr>
          <w:rFonts w:ascii="Book Antiqua" w:hAnsi="Book Antiqua" w:cs="Arial"/>
        </w:rPr>
        <w:t>g</w:t>
      </w:r>
      <w:r w:rsidR="00372AB3">
        <w:rPr>
          <w:rFonts w:ascii="Book Antiqua" w:hAnsi="Book Antiqua" w:cs="Arial"/>
        </w:rPr>
        <w:t>round 2),</w:t>
      </w:r>
      <w:r w:rsidR="00FF08BF">
        <w:rPr>
          <w:rFonts w:ascii="Book Antiqua" w:hAnsi="Book Antiqua" w:cs="Arial"/>
        </w:rPr>
        <w:t xml:space="preserve"> (iii) </w:t>
      </w:r>
      <w:r w:rsidR="00372AB3">
        <w:rPr>
          <w:rFonts w:ascii="Book Antiqua" w:hAnsi="Book Antiqua" w:cs="Arial"/>
        </w:rPr>
        <w:t>assessing the risk on return/reasonableness of internal rel</w:t>
      </w:r>
      <w:r w:rsidR="00FF08BF">
        <w:rPr>
          <w:rFonts w:ascii="Book Antiqua" w:hAnsi="Book Antiqua" w:cs="Arial"/>
        </w:rPr>
        <w:t>ocation and the application of s</w:t>
      </w:r>
      <w:r w:rsidR="00372AB3">
        <w:rPr>
          <w:rFonts w:ascii="Book Antiqua" w:hAnsi="Book Antiqua" w:cs="Arial"/>
        </w:rPr>
        <w:t xml:space="preserve">ection 55 of the 2009 Act </w:t>
      </w:r>
      <w:r w:rsidR="00FF08BF">
        <w:rPr>
          <w:rFonts w:ascii="Book Antiqua" w:hAnsi="Book Antiqua" w:cs="Arial"/>
        </w:rPr>
        <w:t>by reference to the age of the a</w:t>
      </w:r>
      <w:r w:rsidR="00372AB3">
        <w:rPr>
          <w:rFonts w:ascii="Book Antiqua" w:hAnsi="Book Antiqua" w:cs="Arial"/>
        </w:rPr>
        <w:t>ppellant when his</w:t>
      </w:r>
      <w:r w:rsidR="00FF08BF">
        <w:rPr>
          <w:rFonts w:ascii="Book Antiqua" w:hAnsi="Book Antiqua" w:cs="Arial"/>
        </w:rPr>
        <w:t xml:space="preserve"> current leave to remain expires</w:t>
      </w:r>
      <w:r w:rsidR="00372AB3">
        <w:rPr>
          <w:rFonts w:ascii="Book Antiqua" w:hAnsi="Book Antiqua" w:cs="Arial"/>
        </w:rPr>
        <w:t xml:space="preserve"> rather than his age at the date of the hearing (</w:t>
      </w:r>
      <w:r w:rsidR="000279E5">
        <w:rPr>
          <w:rFonts w:ascii="Book Antiqua" w:hAnsi="Book Antiqua" w:cs="Arial"/>
        </w:rPr>
        <w:t>g</w:t>
      </w:r>
      <w:r w:rsidR="00372AB3">
        <w:rPr>
          <w:rFonts w:ascii="Book Antiqua" w:hAnsi="Book Antiqua" w:cs="Arial"/>
        </w:rPr>
        <w:t>rounds 4 and 5).  The grounds are all arguable and permission to appeal is accordingly granted.”</w:t>
      </w:r>
    </w:p>
    <w:p w:rsidR="00F81879" w:rsidRDefault="00372AB3" w:rsidP="00E943B7">
      <w:pPr>
        <w:numPr>
          <w:ilvl w:val="0"/>
          <w:numId w:val="3"/>
        </w:numPr>
        <w:spacing w:before="240"/>
        <w:jc w:val="both"/>
        <w:rPr>
          <w:rFonts w:ascii="Book Antiqua" w:hAnsi="Book Antiqua" w:cs="Arial"/>
        </w:rPr>
      </w:pPr>
      <w:r>
        <w:rPr>
          <w:rFonts w:ascii="Book Antiqua" w:hAnsi="Book Antiqua" w:cs="Arial"/>
        </w:rPr>
        <w:t>Thus</w:t>
      </w:r>
      <w:r w:rsidR="00241125">
        <w:rPr>
          <w:rFonts w:ascii="Book Antiqua" w:hAnsi="Book Antiqua" w:cs="Arial"/>
        </w:rPr>
        <w:t>,</w:t>
      </w:r>
      <w:r>
        <w:rPr>
          <w:rFonts w:ascii="Book Antiqua" w:hAnsi="Book Antiqua" w:cs="Arial"/>
        </w:rPr>
        <w:t xml:space="preserve"> the matter comes before me to determine in the first instance whether or not there was an error of law in the decision made by the First-tier Tribunal Judge.  </w:t>
      </w:r>
    </w:p>
    <w:p w:rsidR="002174B1" w:rsidRDefault="002174B1" w:rsidP="00372AB3">
      <w:pPr>
        <w:spacing w:before="240"/>
        <w:jc w:val="both"/>
        <w:rPr>
          <w:rFonts w:ascii="Book Antiqua" w:hAnsi="Book Antiqua" w:cs="Arial"/>
          <w:b/>
          <w:u w:val="single"/>
        </w:rPr>
      </w:pPr>
    </w:p>
    <w:p w:rsidR="00372AB3" w:rsidRPr="00372AB3" w:rsidRDefault="00372AB3" w:rsidP="00372AB3">
      <w:pPr>
        <w:spacing w:before="240"/>
        <w:jc w:val="both"/>
        <w:rPr>
          <w:rFonts w:ascii="Book Antiqua" w:hAnsi="Book Antiqua" w:cs="Arial"/>
          <w:b/>
          <w:u w:val="single"/>
        </w:rPr>
      </w:pPr>
      <w:r w:rsidRPr="00372AB3">
        <w:rPr>
          <w:rFonts w:ascii="Book Antiqua" w:hAnsi="Book Antiqua" w:cs="Arial"/>
          <w:b/>
          <w:u w:val="single"/>
        </w:rPr>
        <w:lastRenderedPageBreak/>
        <w:t>Error of Law Hearing</w:t>
      </w:r>
    </w:p>
    <w:p w:rsidR="00372AB3" w:rsidRDefault="00372AB3" w:rsidP="00E943B7">
      <w:pPr>
        <w:numPr>
          <w:ilvl w:val="0"/>
          <w:numId w:val="3"/>
        </w:numPr>
        <w:spacing w:before="240"/>
        <w:jc w:val="both"/>
        <w:rPr>
          <w:rFonts w:ascii="Book Antiqua" w:hAnsi="Book Antiqua" w:cs="Arial"/>
        </w:rPr>
      </w:pPr>
      <w:r>
        <w:rPr>
          <w:rFonts w:ascii="Book Antiqua" w:hAnsi="Book Antiqua" w:cs="Arial"/>
        </w:rPr>
        <w:t xml:space="preserve">Before me Mr </w:t>
      </w:r>
      <w:proofErr w:type="spellStart"/>
      <w:r>
        <w:rPr>
          <w:rFonts w:ascii="Book Antiqua" w:hAnsi="Book Antiqua" w:cs="Arial"/>
        </w:rPr>
        <w:t>Sel</w:t>
      </w:r>
      <w:r w:rsidR="003530DD">
        <w:rPr>
          <w:rFonts w:ascii="Book Antiqua" w:hAnsi="Book Antiqua" w:cs="Arial"/>
        </w:rPr>
        <w:t>l</w:t>
      </w:r>
      <w:r>
        <w:rPr>
          <w:rFonts w:ascii="Book Antiqua" w:hAnsi="Book Antiqua" w:cs="Arial"/>
        </w:rPr>
        <w:t>wood</w:t>
      </w:r>
      <w:proofErr w:type="spellEnd"/>
      <w:r>
        <w:rPr>
          <w:rFonts w:ascii="Book Antiqua" w:hAnsi="Book Antiqua" w:cs="Arial"/>
        </w:rPr>
        <w:t xml:space="preserve"> appeared for the Appellant and Mr Duffy for the Respondent.  Mr </w:t>
      </w:r>
      <w:proofErr w:type="spellStart"/>
      <w:r>
        <w:rPr>
          <w:rFonts w:ascii="Book Antiqua" w:hAnsi="Book Antiqua" w:cs="Arial"/>
        </w:rPr>
        <w:t>Sel</w:t>
      </w:r>
      <w:r w:rsidR="003530DD">
        <w:rPr>
          <w:rFonts w:ascii="Book Antiqua" w:hAnsi="Book Antiqua" w:cs="Arial"/>
        </w:rPr>
        <w:t>l</w:t>
      </w:r>
      <w:r>
        <w:rPr>
          <w:rFonts w:ascii="Book Antiqua" w:hAnsi="Book Antiqua" w:cs="Arial"/>
        </w:rPr>
        <w:t>wood’s</w:t>
      </w:r>
      <w:proofErr w:type="spellEnd"/>
      <w:r>
        <w:rPr>
          <w:rFonts w:ascii="Book Antiqua" w:hAnsi="Book Antiqua" w:cs="Arial"/>
        </w:rPr>
        <w:t xml:space="preserve"> submissions kept to the lines of the grounds seeking permission.  </w:t>
      </w:r>
      <w:r w:rsidR="005640E9">
        <w:rPr>
          <w:rFonts w:ascii="Book Antiqua" w:hAnsi="Book Antiqua" w:cs="Arial"/>
        </w:rPr>
        <w:t xml:space="preserve">He emphasised that the </w:t>
      </w:r>
      <w:proofErr w:type="spellStart"/>
      <w:r w:rsidR="005640E9">
        <w:rPr>
          <w:rFonts w:ascii="Book Antiqua" w:hAnsi="Book Antiqua" w:cs="Arial"/>
        </w:rPr>
        <w:t>Ft</w:t>
      </w:r>
      <w:r w:rsidR="00241125">
        <w:rPr>
          <w:rFonts w:ascii="Book Antiqua" w:hAnsi="Book Antiqua" w:cs="Arial"/>
        </w:rPr>
        <w:t>TJ</w:t>
      </w:r>
      <w:r>
        <w:rPr>
          <w:rFonts w:ascii="Book Antiqua" w:hAnsi="Book Antiqua" w:cs="Arial"/>
        </w:rPr>
        <w:t>’</w:t>
      </w:r>
      <w:r w:rsidR="00241125">
        <w:rPr>
          <w:rFonts w:ascii="Book Antiqua" w:hAnsi="Book Antiqua" w:cs="Arial"/>
        </w:rPr>
        <w:t>s</w:t>
      </w:r>
      <w:proofErr w:type="spellEnd"/>
      <w:r>
        <w:rPr>
          <w:rFonts w:ascii="Book Antiqua" w:hAnsi="Book Antiqua" w:cs="Arial"/>
        </w:rPr>
        <w:t xml:space="preserve"> decision showed a failure to meaningfully engage with the expert’s report (</w:t>
      </w:r>
      <w:r w:rsidR="000279E5">
        <w:rPr>
          <w:rFonts w:ascii="Book Antiqua" w:hAnsi="Book Antiqua" w:cs="Arial"/>
        </w:rPr>
        <w:t>g</w:t>
      </w:r>
      <w:r>
        <w:rPr>
          <w:rFonts w:ascii="Book Antiqua" w:hAnsi="Book Antiqua" w:cs="Arial"/>
        </w:rPr>
        <w:t>rounds 1 and 3).  The expert’s report had dealt fully with the prevalence of organised crime network</w:t>
      </w:r>
      <w:r w:rsidR="00241125">
        <w:rPr>
          <w:rFonts w:ascii="Book Antiqua" w:hAnsi="Book Antiqua" w:cs="Arial"/>
        </w:rPr>
        <w:t>s</w:t>
      </w:r>
      <w:r>
        <w:rPr>
          <w:rFonts w:ascii="Book Antiqua" w:hAnsi="Book Antiqua" w:cs="Arial"/>
        </w:rPr>
        <w:t xml:space="preserve"> and the ineffectiveness and complicity of the police and Albanian judiciary when dealing with those networks.  Instead of approaching the report</w:t>
      </w:r>
      <w:r w:rsidR="003530DD">
        <w:rPr>
          <w:rFonts w:ascii="Book Antiqua" w:hAnsi="Book Antiqua" w:cs="Arial"/>
        </w:rPr>
        <w:t xml:space="preserve"> in a manner which took</w:t>
      </w:r>
      <w:r>
        <w:rPr>
          <w:rFonts w:ascii="Book Antiqua" w:hAnsi="Book Antiqua" w:cs="Arial"/>
        </w:rPr>
        <w:t xml:space="preserve"> into account the backgro</w:t>
      </w:r>
      <w:r w:rsidR="003530DD">
        <w:rPr>
          <w:rFonts w:ascii="Book Antiqua" w:hAnsi="Book Antiqua" w:cs="Arial"/>
        </w:rPr>
        <w:t>und documents, the judge</w:t>
      </w:r>
      <w:r>
        <w:rPr>
          <w:rFonts w:ascii="Book Antiqua" w:hAnsi="Book Antiqua" w:cs="Arial"/>
        </w:rPr>
        <w:t xml:space="preserve"> focused</w:t>
      </w:r>
      <w:r w:rsidR="003530DD">
        <w:rPr>
          <w:rFonts w:ascii="Book Antiqua" w:hAnsi="Book Antiqua" w:cs="Arial"/>
        </w:rPr>
        <w:t xml:space="preserve"> </w:t>
      </w:r>
      <w:r>
        <w:rPr>
          <w:rFonts w:ascii="Book Antiqua" w:hAnsi="Book Antiqua" w:cs="Arial"/>
        </w:rPr>
        <w:t xml:space="preserve">purely on the </w:t>
      </w:r>
      <w:r w:rsidR="000647CD">
        <w:rPr>
          <w:rFonts w:ascii="Book Antiqua" w:hAnsi="Book Antiqua" w:cs="Arial"/>
        </w:rPr>
        <w:t>A</w:t>
      </w:r>
      <w:r>
        <w:rPr>
          <w:rFonts w:ascii="Book Antiqua" w:hAnsi="Book Antiqua" w:cs="Arial"/>
        </w:rPr>
        <w:t xml:space="preserve">ppellant’s credibility.  This </w:t>
      </w:r>
      <w:r w:rsidR="003530DD">
        <w:rPr>
          <w:rFonts w:ascii="Book Antiqua" w:hAnsi="Book Antiqua" w:cs="Arial"/>
        </w:rPr>
        <w:t xml:space="preserve">was the wrong approach, in that </w:t>
      </w:r>
      <w:r>
        <w:rPr>
          <w:rFonts w:ascii="Book Antiqua" w:hAnsi="Book Antiqua" w:cs="Arial"/>
        </w:rPr>
        <w:t xml:space="preserve">it was acknowledged and accepted that the </w:t>
      </w:r>
      <w:r w:rsidR="000647CD">
        <w:rPr>
          <w:rFonts w:ascii="Book Antiqua" w:hAnsi="Book Antiqua" w:cs="Arial"/>
        </w:rPr>
        <w:t>Appellant</w:t>
      </w:r>
      <w:r>
        <w:rPr>
          <w:rFonts w:ascii="Book Antiqua" w:hAnsi="Book Antiqua" w:cs="Arial"/>
        </w:rPr>
        <w:t xml:space="preserve"> was a minor, age</w:t>
      </w:r>
      <w:r w:rsidR="000279E5">
        <w:rPr>
          <w:rFonts w:ascii="Book Antiqua" w:hAnsi="Book Antiqua" w:cs="Arial"/>
        </w:rPr>
        <w:t>d</w:t>
      </w:r>
      <w:r>
        <w:rPr>
          <w:rFonts w:ascii="Book Antiqua" w:hAnsi="Book Antiqua" w:cs="Arial"/>
        </w:rPr>
        <w:t xml:space="preserve"> 15 years at the date of the appeal hearing. </w:t>
      </w:r>
      <w:r w:rsidR="003530DD">
        <w:rPr>
          <w:rFonts w:ascii="Book Antiqua" w:hAnsi="Book Antiqua" w:cs="Arial"/>
        </w:rPr>
        <w:t xml:space="preserve">The judge failed to give </w:t>
      </w:r>
      <w:r w:rsidR="00335775">
        <w:rPr>
          <w:rFonts w:ascii="Book Antiqua" w:hAnsi="Book Antiqua" w:cs="Arial"/>
        </w:rPr>
        <w:t>precedence and greater weight to the objective evidence, this being the correct approach when dealing with a vulnerable witness.</w:t>
      </w:r>
      <w:r>
        <w:rPr>
          <w:rFonts w:ascii="Book Antiqua" w:hAnsi="Book Antiqua" w:cs="Arial"/>
        </w:rPr>
        <w:t xml:space="preserve"> </w:t>
      </w:r>
    </w:p>
    <w:p w:rsidR="00372AB3" w:rsidRDefault="00372AB3" w:rsidP="00E943B7">
      <w:pPr>
        <w:numPr>
          <w:ilvl w:val="0"/>
          <w:numId w:val="3"/>
        </w:numPr>
        <w:spacing w:before="240"/>
        <w:jc w:val="both"/>
        <w:rPr>
          <w:rFonts w:ascii="Book Antiqua" w:hAnsi="Book Antiqua" w:cs="Arial"/>
        </w:rPr>
      </w:pPr>
      <w:r>
        <w:rPr>
          <w:rFonts w:ascii="Book Antiqua" w:hAnsi="Book Antiqua" w:cs="Arial"/>
        </w:rPr>
        <w:t>Following on from that, the judge misdirected himself when dealing with risk on return.  The Appellant’s date of birth was accepted as 20</w:t>
      </w:r>
      <w:r w:rsidRPr="00372AB3">
        <w:rPr>
          <w:rFonts w:ascii="Book Antiqua" w:hAnsi="Book Antiqua" w:cs="Arial"/>
          <w:vertAlign w:val="superscript"/>
        </w:rPr>
        <w:t>th</w:t>
      </w:r>
      <w:r>
        <w:rPr>
          <w:rFonts w:ascii="Book Antiqua" w:hAnsi="Book Antiqua" w:cs="Arial"/>
        </w:rPr>
        <w:t xml:space="preserve"> January 2002.  Therefore, at the date of hearing, he was aged 15 years.  That was the relevant date for assessing</w:t>
      </w:r>
      <w:r w:rsidR="00335775">
        <w:rPr>
          <w:rFonts w:ascii="Book Antiqua" w:hAnsi="Book Antiqua" w:cs="Arial"/>
        </w:rPr>
        <w:t xml:space="preserve"> any</w:t>
      </w:r>
      <w:r>
        <w:rPr>
          <w:rFonts w:ascii="Book Antiqua" w:hAnsi="Book Antiqua" w:cs="Arial"/>
        </w:rPr>
        <w:t xml:space="preserve"> risk on return.  Instead of so doing, the judge projected his assessment of risk on return into the future</w:t>
      </w:r>
      <w:r w:rsidR="00335775">
        <w:rPr>
          <w:rFonts w:ascii="Book Antiqua" w:hAnsi="Book Antiqua" w:cs="Arial"/>
        </w:rPr>
        <w:t>,</w:t>
      </w:r>
      <w:r>
        <w:rPr>
          <w:rFonts w:ascii="Book Antiqua" w:hAnsi="Book Antiqua" w:cs="Arial"/>
        </w:rPr>
        <w:t xml:space="preserve"> by saying that the Appellant would face</w:t>
      </w:r>
      <w:r w:rsidR="00335775">
        <w:rPr>
          <w:rFonts w:ascii="Book Antiqua" w:hAnsi="Book Antiqua" w:cs="Arial"/>
        </w:rPr>
        <w:t xml:space="preserve"> little or no difficulties on return </w:t>
      </w:r>
      <w:r>
        <w:rPr>
          <w:rFonts w:ascii="Book Antiqua" w:hAnsi="Book Antiqua" w:cs="Arial"/>
        </w:rPr>
        <w:t xml:space="preserve">aged 18 years.  That was a material misdirection.  </w:t>
      </w:r>
    </w:p>
    <w:p w:rsidR="00372AB3" w:rsidRDefault="00372AB3" w:rsidP="00E943B7">
      <w:pPr>
        <w:numPr>
          <w:ilvl w:val="0"/>
          <w:numId w:val="3"/>
        </w:numPr>
        <w:spacing w:before="240"/>
        <w:jc w:val="both"/>
        <w:rPr>
          <w:rFonts w:ascii="Book Antiqua" w:hAnsi="Book Antiqua" w:cs="Arial"/>
        </w:rPr>
      </w:pPr>
      <w:r>
        <w:rPr>
          <w:rFonts w:ascii="Book Antiqua" w:hAnsi="Book Antiqua" w:cs="Arial"/>
        </w:rPr>
        <w:t xml:space="preserve">Those matters together were sufficient to merit the decision being set aside in its entirety.  Mr </w:t>
      </w:r>
      <w:proofErr w:type="spellStart"/>
      <w:r>
        <w:rPr>
          <w:rFonts w:ascii="Book Antiqua" w:hAnsi="Book Antiqua" w:cs="Arial"/>
        </w:rPr>
        <w:t>Sel</w:t>
      </w:r>
      <w:r w:rsidR="008D77D5">
        <w:rPr>
          <w:rFonts w:ascii="Book Antiqua" w:hAnsi="Book Antiqua" w:cs="Arial"/>
        </w:rPr>
        <w:t>l</w:t>
      </w:r>
      <w:r>
        <w:rPr>
          <w:rFonts w:ascii="Book Antiqua" w:hAnsi="Book Antiqua" w:cs="Arial"/>
        </w:rPr>
        <w:t>wood</w:t>
      </w:r>
      <w:proofErr w:type="spellEnd"/>
      <w:r>
        <w:rPr>
          <w:rFonts w:ascii="Book Antiqua" w:hAnsi="Book Antiqua" w:cs="Arial"/>
        </w:rPr>
        <w:t xml:space="preserve"> </w:t>
      </w:r>
      <w:r w:rsidR="006A7B94">
        <w:rPr>
          <w:rFonts w:ascii="Book Antiqua" w:hAnsi="Book Antiqua" w:cs="Arial"/>
        </w:rPr>
        <w:t>said in the event of the decis</w:t>
      </w:r>
      <w:r w:rsidR="008D77D5">
        <w:rPr>
          <w:rFonts w:ascii="Book Antiqua" w:hAnsi="Book Antiqua" w:cs="Arial"/>
        </w:rPr>
        <w:t xml:space="preserve">ion being set aside, the appropriate course would </w:t>
      </w:r>
      <w:r w:rsidR="000279E5">
        <w:rPr>
          <w:rFonts w:ascii="Book Antiqua" w:hAnsi="Book Antiqua" w:cs="Arial"/>
        </w:rPr>
        <w:t xml:space="preserve">then </w:t>
      </w:r>
      <w:r w:rsidR="008D77D5">
        <w:rPr>
          <w:rFonts w:ascii="Book Antiqua" w:hAnsi="Book Antiqua" w:cs="Arial"/>
        </w:rPr>
        <w:t>be for the matter to</w:t>
      </w:r>
      <w:r w:rsidR="006A7B94">
        <w:rPr>
          <w:rFonts w:ascii="Book Antiqua" w:hAnsi="Book Antiqua" w:cs="Arial"/>
        </w:rPr>
        <w:t xml:space="preserve"> be remitted to the First-tier Tribunal for a fresh hearing.  </w:t>
      </w:r>
    </w:p>
    <w:p w:rsidR="006A7B94" w:rsidRDefault="006A7B94" w:rsidP="00E943B7">
      <w:pPr>
        <w:numPr>
          <w:ilvl w:val="0"/>
          <w:numId w:val="3"/>
        </w:numPr>
        <w:spacing w:before="240"/>
        <w:jc w:val="both"/>
        <w:rPr>
          <w:rFonts w:ascii="Book Antiqua" w:hAnsi="Book Antiqua" w:cs="Arial"/>
        </w:rPr>
      </w:pPr>
      <w:r>
        <w:rPr>
          <w:rFonts w:ascii="Book Antiqua" w:hAnsi="Book Antiqua" w:cs="Arial"/>
        </w:rPr>
        <w:t xml:space="preserve">Mr Duffy did not serve a Rule 24 response.  </w:t>
      </w:r>
      <w:r w:rsidR="000279E5">
        <w:rPr>
          <w:rFonts w:ascii="Book Antiqua" w:hAnsi="Book Antiqua" w:cs="Arial"/>
        </w:rPr>
        <w:t>He did</w:t>
      </w:r>
      <w:r>
        <w:rPr>
          <w:rFonts w:ascii="Book Antiqua" w:hAnsi="Book Antiqua" w:cs="Arial"/>
        </w:rPr>
        <w:t xml:space="preserve"> not formally conced</w:t>
      </w:r>
      <w:r w:rsidR="000279E5">
        <w:rPr>
          <w:rFonts w:ascii="Book Antiqua" w:hAnsi="Book Antiqua" w:cs="Arial"/>
        </w:rPr>
        <w:t>e</w:t>
      </w:r>
      <w:r>
        <w:rPr>
          <w:rFonts w:ascii="Book Antiqua" w:hAnsi="Book Antiqua" w:cs="Arial"/>
        </w:rPr>
        <w:t xml:space="preserve"> the </w:t>
      </w:r>
      <w:r w:rsidR="000279E5">
        <w:rPr>
          <w:rFonts w:ascii="Book Antiqua" w:hAnsi="Book Antiqua" w:cs="Arial"/>
        </w:rPr>
        <w:t xml:space="preserve">error of law </w:t>
      </w:r>
      <w:r w:rsidR="008D77D5">
        <w:rPr>
          <w:rFonts w:ascii="Book Antiqua" w:hAnsi="Book Antiqua" w:cs="Arial"/>
        </w:rPr>
        <w:t>issue</w:t>
      </w:r>
      <w:r w:rsidR="000279E5">
        <w:rPr>
          <w:rFonts w:ascii="Book Antiqua" w:hAnsi="Book Antiqua" w:cs="Arial"/>
        </w:rPr>
        <w:t>.</w:t>
      </w:r>
      <w:r w:rsidR="008D77D5">
        <w:rPr>
          <w:rFonts w:ascii="Book Antiqua" w:hAnsi="Book Antiqua" w:cs="Arial"/>
        </w:rPr>
        <w:t xml:space="preserve"> </w:t>
      </w:r>
      <w:r w:rsidR="000279E5">
        <w:rPr>
          <w:rFonts w:ascii="Book Antiqua" w:hAnsi="Book Antiqua" w:cs="Arial"/>
        </w:rPr>
        <w:t xml:space="preserve">Instead </w:t>
      </w:r>
      <w:r w:rsidR="008D77D5">
        <w:rPr>
          <w:rFonts w:ascii="Book Antiqua" w:hAnsi="Book Antiqua" w:cs="Arial"/>
        </w:rPr>
        <w:t>he restricted his submissions to saying</w:t>
      </w:r>
      <w:r>
        <w:rPr>
          <w:rFonts w:ascii="Book Antiqua" w:hAnsi="Book Antiqua" w:cs="Arial"/>
        </w:rPr>
        <w:t xml:space="preserve"> that</w:t>
      </w:r>
      <w:r w:rsidR="000279E5">
        <w:rPr>
          <w:rFonts w:ascii="Book Antiqua" w:hAnsi="Book Antiqua" w:cs="Arial"/>
        </w:rPr>
        <w:t>,</w:t>
      </w:r>
      <w:r w:rsidR="008D77D5">
        <w:rPr>
          <w:rFonts w:ascii="Book Antiqua" w:hAnsi="Book Antiqua" w:cs="Arial"/>
        </w:rPr>
        <w:t xml:space="preserve"> if I </w:t>
      </w:r>
      <w:r w:rsidR="000279E5">
        <w:rPr>
          <w:rFonts w:ascii="Book Antiqua" w:hAnsi="Book Antiqua" w:cs="Arial"/>
        </w:rPr>
        <w:t>were</w:t>
      </w:r>
      <w:r w:rsidR="008D77D5">
        <w:rPr>
          <w:rFonts w:ascii="Book Antiqua" w:hAnsi="Book Antiqua" w:cs="Arial"/>
        </w:rPr>
        <w:t xml:space="preserve"> satisfied that the</w:t>
      </w:r>
      <w:r>
        <w:rPr>
          <w:rFonts w:ascii="Book Antiqua" w:hAnsi="Book Antiqua" w:cs="Arial"/>
        </w:rPr>
        <w:t xml:space="preserve"> decision disclosed material error</w:t>
      </w:r>
      <w:r w:rsidR="008D77D5">
        <w:rPr>
          <w:rFonts w:ascii="Book Antiqua" w:hAnsi="Book Antiqua" w:cs="Arial"/>
        </w:rPr>
        <w:t xml:space="preserve">, </w:t>
      </w:r>
      <w:r>
        <w:rPr>
          <w:rFonts w:ascii="Book Antiqua" w:hAnsi="Book Antiqua" w:cs="Arial"/>
        </w:rPr>
        <w:t xml:space="preserve">then he would agree with Mr </w:t>
      </w:r>
      <w:proofErr w:type="spellStart"/>
      <w:r>
        <w:rPr>
          <w:rFonts w:ascii="Book Antiqua" w:hAnsi="Book Antiqua" w:cs="Arial"/>
        </w:rPr>
        <w:t>Sel</w:t>
      </w:r>
      <w:r w:rsidR="008D77D5">
        <w:rPr>
          <w:rFonts w:ascii="Book Antiqua" w:hAnsi="Book Antiqua" w:cs="Arial"/>
        </w:rPr>
        <w:t>l</w:t>
      </w:r>
      <w:r>
        <w:rPr>
          <w:rFonts w:ascii="Book Antiqua" w:hAnsi="Book Antiqua" w:cs="Arial"/>
        </w:rPr>
        <w:t>wood’s</w:t>
      </w:r>
      <w:proofErr w:type="spellEnd"/>
      <w:r>
        <w:rPr>
          <w:rFonts w:ascii="Book Antiqua" w:hAnsi="Book Antiqua" w:cs="Arial"/>
        </w:rPr>
        <w:t xml:space="preserve"> submission that the appropriate course would be to remit the appeal to the First-tier Tribunal f</w:t>
      </w:r>
      <w:r w:rsidR="008D77D5">
        <w:rPr>
          <w:rFonts w:ascii="Book Antiqua" w:hAnsi="Book Antiqua" w:cs="Arial"/>
        </w:rPr>
        <w:t>or a fresh hearing, with no findings</w:t>
      </w:r>
      <w:r>
        <w:rPr>
          <w:rFonts w:ascii="Book Antiqua" w:hAnsi="Book Antiqua" w:cs="Arial"/>
        </w:rPr>
        <w:t xml:space="preserve"> preserved.  </w:t>
      </w:r>
    </w:p>
    <w:p w:rsidR="0088030E" w:rsidRDefault="0088030E" w:rsidP="0088030E">
      <w:pPr>
        <w:rPr>
          <w:rFonts w:ascii="Book Antiqua" w:hAnsi="Book Antiqua" w:cs="Arial"/>
          <w:b/>
          <w:u w:val="single"/>
        </w:rPr>
      </w:pPr>
    </w:p>
    <w:p w:rsidR="006A7B94" w:rsidRPr="006A7B94" w:rsidRDefault="006A7B94" w:rsidP="0088030E">
      <w:pPr>
        <w:rPr>
          <w:rFonts w:ascii="Book Antiqua" w:hAnsi="Book Antiqua" w:cs="Arial"/>
          <w:b/>
          <w:u w:val="single"/>
        </w:rPr>
      </w:pPr>
      <w:r w:rsidRPr="006A7B94">
        <w:rPr>
          <w:rFonts w:ascii="Book Antiqua" w:hAnsi="Book Antiqua" w:cs="Arial"/>
          <w:b/>
          <w:u w:val="single"/>
        </w:rPr>
        <w:t>Consideration</w:t>
      </w:r>
    </w:p>
    <w:p w:rsidR="006A7B94" w:rsidRDefault="006A7B94" w:rsidP="00E943B7">
      <w:pPr>
        <w:numPr>
          <w:ilvl w:val="0"/>
          <w:numId w:val="3"/>
        </w:numPr>
        <w:spacing w:before="240"/>
        <w:jc w:val="both"/>
        <w:rPr>
          <w:rFonts w:ascii="Book Antiqua" w:hAnsi="Book Antiqua" w:cs="Arial"/>
        </w:rPr>
      </w:pPr>
      <w:r>
        <w:rPr>
          <w:rFonts w:ascii="Book Antiqua" w:hAnsi="Book Antiqua" w:cs="Arial"/>
        </w:rPr>
        <w:t xml:space="preserve">I find force in Mr </w:t>
      </w:r>
      <w:proofErr w:type="spellStart"/>
      <w:r>
        <w:rPr>
          <w:rFonts w:ascii="Book Antiqua" w:hAnsi="Book Antiqua" w:cs="Arial"/>
        </w:rPr>
        <w:t>Sel</w:t>
      </w:r>
      <w:r w:rsidR="008D77D5">
        <w:rPr>
          <w:rFonts w:ascii="Book Antiqua" w:hAnsi="Book Antiqua" w:cs="Arial"/>
        </w:rPr>
        <w:t>l</w:t>
      </w:r>
      <w:r>
        <w:rPr>
          <w:rFonts w:ascii="Book Antiqua" w:hAnsi="Book Antiqua" w:cs="Arial"/>
        </w:rPr>
        <w:t>wood’s</w:t>
      </w:r>
      <w:proofErr w:type="spellEnd"/>
      <w:r>
        <w:rPr>
          <w:rFonts w:ascii="Book Antiqua" w:hAnsi="Book Antiqua" w:cs="Arial"/>
        </w:rPr>
        <w:t xml:space="preserve"> submissions.  I</w:t>
      </w:r>
      <w:r w:rsidR="005640E9">
        <w:rPr>
          <w:rFonts w:ascii="Book Antiqua" w:hAnsi="Book Antiqua" w:cs="Arial"/>
        </w:rPr>
        <w:t xml:space="preserve"> find </w:t>
      </w:r>
      <w:r w:rsidR="000279E5">
        <w:rPr>
          <w:rFonts w:ascii="Book Antiqua" w:hAnsi="Book Antiqua" w:cs="Arial"/>
        </w:rPr>
        <w:t xml:space="preserve">that </w:t>
      </w:r>
      <w:r w:rsidR="005640E9">
        <w:rPr>
          <w:rFonts w:ascii="Book Antiqua" w:hAnsi="Book Antiqua" w:cs="Arial"/>
        </w:rPr>
        <w:t xml:space="preserve">I am satisfied that the </w:t>
      </w:r>
      <w:proofErr w:type="spellStart"/>
      <w:r w:rsidR="005640E9">
        <w:rPr>
          <w:rFonts w:ascii="Book Antiqua" w:hAnsi="Book Antiqua" w:cs="Arial"/>
        </w:rPr>
        <w:t>Ft</w:t>
      </w:r>
      <w:r>
        <w:rPr>
          <w:rFonts w:ascii="Book Antiqua" w:hAnsi="Book Antiqua" w:cs="Arial"/>
        </w:rPr>
        <w:t>TJ’s</w:t>
      </w:r>
      <w:proofErr w:type="spellEnd"/>
      <w:r>
        <w:rPr>
          <w:rFonts w:ascii="Book Antiqua" w:hAnsi="Book Antiqua" w:cs="Arial"/>
        </w:rPr>
        <w:t xml:space="preserve"> decision contains material error</w:t>
      </w:r>
      <w:r w:rsidR="008D77D5">
        <w:rPr>
          <w:rFonts w:ascii="Book Antiqua" w:hAnsi="Book Antiqua" w:cs="Arial"/>
        </w:rPr>
        <w:t xml:space="preserve"> on th</w:t>
      </w:r>
      <w:r w:rsidR="000279E5">
        <w:rPr>
          <w:rFonts w:ascii="Book Antiqua" w:hAnsi="Book Antiqua" w:cs="Arial"/>
        </w:rPr>
        <w:t>e following</w:t>
      </w:r>
      <w:r w:rsidR="008D77D5">
        <w:rPr>
          <w:rFonts w:ascii="Book Antiqua" w:hAnsi="Book Antiqua" w:cs="Arial"/>
        </w:rPr>
        <w:t xml:space="preserve"> basis.</w:t>
      </w:r>
      <w:r w:rsidR="005640E9">
        <w:rPr>
          <w:rFonts w:ascii="Book Antiqua" w:hAnsi="Book Antiqua" w:cs="Arial"/>
        </w:rPr>
        <w:t xml:space="preserve">  I </w:t>
      </w:r>
      <w:r w:rsidR="008D77D5">
        <w:rPr>
          <w:rFonts w:ascii="Book Antiqua" w:hAnsi="Book Antiqua" w:cs="Arial"/>
        </w:rPr>
        <w:t>am satisfied</w:t>
      </w:r>
      <w:r w:rsidR="005640E9">
        <w:rPr>
          <w:rFonts w:ascii="Book Antiqua" w:hAnsi="Book Antiqua" w:cs="Arial"/>
        </w:rPr>
        <w:t xml:space="preserve"> that the</w:t>
      </w:r>
      <w:r w:rsidR="008D77D5">
        <w:rPr>
          <w:rFonts w:ascii="Book Antiqua" w:hAnsi="Book Antiqua" w:cs="Arial"/>
        </w:rPr>
        <w:t xml:space="preserve"> decision fail</w:t>
      </w:r>
      <w:r w:rsidR="000279E5">
        <w:rPr>
          <w:rFonts w:ascii="Book Antiqua" w:hAnsi="Book Antiqua" w:cs="Arial"/>
        </w:rPr>
        <w:t>s</w:t>
      </w:r>
      <w:r w:rsidR="008D77D5">
        <w:rPr>
          <w:rFonts w:ascii="Book Antiqua" w:hAnsi="Book Antiqua" w:cs="Arial"/>
        </w:rPr>
        <w:t xml:space="preserve"> </w:t>
      </w:r>
      <w:r>
        <w:rPr>
          <w:rFonts w:ascii="Book Antiqua" w:hAnsi="Book Antiqua" w:cs="Arial"/>
        </w:rPr>
        <w:t>to</w:t>
      </w:r>
      <w:r w:rsidR="008D77D5">
        <w:rPr>
          <w:rFonts w:ascii="Book Antiqua" w:hAnsi="Book Antiqua" w:cs="Arial"/>
        </w:rPr>
        <w:t xml:space="preserve"> show that </w:t>
      </w:r>
      <w:r w:rsidR="000279E5">
        <w:rPr>
          <w:rFonts w:ascii="Book Antiqua" w:hAnsi="Book Antiqua" w:cs="Arial"/>
        </w:rPr>
        <w:t>t</w:t>
      </w:r>
      <w:r w:rsidR="008D77D5">
        <w:rPr>
          <w:rFonts w:ascii="Book Antiqua" w:hAnsi="Book Antiqua" w:cs="Arial"/>
        </w:rPr>
        <w:t xml:space="preserve">he </w:t>
      </w:r>
      <w:r w:rsidR="000279E5">
        <w:rPr>
          <w:rFonts w:ascii="Book Antiqua" w:hAnsi="Book Antiqua" w:cs="Arial"/>
        </w:rPr>
        <w:t xml:space="preserve">FtTJ </w:t>
      </w:r>
      <w:r w:rsidR="008D77D5">
        <w:rPr>
          <w:rFonts w:ascii="Book Antiqua" w:hAnsi="Book Antiqua" w:cs="Arial"/>
        </w:rPr>
        <w:t>has properly taken into account the expert’s report.  The judge</w:t>
      </w:r>
      <w:r>
        <w:rPr>
          <w:rFonts w:ascii="Book Antiqua" w:hAnsi="Book Antiqua" w:cs="Arial"/>
        </w:rPr>
        <w:t xml:space="preserve"> appears to be dismissive of the expert</w:t>
      </w:r>
      <w:r w:rsidR="000279E5">
        <w:rPr>
          <w:rFonts w:ascii="Book Antiqua" w:hAnsi="Book Antiqua" w:cs="Arial"/>
        </w:rPr>
        <w:t>.</w:t>
      </w:r>
      <w:r>
        <w:rPr>
          <w:rFonts w:ascii="Book Antiqua" w:hAnsi="Book Antiqua" w:cs="Arial"/>
        </w:rPr>
        <w:t xml:space="preserve"> </w:t>
      </w:r>
      <w:r w:rsidR="000279E5">
        <w:rPr>
          <w:rFonts w:ascii="Book Antiqua" w:hAnsi="Book Antiqua" w:cs="Arial"/>
        </w:rPr>
        <w:t xml:space="preserve"> W</w:t>
      </w:r>
      <w:r>
        <w:rPr>
          <w:rFonts w:ascii="Book Antiqua" w:hAnsi="Book Antiqua" w:cs="Arial"/>
        </w:rPr>
        <w:t xml:space="preserve">hen referring to her report </w:t>
      </w:r>
      <w:r w:rsidR="000279E5">
        <w:rPr>
          <w:rFonts w:ascii="Book Antiqua" w:hAnsi="Book Antiqua" w:cs="Arial"/>
        </w:rPr>
        <w:t>at</w:t>
      </w:r>
      <w:r>
        <w:rPr>
          <w:rFonts w:ascii="Book Antiqua" w:hAnsi="Book Antiqua" w:cs="Arial"/>
        </w:rPr>
        <w:t xml:space="preserve"> [22] </w:t>
      </w:r>
      <w:r w:rsidR="000279E5">
        <w:rPr>
          <w:rFonts w:ascii="Book Antiqua" w:hAnsi="Book Antiqua" w:cs="Arial"/>
        </w:rPr>
        <w:t>he uses</w:t>
      </w:r>
      <w:r>
        <w:rPr>
          <w:rFonts w:ascii="Book Antiqua" w:hAnsi="Book Antiqua" w:cs="Arial"/>
        </w:rPr>
        <w:t xml:space="preserve"> the words</w:t>
      </w:r>
      <w:r w:rsidR="000279E5">
        <w:rPr>
          <w:rFonts w:ascii="Book Antiqua" w:hAnsi="Book Antiqua" w:cs="Arial"/>
        </w:rPr>
        <w:t>, “I should mention that the a</w:t>
      </w:r>
      <w:r>
        <w:rPr>
          <w:rFonts w:ascii="Book Antiqua" w:hAnsi="Book Antiqua" w:cs="Arial"/>
        </w:rPr>
        <w:t xml:space="preserve">ppellant’s bundle contains a report, </w:t>
      </w:r>
      <w:r w:rsidRPr="00DA61DB">
        <w:rPr>
          <w:rFonts w:ascii="Book Antiqua" w:hAnsi="Book Antiqua" w:cs="Arial"/>
          <w:i/>
        </w:rPr>
        <w:t>said to be an expert’s report</w:t>
      </w:r>
      <w:r>
        <w:rPr>
          <w:rFonts w:ascii="Book Antiqua" w:hAnsi="Book Antiqua" w:cs="Arial"/>
        </w:rPr>
        <w:t xml:space="preserve">, </w:t>
      </w:r>
      <w:r w:rsidR="00DA61DB">
        <w:rPr>
          <w:rFonts w:ascii="Book Antiqua" w:hAnsi="Book Antiqua" w:cs="Arial"/>
        </w:rPr>
        <w:t xml:space="preserve">(my italics) </w:t>
      </w:r>
      <w:r>
        <w:rPr>
          <w:rFonts w:ascii="Book Antiqua" w:hAnsi="Book Antiqua" w:cs="Arial"/>
        </w:rPr>
        <w:t xml:space="preserve">from </w:t>
      </w:r>
      <w:r w:rsidR="000279E5">
        <w:rPr>
          <w:rFonts w:ascii="Book Antiqua" w:hAnsi="Book Antiqua" w:cs="Arial"/>
        </w:rPr>
        <w:t>Miss</w:t>
      </w:r>
      <w:r>
        <w:rPr>
          <w:rFonts w:ascii="Book Antiqua" w:hAnsi="Book Antiqua" w:cs="Arial"/>
        </w:rPr>
        <w:t xml:space="preserve"> Antonia Young</w:t>
      </w:r>
      <w:r w:rsidR="000279E5">
        <w:rPr>
          <w:rFonts w:ascii="Book Antiqua" w:hAnsi="Book Antiqua" w:cs="Arial"/>
        </w:rPr>
        <w:t>,</w:t>
      </w:r>
      <w:r>
        <w:rPr>
          <w:rFonts w:ascii="Book Antiqua" w:hAnsi="Book Antiqua" w:cs="Arial"/>
        </w:rPr>
        <w:t xml:space="preserve"> dated 6</w:t>
      </w:r>
      <w:r w:rsidRPr="006A7B94">
        <w:rPr>
          <w:rFonts w:ascii="Book Antiqua" w:hAnsi="Book Antiqua" w:cs="Arial"/>
          <w:vertAlign w:val="superscript"/>
        </w:rPr>
        <w:t>th</w:t>
      </w:r>
      <w:r>
        <w:rPr>
          <w:rFonts w:ascii="Book Antiqua" w:hAnsi="Book Antiqua" w:cs="Arial"/>
        </w:rPr>
        <w:t xml:space="preserve"> February 2018</w:t>
      </w:r>
      <w:r w:rsidR="008D77D5">
        <w:rPr>
          <w:rFonts w:ascii="Book Antiqua" w:hAnsi="Book Antiqua" w:cs="Arial"/>
        </w:rPr>
        <w:t>”</w:t>
      </w:r>
      <w:r>
        <w:rPr>
          <w:rFonts w:ascii="Book Antiqua" w:hAnsi="Book Antiqua" w:cs="Arial"/>
        </w:rPr>
        <w:t>.  He fails to mention that the expert report outlined her qualifications.  It may well be that the ph</w:t>
      </w:r>
      <w:r w:rsidR="003D0FB0">
        <w:rPr>
          <w:rFonts w:ascii="Book Antiqua" w:hAnsi="Book Antiqua" w:cs="Arial"/>
        </w:rPr>
        <w:t>r</w:t>
      </w:r>
      <w:r>
        <w:rPr>
          <w:rFonts w:ascii="Book Antiqua" w:hAnsi="Book Antiqua" w:cs="Arial"/>
        </w:rPr>
        <w:t>ase</w:t>
      </w:r>
      <w:r w:rsidR="008D77D5">
        <w:rPr>
          <w:rFonts w:ascii="Book Antiqua" w:hAnsi="Book Antiqua" w:cs="Arial"/>
        </w:rPr>
        <w:t>ology</w:t>
      </w:r>
      <w:r>
        <w:rPr>
          <w:rFonts w:ascii="Book Antiqua" w:hAnsi="Book Antiqua" w:cs="Arial"/>
        </w:rPr>
        <w:t xml:space="preserve"> used by the judge was no mo</w:t>
      </w:r>
      <w:r w:rsidR="008D77D5">
        <w:rPr>
          <w:rFonts w:ascii="Book Antiqua" w:hAnsi="Book Antiqua" w:cs="Arial"/>
        </w:rPr>
        <w:t xml:space="preserve">re than </w:t>
      </w:r>
      <w:r w:rsidR="00DA61DB">
        <w:rPr>
          <w:rFonts w:ascii="Book Antiqua" w:hAnsi="Book Antiqua" w:cs="Arial"/>
        </w:rPr>
        <w:t>unfortunate</w:t>
      </w:r>
      <w:r w:rsidR="008D77D5">
        <w:rPr>
          <w:rFonts w:ascii="Book Antiqua" w:hAnsi="Book Antiqua" w:cs="Arial"/>
        </w:rPr>
        <w:t xml:space="preserve"> language</w:t>
      </w:r>
      <w:r w:rsidR="002174B1">
        <w:rPr>
          <w:rFonts w:ascii="Book Antiqua" w:hAnsi="Book Antiqua" w:cs="Arial"/>
        </w:rPr>
        <w:t xml:space="preserve">, but it gives an impression of impugning the expert’s status. </w:t>
      </w:r>
      <w:r w:rsidR="00371EC2">
        <w:rPr>
          <w:rFonts w:ascii="Book Antiqua" w:hAnsi="Book Antiqua" w:cs="Arial"/>
        </w:rPr>
        <w:t>That</w:t>
      </w:r>
      <w:r>
        <w:rPr>
          <w:rFonts w:ascii="Book Antiqua" w:hAnsi="Book Antiqua" w:cs="Arial"/>
        </w:rPr>
        <w:t xml:space="preserve"> of itself would not be sufficient to render t</w:t>
      </w:r>
      <w:r w:rsidR="00371EC2">
        <w:rPr>
          <w:rFonts w:ascii="Book Antiqua" w:hAnsi="Book Antiqua" w:cs="Arial"/>
        </w:rPr>
        <w:t>he decision unsustainable</w:t>
      </w:r>
      <w:r w:rsidR="002174B1">
        <w:rPr>
          <w:rFonts w:ascii="Book Antiqua" w:hAnsi="Book Antiqua" w:cs="Arial"/>
        </w:rPr>
        <w:t>.</w:t>
      </w:r>
      <w:r w:rsidR="00371EC2">
        <w:rPr>
          <w:rFonts w:ascii="Book Antiqua" w:hAnsi="Book Antiqua" w:cs="Arial"/>
        </w:rPr>
        <w:t xml:space="preserve">  However when </w:t>
      </w:r>
      <w:r w:rsidR="002174B1">
        <w:rPr>
          <w:rFonts w:ascii="Book Antiqua" w:hAnsi="Book Antiqua" w:cs="Arial"/>
        </w:rPr>
        <w:t xml:space="preserve">this </w:t>
      </w:r>
      <w:r>
        <w:rPr>
          <w:rFonts w:ascii="Book Antiqua" w:hAnsi="Book Antiqua" w:cs="Arial"/>
        </w:rPr>
        <w:t>is added to</w:t>
      </w:r>
      <w:r w:rsidR="00371EC2">
        <w:rPr>
          <w:rFonts w:ascii="Book Antiqua" w:hAnsi="Book Antiqua" w:cs="Arial"/>
        </w:rPr>
        <w:t xml:space="preserve"> </w:t>
      </w:r>
      <w:r>
        <w:rPr>
          <w:rFonts w:ascii="Book Antiqua" w:hAnsi="Book Antiqua" w:cs="Arial"/>
        </w:rPr>
        <w:t>the judge’s rejection of the majority of the</w:t>
      </w:r>
      <w:r w:rsidR="00371EC2">
        <w:rPr>
          <w:rFonts w:ascii="Book Antiqua" w:hAnsi="Book Antiqua" w:cs="Arial"/>
        </w:rPr>
        <w:t xml:space="preserve"> report’s content</w:t>
      </w:r>
      <w:r>
        <w:rPr>
          <w:rFonts w:ascii="Book Antiqua" w:hAnsi="Book Antiqua" w:cs="Arial"/>
        </w:rPr>
        <w:t xml:space="preserve"> on the grounds that it does not refer specifically to the Appellant</w:t>
      </w:r>
      <w:r w:rsidR="00371EC2">
        <w:rPr>
          <w:rFonts w:ascii="Book Antiqua" w:hAnsi="Book Antiqua" w:cs="Arial"/>
        </w:rPr>
        <w:t>, then there is material error in his approach.</w:t>
      </w:r>
      <w:r>
        <w:rPr>
          <w:rFonts w:ascii="Book Antiqua" w:hAnsi="Book Antiqua" w:cs="Arial"/>
        </w:rPr>
        <w:t xml:space="preserve"> </w:t>
      </w:r>
    </w:p>
    <w:p w:rsidR="006A7B94" w:rsidRDefault="006A7B94" w:rsidP="00E943B7">
      <w:pPr>
        <w:numPr>
          <w:ilvl w:val="0"/>
          <w:numId w:val="3"/>
        </w:numPr>
        <w:spacing w:before="240"/>
        <w:jc w:val="both"/>
        <w:rPr>
          <w:rFonts w:ascii="Book Antiqua" w:hAnsi="Book Antiqua" w:cs="Arial"/>
        </w:rPr>
      </w:pPr>
      <w:r>
        <w:rPr>
          <w:rFonts w:ascii="Book Antiqua" w:hAnsi="Book Antiqua" w:cs="Arial"/>
        </w:rPr>
        <w:lastRenderedPageBreak/>
        <w:t>Bearing in mind that the Appellant is a minor it is incumbent upon the judge to give precedence and greater weight to objective evidence and indicators of r</w:t>
      </w:r>
      <w:r w:rsidR="00371EC2">
        <w:rPr>
          <w:rFonts w:ascii="Book Antiqua" w:hAnsi="Book Antiqua" w:cs="Arial"/>
        </w:rPr>
        <w:t>isk.  This I find he</w:t>
      </w:r>
      <w:r>
        <w:rPr>
          <w:rFonts w:ascii="Book Antiqua" w:hAnsi="Book Antiqua" w:cs="Arial"/>
        </w:rPr>
        <w:t xml:space="preserve"> has not done</w:t>
      </w:r>
      <w:r w:rsidR="002174B1">
        <w:rPr>
          <w:rFonts w:ascii="Book Antiqua" w:hAnsi="Book Antiqua" w:cs="Arial"/>
        </w:rPr>
        <w:t>;</w:t>
      </w:r>
      <w:r>
        <w:rPr>
          <w:rFonts w:ascii="Book Antiqua" w:hAnsi="Book Antiqua" w:cs="Arial"/>
        </w:rPr>
        <w:t xml:space="preserve"> instead he has focused his attention on the Appellant’s credibility.  T</w:t>
      </w:r>
      <w:r w:rsidR="005640E9">
        <w:rPr>
          <w:rFonts w:ascii="Book Antiqua" w:hAnsi="Book Antiqua" w:cs="Arial"/>
        </w:rPr>
        <w:t>he Ft</w:t>
      </w:r>
      <w:r>
        <w:rPr>
          <w:rFonts w:ascii="Book Antiqua" w:hAnsi="Book Antiqua" w:cs="Arial"/>
        </w:rPr>
        <w:t xml:space="preserve">TJ of course is at liberty to </w:t>
      </w:r>
      <w:r w:rsidR="00365B9C">
        <w:rPr>
          <w:rFonts w:ascii="Book Antiqua" w:hAnsi="Book Antiqua" w:cs="Arial"/>
        </w:rPr>
        <w:t>discount the expert’s report but only after demonstrating that he has meaningfully engaged with all of the evidence contained in it</w:t>
      </w:r>
      <w:r w:rsidR="00371EC2">
        <w:rPr>
          <w:rFonts w:ascii="Book Antiqua" w:hAnsi="Book Antiqua" w:cs="Arial"/>
        </w:rPr>
        <w:t xml:space="preserve">. </w:t>
      </w:r>
      <w:r w:rsidR="002174B1">
        <w:rPr>
          <w:rFonts w:ascii="Book Antiqua" w:hAnsi="Book Antiqua" w:cs="Arial"/>
        </w:rPr>
        <w:t xml:space="preserve"> </w:t>
      </w:r>
      <w:r w:rsidR="00371EC2">
        <w:rPr>
          <w:rFonts w:ascii="Book Antiqua" w:hAnsi="Book Antiqua" w:cs="Arial"/>
        </w:rPr>
        <w:t xml:space="preserve">This includes </w:t>
      </w:r>
      <w:r w:rsidR="00365B9C">
        <w:rPr>
          <w:rFonts w:ascii="Book Antiqua" w:hAnsi="Book Antiqua" w:cs="Arial"/>
        </w:rPr>
        <w:t xml:space="preserve">evidence which is supportive of the Appellant’s case.  </w:t>
      </w:r>
    </w:p>
    <w:p w:rsidR="00365B9C" w:rsidRDefault="00365B9C" w:rsidP="00E943B7">
      <w:pPr>
        <w:numPr>
          <w:ilvl w:val="0"/>
          <w:numId w:val="3"/>
        </w:numPr>
        <w:spacing w:before="240"/>
        <w:jc w:val="both"/>
        <w:rPr>
          <w:rFonts w:ascii="Book Antiqua" w:hAnsi="Book Antiqua" w:cs="Arial"/>
        </w:rPr>
      </w:pPr>
      <w:r>
        <w:rPr>
          <w:rFonts w:ascii="Book Antiqua" w:hAnsi="Book Antiqua" w:cs="Arial"/>
        </w:rPr>
        <w:t>I find</w:t>
      </w:r>
      <w:r w:rsidR="00371EC2">
        <w:rPr>
          <w:rFonts w:ascii="Book Antiqua" w:hAnsi="Book Antiqua" w:cs="Arial"/>
        </w:rPr>
        <w:t xml:space="preserve"> likewise</w:t>
      </w:r>
      <w:r>
        <w:rPr>
          <w:rFonts w:ascii="Book Antiqua" w:hAnsi="Book Antiqua" w:cs="Arial"/>
        </w:rPr>
        <w:t xml:space="preserve"> that the F</w:t>
      </w:r>
      <w:r w:rsidR="005640E9">
        <w:rPr>
          <w:rFonts w:ascii="Book Antiqua" w:hAnsi="Book Antiqua" w:cs="Arial"/>
        </w:rPr>
        <w:t>t</w:t>
      </w:r>
      <w:r>
        <w:rPr>
          <w:rFonts w:ascii="Book Antiqua" w:hAnsi="Book Antiqua" w:cs="Arial"/>
        </w:rPr>
        <w:t xml:space="preserve">TJ has made a material misdirection in his approach </w:t>
      </w:r>
      <w:r w:rsidR="000647CD">
        <w:rPr>
          <w:rFonts w:ascii="Book Antiqua" w:hAnsi="Book Antiqua" w:cs="Arial"/>
        </w:rPr>
        <w:t>to the assessment of risk on return.  Having reminded himself</w:t>
      </w:r>
      <w:r w:rsidR="00371EC2">
        <w:rPr>
          <w:rFonts w:ascii="Book Antiqua" w:hAnsi="Book Antiqua" w:cs="Arial"/>
        </w:rPr>
        <w:t xml:space="preserve"> in [1]</w:t>
      </w:r>
      <w:r w:rsidR="000647CD">
        <w:rPr>
          <w:rFonts w:ascii="Book Antiqua" w:hAnsi="Book Antiqua" w:cs="Arial"/>
        </w:rPr>
        <w:t xml:space="preserve"> that the Appellant before him </w:t>
      </w:r>
      <w:r w:rsidR="002174B1">
        <w:rPr>
          <w:rFonts w:ascii="Book Antiqua" w:hAnsi="Book Antiqua" w:cs="Arial"/>
        </w:rPr>
        <w:t>is</w:t>
      </w:r>
      <w:r w:rsidR="000647CD">
        <w:rPr>
          <w:rFonts w:ascii="Book Antiqua" w:hAnsi="Book Antiqua" w:cs="Arial"/>
        </w:rPr>
        <w:t xml:space="preserve"> a minor, the judge has gone on to assess whether or not the Appellant could internally relocate when he turns 18 years of age.  The relevant date for assessment of the Appellant’s asylum claim is of course the date of hearing.  At the date of hearing the Appellant was 15 years of age and</w:t>
      </w:r>
      <w:r w:rsidR="00371EC2">
        <w:rPr>
          <w:rFonts w:ascii="Book Antiqua" w:hAnsi="Book Antiqua" w:cs="Arial"/>
        </w:rPr>
        <w:t xml:space="preserve"> any assessment of risk on return must be on this basis</w:t>
      </w:r>
      <w:r w:rsidR="002174B1">
        <w:rPr>
          <w:rFonts w:ascii="Book Antiqua" w:hAnsi="Book Antiqua" w:cs="Arial"/>
        </w:rPr>
        <w:t>,</w:t>
      </w:r>
      <w:r w:rsidR="00371EC2">
        <w:rPr>
          <w:rFonts w:ascii="Book Antiqua" w:hAnsi="Book Antiqua" w:cs="Arial"/>
        </w:rPr>
        <w:t xml:space="preserve"> even though the Respondent will not seek to return the Appellant until such time as </w:t>
      </w:r>
      <w:r w:rsidR="002174B1">
        <w:rPr>
          <w:rFonts w:ascii="Book Antiqua" w:hAnsi="Book Antiqua" w:cs="Arial"/>
        </w:rPr>
        <w:t xml:space="preserve">he </w:t>
      </w:r>
      <w:r w:rsidR="00371EC2">
        <w:rPr>
          <w:rFonts w:ascii="Book Antiqua" w:hAnsi="Book Antiqua" w:cs="Arial"/>
        </w:rPr>
        <w:t xml:space="preserve">approaches adulthood. </w:t>
      </w:r>
      <w:r w:rsidR="000647CD">
        <w:rPr>
          <w:rFonts w:ascii="Book Antiqua" w:hAnsi="Book Antiqua" w:cs="Arial"/>
        </w:rPr>
        <w:t xml:space="preserve"> I find </w:t>
      </w:r>
      <w:r w:rsidR="002174B1">
        <w:rPr>
          <w:rFonts w:ascii="Book Antiqua" w:hAnsi="Book Antiqua" w:cs="Arial"/>
        </w:rPr>
        <w:t xml:space="preserve">that </w:t>
      </w:r>
      <w:r w:rsidR="000647CD">
        <w:rPr>
          <w:rFonts w:ascii="Book Antiqua" w:hAnsi="Book Antiqua" w:cs="Arial"/>
        </w:rPr>
        <w:t xml:space="preserve">the judge materially erred by projecting his assessment of risk on return/internal relocation into the future.  </w:t>
      </w:r>
    </w:p>
    <w:p w:rsidR="000647CD" w:rsidRPr="00371EC2" w:rsidRDefault="002174B1" w:rsidP="00371EC2">
      <w:pPr>
        <w:numPr>
          <w:ilvl w:val="0"/>
          <w:numId w:val="3"/>
        </w:numPr>
        <w:spacing w:before="240"/>
        <w:jc w:val="both"/>
        <w:rPr>
          <w:rFonts w:ascii="Book Antiqua" w:hAnsi="Book Antiqua" w:cs="Arial"/>
        </w:rPr>
      </w:pPr>
      <w:r>
        <w:rPr>
          <w:rFonts w:ascii="Book Antiqua" w:hAnsi="Book Antiqua" w:cs="Arial"/>
        </w:rPr>
        <w:t>I find that t</w:t>
      </w:r>
      <w:r w:rsidR="000647CD">
        <w:rPr>
          <w:rFonts w:ascii="Book Antiqua" w:hAnsi="Book Antiqua" w:cs="Arial"/>
        </w:rPr>
        <w:t xml:space="preserve">hese errors are sufficient to render the decision unsustainable and accordingly I have no hesitation in setting </w:t>
      </w:r>
      <w:r>
        <w:rPr>
          <w:rFonts w:ascii="Book Antiqua" w:hAnsi="Book Antiqua" w:cs="Arial"/>
        </w:rPr>
        <w:t xml:space="preserve">it </w:t>
      </w:r>
      <w:r w:rsidR="000647CD">
        <w:rPr>
          <w:rFonts w:ascii="Book Antiqua" w:hAnsi="Book Antiqua" w:cs="Arial"/>
        </w:rPr>
        <w:t xml:space="preserve">aside in its entirety.  I find nothing can be preserved.  </w:t>
      </w:r>
      <w:r w:rsidR="000647CD" w:rsidRPr="00371EC2">
        <w:rPr>
          <w:rFonts w:ascii="Book Antiqua" w:hAnsi="Book Antiqua" w:cs="Arial"/>
        </w:rPr>
        <w:t>A fresh he</w:t>
      </w:r>
      <w:r w:rsidR="00371EC2">
        <w:rPr>
          <w:rFonts w:ascii="Book Antiqua" w:hAnsi="Book Antiqua" w:cs="Arial"/>
        </w:rPr>
        <w:t xml:space="preserve">aring is now required. Because of the amount of judicial fact finding </w:t>
      </w:r>
      <w:r>
        <w:rPr>
          <w:rFonts w:ascii="Book Antiqua" w:hAnsi="Book Antiqua" w:cs="Arial"/>
        </w:rPr>
        <w:t>involved</w:t>
      </w:r>
      <w:r w:rsidR="00371EC2">
        <w:rPr>
          <w:rFonts w:ascii="Book Antiqua" w:hAnsi="Book Antiqua" w:cs="Arial"/>
        </w:rPr>
        <w:t xml:space="preserve"> the </w:t>
      </w:r>
      <w:r w:rsidR="00FC2DF3">
        <w:rPr>
          <w:rFonts w:ascii="Book Antiqua" w:hAnsi="Book Antiqua" w:cs="Arial"/>
        </w:rPr>
        <w:t>hearing should take place in the First-tier Tribunal.</w:t>
      </w:r>
    </w:p>
    <w:p w:rsidR="00E76309" w:rsidRPr="00C01D77" w:rsidRDefault="00E76309" w:rsidP="000369F5">
      <w:pPr>
        <w:tabs>
          <w:tab w:val="left" w:pos="2520"/>
        </w:tabs>
        <w:jc w:val="both"/>
        <w:rPr>
          <w:rFonts w:ascii="Book Antiqua" w:hAnsi="Book Antiqua" w:cs="Arial"/>
        </w:rPr>
      </w:pPr>
    </w:p>
    <w:p w:rsidR="002174B1" w:rsidRDefault="002174B1" w:rsidP="00073E80">
      <w:pPr>
        <w:jc w:val="both"/>
        <w:rPr>
          <w:rFonts w:ascii="Book Antiqua" w:hAnsi="Book Antiqua" w:cs="Arial"/>
          <w:b/>
          <w:u w:val="single"/>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 xml:space="preserve">The appeal </w:t>
      </w:r>
      <w:r w:rsidR="000647CD">
        <w:rPr>
          <w:rFonts w:ascii="Book Antiqua" w:hAnsi="Book Antiqua" w:cs="Arial"/>
        </w:rPr>
        <w:t>of the Appellant against the decision of the First-tier Tribunal dated 14</w:t>
      </w:r>
      <w:r w:rsidR="000647CD" w:rsidRPr="000647CD">
        <w:rPr>
          <w:rFonts w:ascii="Book Antiqua" w:hAnsi="Book Antiqua" w:cs="Arial"/>
          <w:vertAlign w:val="superscript"/>
        </w:rPr>
        <w:t>th</w:t>
      </w:r>
      <w:r w:rsidR="000647CD">
        <w:rPr>
          <w:rFonts w:ascii="Book Antiqua" w:hAnsi="Book Antiqua" w:cs="Arial"/>
        </w:rPr>
        <w:t xml:space="preserve"> March 2018 is allowed to the extent that the decision is set aside.  The appeal will now be remitted to the First-tier Tribunal (not Judge Geraint Jones QC) for that Tribunal to remake the decision.  </w:t>
      </w:r>
    </w:p>
    <w:p w:rsidR="0088030E" w:rsidRDefault="0088030E">
      <w:pPr>
        <w:rPr>
          <w:rFonts w:ascii="Book Antiqua" w:hAnsi="Book Antiqua" w:cs="Arial"/>
          <w:b/>
          <w:u w:val="single"/>
        </w:rPr>
      </w:pPr>
    </w:p>
    <w:p w:rsidR="0088030E" w:rsidRDefault="0088030E">
      <w:pPr>
        <w:rPr>
          <w:rFonts w:ascii="Book Antiqua" w:hAnsi="Book Antiqua" w:cs="Arial"/>
          <w:b/>
          <w:u w:val="single"/>
        </w:rPr>
      </w:pPr>
    </w:p>
    <w:p w:rsidR="00073E80" w:rsidRPr="00073E80" w:rsidRDefault="00073E80" w:rsidP="00073E80">
      <w:pPr>
        <w:jc w:val="both"/>
        <w:rPr>
          <w:rFonts w:ascii="Book Antiqua" w:hAnsi="Book Antiqua" w:cs="Arial"/>
        </w:rPr>
      </w:pPr>
      <w:r w:rsidRPr="00073E80">
        <w:rPr>
          <w:rFonts w:ascii="Book Antiqua" w:hAnsi="Book Antiqua" w:cs="Arial"/>
          <w:b/>
          <w:u w:val="single"/>
        </w:rPr>
        <w:t>Direction Regarding Anonymity – Rule 14 of the Tribunal Procedure (Upper Tribunal) Rules 2008</w:t>
      </w:r>
    </w:p>
    <w:p w:rsidR="00073E80" w:rsidRPr="00073E80" w:rsidRDefault="00073E80" w:rsidP="00073E80">
      <w:pPr>
        <w:jc w:val="both"/>
        <w:rPr>
          <w:rFonts w:ascii="Book Antiqua" w:hAnsi="Book Antiqua" w:cs="Arial"/>
        </w:rPr>
      </w:pPr>
    </w:p>
    <w:p w:rsidR="00073E80" w:rsidRPr="00687601" w:rsidRDefault="00073E80" w:rsidP="00073E80">
      <w:pPr>
        <w:jc w:val="both"/>
        <w:rPr>
          <w:rFonts w:ascii="Book Antiqua" w:hAnsi="Book Antiqua" w:cs="Arial"/>
        </w:rPr>
      </w:pPr>
      <w:r w:rsidRPr="00073E80">
        <w:rPr>
          <w:rFonts w:ascii="Book Antiqua" w:hAnsi="Book Antiqua" w:cs="Arial"/>
        </w:rPr>
        <w:t xml:space="preserve">Unless and </w:t>
      </w:r>
      <w:r w:rsidRPr="00073E80">
        <w:rPr>
          <w:rFonts w:ascii="Book Antiqua" w:hAnsi="Book Antiqua"/>
        </w:rPr>
        <w:t xml:space="preserve">until a Tribunal or court directs otherwise, the Appellant is granted anonymity.  No report of these proceedings shall directly or indirectly identify him or any member of </w:t>
      </w:r>
      <w:r w:rsidR="002174B1">
        <w:rPr>
          <w:rFonts w:ascii="Book Antiqua" w:hAnsi="Book Antiqua"/>
        </w:rPr>
        <w:t>his</w:t>
      </w:r>
      <w:r w:rsidRPr="00073E80">
        <w:rPr>
          <w:rFonts w:ascii="Book Antiqua" w:hAnsi="Book Antiqua"/>
        </w:rPr>
        <w:t xml:space="preserve"> family.  This direction applies both to the Appellant and to the Respondent.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2174B1" w:rsidRDefault="002174B1" w:rsidP="000369F5">
      <w:pPr>
        <w:tabs>
          <w:tab w:val="left" w:pos="2520"/>
        </w:tabs>
        <w:jc w:val="both"/>
        <w:rPr>
          <w:rFonts w:ascii="Book Antiqua" w:hAnsi="Book Antiqua" w:cs="Arial"/>
        </w:rPr>
      </w:pPr>
    </w:p>
    <w:p w:rsidR="002174B1" w:rsidRDefault="002174B1"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Pr="00C01D77">
        <w:rPr>
          <w:rFonts w:ascii="Book Antiqua" w:hAnsi="Book Antiqua" w:cs="Arial"/>
        </w:rPr>
        <w:tab/>
      </w:r>
      <w:r w:rsidR="002174B1">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2174B1">
        <w:rPr>
          <w:rFonts w:ascii="Book Antiqua" w:hAnsi="Book Antiqua" w:cs="Arial"/>
        </w:rPr>
        <w:tab/>
      </w:r>
      <w:r w:rsidR="002174B1">
        <w:rPr>
          <w:rFonts w:ascii="Book Antiqua" w:hAnsi="Book Antiqua" w:cs="Arial"/>
        </w:rPr>
        <w:tab/>
        <w:t>20 June 2018</w:t>
      </w:r>
    </w:p>
    <w:p w:rsidR="001F2716" w:rsidRPr="00C01D77" w:rsidRDefault="001F2716" w:rsidP="000369F5">
      <w:pPr>
        <w:tabs>
          <w:tab w:val="left" w:pos="2520"/>
        </w:tabs>
        <w:jc w:val="both"/>
        <w:rPr>
          <w:rFonts w:ascii="Book Antiqua" w:hAnsi="Book Antiqua" w:cs="Arial"/>
        </w:rPr>
      </w:pP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073E80" w:rsidRDefault="00073E80" w:rsidP="00073E80">
      <w:pPr>
        <w:jc w:val="both"/>
        <w:rPr>
          <w:rFonts w:ascii="Book Antiqua" w:hAnsi="Book Antiqua" w:cs="Arial"/>
        </w:rPr>
      </w:pPr>
    </w:p>
    <w:p w:rsidR="005B7789" w:rsidRPr="00C01D77" w:rsidRDefault="005B7789" w:rsidP="005B7789">
      <w:pPr>
        <w:tabs>
          <w:tab w:val="left" w:pos="2520"/>
        </w:tabs>
        <w:ind w:left="540" w:hanging="540"/>
        <w:jc w:val="both"/>
        <w:rPr>
          <w:rFonts w:ascii="Book Antiqua" w:hAnsi="Book Antiqua" w:cs="Arial"/>
        </w:rPr>
      </w:pPr>
    </w:p>
    <w:p w:rsidR="005B7789" w:rsidRPr="00C01D77" w:rsidRDefault="005B7789" w:rsidP="000369F5">
      <w:pPr>
        <w:tabs>
          <w:tab w:val="left" w:pos="2520"/>
        </w:tabs>
        <w:jc w:val="both"/>
        <w:rPr>
          <w:rFonts w:ascii="Book Antiqua" w:hAnsi="Book Antiqua" w:cs="Arial"/>
        </w:rPr>
      </w:pPr>
    </w:p>
    <w:sectPr w:rsidR="005B7789" w:rsidRPr="00C01D77" w:rsidSect="0088030E">
      <w:headerReference w:type="default" r:id="rId8"/>
      <w:footerReference w:type="default" r:id="rId9"/>
      <w:headerReference w:type="first" r:id="rId10"/>
      <w:footerReference w:type="first" r:id="rId11"/>
      <w:pgSz w:w="11906" w:h="16838"/>
      <w:pgMar w:top="851"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D7F" w:rsidRDefault="00944D7F">
      <w:r>
        <w:separator/>
      </w:r>
    </w:p>
  </w:endnote>
  <w:endnote w:type="continuationSeparator" w:id="0">
    <w:p w:rsidR="00944D7F" w:rsidRDefault="0094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88030E" w:rsidRDefault="00D7725C" w:rsidP="00593795">
    <w:pPr>
      <w:pStyle w:val="Footer"/>
      <w:jc w:val="center"/>
      <w:rPr>
        <w:rFonts w:ascii="Book Antiqua" w:hAnsi="Book Antiqua" w:cs="Arial"/>
      </w:rPr>
    </w:pPr>
    <w:r w:rsidRPr="0088030E">
      <w:rPr>
        <w:rStyle w:val="PageNumber"/>
        <w:rFonts w:ascii="Book Antiqua" w:hAnsi="Book Antiqua" w:cs="Arial"/>
      </w:rPr>
      <w:fldChar w:fldCharType="begin"/>
    </w:r>
    <w:r w:rsidR="00122BC1" w:rsidRPr="0088030E">
      <w:rPr>
        <w:rStyle w:val="PageNumber"/>
        <w:rFonts w:ascii="Book Antiqua" w:hAnsi="Book Antiqua" w:cs="Arial"/>
      </w:rPr>
      <w:instrText xml:space="preserve"> PAGE </w:instrText>
    </w:r>
    <w:r w:rsidRPr="0088030E">
      <w:rPr>
        <w:rStyle w:val="PageNumber"/>
        <w:rFonts w:ascii="Book Antiqua" w:hAnsi="Book Antiqua" w:cs="Arial"/>
      </w:rPr>
      <w:fldChar w:fldCharType="separate"/>
    </w:r>
    <w:r w:rsidR="000D247F">
      <w:rPr>
        <w:rStyle w:val="PageNumber"/>
        <w:rFonts w:ascii="Book Antiqua" w:hAnsi="Book Antiqua" w:cs="Arial"/>
        <w:noProof/>
      </w:rPr>
      <w:t>4</w:t>
    </w:r>
    <w:r w:rsidRPr="0088030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D7F" w:rsidRDefault="00944D7F">
      <w:r>
        <w:separator/>
      </w:r>
    </w:p>
  </w:footnote>
  <w:footnote w:type="continuationSeparator" w:id="0">
    <w:p w:rsidR="00944D7F" w:rsidRDefault="00944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05D" w:rsidRPr="0021405D" w:rsidRDefault="00122BC1" w:rsidP="0021405D">
    <w:pPr>
      <w:tabs>
        <w:tab w:val="right" w:pos="9639"/>
      </w:tabs>
      <w:jc w:val="right"/>
      <w:rPr>
        <w:rFonts w:ascii="Book Antiqua" w:hAnsi="Book Antiqua" w:cs="Arial"/>
        <w:sz w:val="16"/>
        <w:szCs w:val="16"/>
      </w:rPr>
    </w:pPr>
    <w:r w:rsidRPr="0021405D">
      <w:rPr>
        <w:rFonts w:ascii="Book Antiqua" w:hAnsi="Book Antiqua" w:cs="Arial"/>
        <w:sz w:val="16"/>
        <w:szCs w:val="16"/>
      </w:rPr>
      <w:t xml:space="preserve">Appeal Number: </w:t>
    </w:r>
    <w:r w:rsidR="0021405D" w:rsidRPr="0021405D">
      <w:rPr>
        <w:rFonts w:ascii="Book Antiqua" w:hAnsi="Book Antiqua" w:cs="Arial"/>
        <w:caps/>
        <w:sz w:val="16"/>
        <w:szCs w:val="16"/>
      </w:rPr>
      <w:t>PA/01161/2018</w:t>
    </w:r>
  </w:p>
  <w:p w:rsidR="00122BC1" w:rsidRPr="00C01D77" w:rsidRDefault="00122BC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2D"/>
    <w:rsid w:val="00000621"/>
    <w:rsid w:val="000036C2"/>
    <w:rsid w:val="00021BDB"/>
    <w:rsid w:val="000245A4"/>
    <w:rsid w:val="000279E5"/>
    <w:rsid w:val="00033D3D"/>
    <w:rsid w:val="00036669"/>
    <w:rsid w:val="000369F5"/>
    <w:rsid w:val="00045030"/>
    <w:rsid w:val="000647CD"/>
    <w:rsid w:val="00071A7E"/>
    <w:rsid w:val="00073E80"/>
    <w:rsid w:val="000746C0"/>
    <w:rsid w:val="00074D1D"/>
    <w:rsid w:val="00092580"/>
    <w:rsid w:val="000B3B14"/>
    <w:rsid w:val="000B4B02"/>
    <w:rsid w:val="000C7BD4"/>
    <w:rsid w:val="000D247F"/>
    <w:rsid w:val="000D5D94"/>
    <w:rsid w:val="001165A7"/>
    <w:rsid w:val="00122BC1"/>
    <w:rsid w:val="00151BB7"/>
    <w:rsid w:val="00167D3A"/>
    <w:rsid w:val="001815A3"/>
    <w:rsid w:val="001B5BB5"/>
    <w:rsid w:val="001D7D80"/>
    <w:rsid w:val="001F2716"/>
    <w:rsid w:val="0020133A"/>
    <w:rsid w:val="00207229"/>
    <w:rsid w:val="00207617"/>
    <w:rsid w:val="0021405D"/>
    <w:rsid w:val="00215199"/>
    <w:rsid w:val="002174B1"/>
    <w:rsid w:val="002371FC"/>
    <w:rsid w:val="00241125"/>
    <w:rsid w:val="0024177D"/>
    <w:rsid w:val="00261413"/>
    <w:rsid w:val="0028240A"/>
    <w:rsid w:val="00283659"/>
    <w:rsid w:val="0029282D"/>
    <w:rsid w:val="002B7E5C"/>
    <w:rsid w:val="002C4E73"/>
    <w:rsid w:val="002D68BF"/>
    <w:rsid w:val="00335775"/>
    <w:rsid w:val="00336CBF"/>
    <w:rsid w:val="003530DD"/>
    <w:rsid w:val="003546C8"/>
    <w:rsid w:val="003648C0"/>
    <w:rsid w:val="00365B9C"/>
    <w:rsid w:val="00371EC2"/>
    <w:rsid w:val="00372AB3"/>
    <w:rsid w:val="003A7CF2"/>
    <w:rsid w:val="003C5CE5"/>
    <w:rsid w:val="003D0FB0"/>
    <w:rsid w:val="003D5C85"/>
    <w:rsid w:val="003E267B"/>
    <w:rsid w:val="003E7CD1"/>
    <w:rsid w:val="00402B9E"/>
    <w:rsid w:val="004067C4"/>
    <w:rsid w:val="00423932"/>
    <w:rsid w:val="004249CB"/>
    <w:rsid w:val="0044127D"/>
    <w:rsid w:val="004448DB"/>
    <w:rsid w:val="00446C9A"/>
    <w:rsid w:val="0047262D"/>
    <w:rsid w:val="00477193"/>
    <w:rsid w:val="004A1848"/>
    <w:rsid w:val="00507FEC"/>
    <w:rsid w:val="00510F0E"/>
    <w:rsid w:val="00514B15"/>
    <w:rsid w:val="005479E1"/>
    <w:rsid w:val="00551122"/>
    <w:rsid w:val="005570FD"/>
    <w:rsid w:val="005575EA"/>
    <w:rsid w:val="005640E9"/>
    <w:rsid w:val="00573039"/>
    <w:rsid w:val="0057790C"/>
    <w:rsid w:val="00593795"/>
    <w:rsid w:val="005A75FF"/>
    <w:rsid w:val="005B7789"/>
    <w:rsid w:val="005D6B48"/>
    <w:rsid w:val="00635C47"/>
    <w:rsid w:val="0065791C"/>
    <w:rsid w:val="00690B8A"/>
    <w:rsid w:val="006A7B94"/>
    <w:rsid w:val="006B6451"/>
    <w:rsid w:val="006D1DFA"/>
    <w:rsid w:val="006D506B"/>
    <w:rsid w:val="006D5EEF"/>
    <w:rsid w:val="006E3C90"/>
    <w:rsid w:val="00704B61"/>
    <w:rsid w:val="0072401A"/>
    <w:rsid w:val="007419A9"/>
    <w:rsid w:val="007421B9"/>
    <w:rsid w:val="00742A8D"/>
    <w:rsid w:val="0074504A"/>
    <w:rsid w:val="007552A9"/>
    <w:rsid w:val="00761858"/>
    <w:rsid w:val="00767D59"/>
    <w:rsid w:val="00776E97"/>
    <w:rsid w:val="00780FD7"/>
    <w:rsid w:val="007912AD"/>
    <w:rsid w:val="0079190E"/>
    <w:rsid w:val="007A6AED"/>
    <w:rsid w:val="007B0824"/>
    <w:rsid w:val="007B6BD8"/>
    <w:rsid w:val="007D1C7D"/>
    <w:rsid w:val="00825478"/>
    <w:rsid w:val="008303B8"/>
    <w:rsid w:val="00833DCE"/>
    <w:rsid w:val="00871D34"/>
    <w:rsid w:val="0088030E"/>
    <w:rsid w:val="008B270C"/>
    <w:rsid w:val="008C3D3D"/>
    <w:rsid w:val="008C3F45"/>
    <w:rsid w:val="008D4131"/>
    <w:rsid w:val="008D77D5"/>
    <w:rsid w:val="008F1932"/>
    <w:rsid w:val="008F294D"/>
    <w:rsid w:val="00921062"/>
    <w:rsid w:val="00944D7F"/>
    <w:rsid w:val="00966ECF"/>
    <w:rsid w:val="009727A3"/>
    <w:rsid w:val="00973661"/>
    <w:rsid w:val="00987774"/>
    <w:rsid w:val="009A11E8"/>
    <w:rsid w:val="009B3C25"/>
    <w:rsid w:val="009E57CE"/>
    <w:rsid w:val="009F5220"/>
    <w:rsid w:val="009F7C4D"/>
    <w:rsid w:val="00A12991"/>
    <w:rsid w:val="00A15234"/>
    <w:rsid w:val="00A201AB"/>
    <w:rsid w:val="00A31C8B"/>
    <w:rsid w:val="00A40D60"/>
    <w:rsid w:val="00A53CEB"/>
    <w:rsid w:val="00A62E4B"/>
    <w:rsid w:val="00A845DC"/>
    <w:rsid w:val="00A97AEE"/>
    <w:rsid w:val="00AC5CF6"/>
    <w:rsid w:val="00AD7A85"/>
    <w:rsid w:val="00AE7547"/>
    <w:rsid w:val="00B02D2F"/>
    <w:rsid w:val="00B144FA"/>
    <w:rsid w:val="00B20E0F"/>
    <w:rsid w:val="00B2122A"/>
    <w:rsid w:val="00B30648"/>
    <w:rsid w:val="00B3524D"/>
    <w:rsid w:val="00B370C1"/>
    <w:rsid w:val="00B40F69"/>
    <w:rsid w:val="00B46616"/>
    <w:rsid w:val="00B61205"/>
    <w:rsid w:val="00B617C4"/>
    <w:rsid w:val="00B626FA"/>
    <w:rsid w:val="00B7040A"/>
    <w:rsid w:val="00B86C3D"/>
    <w:rsid w:val="00B94D01"/>
    <w:rsid w:val="00BD4196"/>
    <w:rsid w:val="00BE0DCE"/>
    <w:rsid w:val="00BE6907"/>
    <w:rsid w:val="00BF22CA"/>
    <w:rsid w:val="00C01D77"/>
    <w:rsid w:val="00C22723"/>
    <w:rsid w:val="00C26032"/>
    <w:rsid w:val="00C265B0"/>
    <w:rsid w:val="00C345E1"/>
    <w:rsid w:val="00C61C08"/>
    <w:rsid w:val="00CB6E35"/>
    <w:rsid w:val="00CE1A46"/>
    <w:rsid w:val="00CF253F"/>
    <w:rsid w:val="00CF56B4"/>
    <w:rsid w:val="00D04528"/>
    <w:rsid w:val="00D20F09"/>
    <w:rsid w:val="00D22636"/>
    <w:rsid w:val="00D40FD9"/>
    <w:rsid w:val="00D53769"/>
    <w:rsid w:val="00D74AFC"/>
    <w:rsid w:val="00D7725C"/>
    <w:rsid w:val="00D80BC1"/>
    <w:rsid w:val="00D85C13"/>
    <w:rsid w:val="00D91BE3"/>
    <w:rsid w:val="00D94AFC"/>
    <w:rsid w:val="00DA61DB"/>
    <w:rsid w:val="00DA6489"/>
    <w:rsid w:val="00DB70AE"/>
    <w:rsid w:val="00DB7231"/>
    <w:rsid w:val="00DD5071"/>
    <w:rsid w:val="00DD5C39"/>
    <w:rsid w:val="00DE26AF"/>
    <w:rsid w:val="00DE7DB7"/>
    <w:rsid w:val="00DF0231"/>
    <w:rsid w:val="00E00A0A"/>
    <w:rsid w:val="00E07F57"/>
    <w:rsid w:val="00E333C1"/>
    <w:rsid w:val="00E50BCE"/>
    <w:rsid w:val="00E51376"/>
    <w:rsid w:val="00E61292"/>
    <w:rsid w:val="00E76309"/>
    <w:rsid w:val="00E77C4D"/>
    <w:rsid w:val="00E81D01"/>
    <w:rsid w:val="00E943B7"/>
    <w:rsid w:val="00EE45D8"/>
    <w:rsid w:val="00F004CD"/>
    <w:rsid w:val="00F22EDA"/>
    <w:rsid w:val="00F33E0E"/>
    <w:rsid w:val="00F41153"/>
    <w:rsid w:val="00F44EF3"/>
    <w:rsid w:val="00F81879"/>
    <w:rsid w:val="00F92C21"/>
    <w:rsid w:val="00FB7E80"/>
    <w:rsid w:val="00FC28B0"/>
    <w:rsid w:val="00FC2DF3"/>
    <w:rsid w:val="00FE3C37"/>
    <w:rsid w:val="00FF0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4B47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0D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21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1546</Words>
  <Characters>7812</Characters>
  <Application>Microsoft Office Word</Application>
  <DocSecurity>0</DocSecurity>
  <Lines>65</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2018-07-16T10:39:00Z</dcterms:created>
  <dcterms:modified xsi:type="dcterms:W3CDTF">2018-07-16T10:39:00Z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