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35529" w:rsidRDefault="009820F4" w:rsidP="00F97703">
      <w:pPr>
        <w:jc w:val="center"/>
        <w:rPr>
          <w:rFonts w:ascii="Sylfaen" w:hAnsi="Sylfaen" w:cs="Arial"/>
          <w:color w:val="000000"/>
          <w:sz w:val="16"/>
          <w:szCs w:val="16"/>
        </w:rPr>
      </w:pPr>
      <w:r w:rsidRPr="00B35529">
        <w:rPr>
          <w:rFonts w:ascii="Sylfaen" w:hAnsi="Sylfaen"/>
          <w:noProof/>
          <w:sz w:val="16"/>
          <w:szCs w:val="16"/>
        </w:rPr>
        <w:drawing>
          <wp:inline distT="0" distB="0" distL="0" distR="0">
            <wp:extent cx="1498600"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4745"/>
                    </a:xfrm>
                    <a:prstGeom prst="rect">
                      <a:avLst/>
                    </a:prstGeom>
                    <a:noFill/>
                    <a:ln>
                      <a:noFill/>
                    </a:ln>
                  </pic:spPr>
                </pic:pic>
              </a:graphicData>
            </a:graphic>
          </wp:inline>
        </w:drawing>
      </w:r>
    </w:p>
    <w:p w:rsidR="00B35529" w:rsidRPr="00B35529" w:rsidRDefault="00B35529" w:rsidP="00B35529">
      <w:pPr>
        <w:rPr>
          <w:rFonts w:ascii="Sylfaen" w:hAnsi="Sylfaen" w:cs="Arial"/>
          <w:color w:val="000000"/>
          <w:sz w:val="16"/>
          <w:szCs w:val="16"/>
        </w:rPr>
      </w:pP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5F503C">
        <w:rPr>
          <w:rFonts w:ascii="Sylfaen" w:hAnsi="Sylfaen" w:cs="Arial"/>
          <w:b/>
          <w:caps/>
          <w:color w:val="000000"/>
        </w:rPr>
        <w:t>pa</w:t>
      </w:r>
      <w:r w:rsidR="00502C43">
        <w:rPr>
          <w:rFonts w:ascii="Sylfaen" w:hAnsi="Sylfaen" w:cs="Arial"/>
          <w:b/>
          <w:caps/>
          <w:color w:val="000000"/>
        </w:rPr>
        <w:t>/01198/20</w:t>
      </w:r>
      <w:r w:rsidR="005F503C">
        <w:rPr>
          <w:rFonts w:ascii="Sylfaen" w:hAnsi="Sylfaen" w:cs="Arial"/>
          <w:b/>
          <w:caps/>
          <w:color w:val="000000"/>
        </w:rPr>
        <w:t>16</w:t>
      </w:r>
    </w:p>
    <w:p w:rsidR="00C345E1" w:rsidRPr="00A544A8" w:rsidRDefault="00C345E1" w:rsidP="00C345E1">
      <w:pPr>
        <w:jc w:val="center"/>
        <w:rPr>
          <w:rFonts w:ascii="Sylfaen" w:hAnsi="Sylfaen" w:cs="Arial"/>
          <w:color w:val="000000"/>
        </w:rPr>
      </w:pPr>
    </w:p>
    <w:p w:rsidR="00B35529" w:rsidRDefault="00B35529" w:rsidP="00C345E1">
      <w:pPr>
        <w:jc w:val="center"/>
        <w:rPr>
          <w:rFonts w:ascii="Sylfaen" w:hAnsi="Sylfaen" w:cs="Arial"/>
          <w:b/>
          <w:color w:val="000000"/>
          <w:u w:val="single"/>
        </w:rPr>
      </w:pPr>
    </w:p>
    <w:p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B35529" w:rsidRPr="00A544A8" w:rsidRDefault="00B35529" w:rsidP="00C345E1">
      <w:pPr>
        <w:jc w:val="center"/>
        <w:rPr>
          <w:rFonts w:ascii="Sylfaen" w:hAnsi="Sylfaen" w:cs="Arial"/>
          <w:b/>
          <w:color w:val="000000"/>
          <w:u w:val="single"/>
        </w:rPr>
      </w:pP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4938"/>
        <w:gridCol w:w="4700"/>
      </w:tblGrid>
      <w:tr w:rsidR="00D22636" w:rsidRPr="007A7CEE" w:rsidTr="009820F4">
        <w:tc>
          <w:tcPr>
            <w:tcW w:w="5070" w:type="dxa"/>
            <w:shd w:val="clear" w:color="auto" w:fill="auto"/>
          </w:tcPr>
          <w:p w:rsidR="00D22636" w:rsidRPr="007A7CEE" w:rsidRDefault="00BD3A9C" w:rsidP="007A7CEE">
            <w:pPr>
              <w:ind w:left="540" w:hanging="540"/>
              <w:jc w:val="both"/>
              <w:rPr>
                <w:rFonts w:ascii="Sylfaen" w:hAnsi="Sylfaen" w:cs="Arial"/>
                <w:b/>
              </w:rPr>
            </w:pPr>
            <w:r w:rsidRPr="007A7CEE">
              <w:rPr>
                <w:rFonts w:ascii="Sylfaen" w:hAnsi="Sylfaen" w:cs="Arial"/>
              </w:rPr>
              <w:t>At</w:t>
            </w:r>
            <w:r w:rsidRPr="007A7CEE">
              <w:rPr>
                <w:rFonts w:ascii="Sylfaen" w:hAnsi="Sylfaen" w:cs="Arial"/>
                <w:b/>
              </w:rPr>
              <w:t xml:space="preserve">    </w:t>
            </w:r>
            <w:bookmarkStart w:id="0" w:name="Dropdown5"/>
            <w:r w:rsidR="00206F6B" w:rsidRPr="007A7CEE">
              <w:rPr>
                <w:rFonts w:ascii="Sylfaen" w:hAnsi="Sylfaen" w:cs="Arial"/>
                <w:b/>
              </w:rPr>
              <w:fldChar w:fldCharType="begin">
                <w:ffData>
                  <w:name w:val="Dropdown5"/>
                  <w:enabled/>
                  <w:calcOnExit w:val="0"/>
                  <w:ddList>
                    <w:listEntry w:val="Field House"/>
                    <w:listEntry w:val="Newport"/>
                    <w:listEntry w:val="Harmondsworth"/>
                    <w:listEntry w:val="Royal Courts of Justice"/>
                  </w:ddList>
                </w:ffData>
              </w:fldChar>
            </w:r>
            <w:r w:rsidR="00206F6B" w:rsidRPr="007A7CEE">
              <w:rPr>
                <w:rFonts w:ascii="Sylfaen" w:hAnsi="Sylfaen" w:cs="Arial"/>
                <w:b/>
              </w:rPr>
              <w:instrText xml:space="preserve"> FORMDROPDOWN </w:instrText>
            </w:r>
            <w:r w:rsidR="00C05535">
              <w:rPr>
                <w:rFonts w:ascii="Sylfaen" w:hAnsi="Sylfaen" w:cs="Arial"/>
                <w:b/>
              </w:rPr>
            </w:r>
            <w:r w:rsidR="00C05535">
              <w:rPr>
                <w:rFonts w:ascii="Sylfaen" w:hAnsi="Sylfaen" w:cs="Arial"/>
                <w:b/>
              </w:rPr>
              <w:fldChar w:fldCharType="separate"/>
            </w:r>
            <w:r w:rsidR="00206F6B" w:rsidRPr="007A7CEE">
              <w:rPr>
                <w:rFonts w:ascii="Sylfaen" w:hAnsi="Sylfaen" w:cs="Arial"/>
                <w:b/>
              </w:rPr>
              <w:fldChar w:fldCharType="end"/>
            </w:r>
            <w:bookmarkEnd w:id="0"/>
          </w:p>
        </w:tc>
        <w:tc>
          <w:tcPr>
            <w:tcW w:w="4758" w:type="dxa"/>
            <w:shd w:val="clear" w:color="auto" w:fill="auto"/>
          </w:tcPr>
          <w:p w:rsidR="00D22636" w:rsidRPr="007A7CEE" w:rsidRDefault="00AF1FF6" w:rsidP="007A7CEE">
            <w:pPr>
              <w:ind w:left="1872" w:hanging="1872"/>
              <w:jc w:val="both"/>
              <w:rPr>
                <w:rFonts w:ascii="Sylfaen" w:hAnsi="Sylfaen" w:cs="Arial"/>
                <w:b/>
                <w:color w:val="000000"/>
              </w:rPr>
            </w:pPr>
            <w:r>
              <w:rPr>
                <w:rFonts w:ascii="Sylfaen" w:hAnsi="Sylfaen" w:cs="Arial"/>
                <w:color w:val="000000"/>
              </w:rPr>
              <w:t>Decision &amp; Reasons Promulgated</w:t>
            </w:r>
          </w:p>
        </w:tc>
      </w:tr>
      <w:tr w:rsidR="00D22636" w:rsidRPr="007A7CEE" w:rsidTr="009820F4">
        <w:tc>
          <w:tcPr>
            <w:tcW w:w="5070" w:type="dxa"/>
            <w:shd w:val="clear" w:color="auto" w:fill="auto"/>
          </w:tcPr>
          <w:p w:rsidR="002B2E5C" w:rsidRDefault="00BD3A9C" w:rsidP="007A7CEE">
            <w:pPr>
              <w:jc w:val="both"/>
              <w:rPr>
                <w:rFonts w:ascii="Sylfaen" w:hAnsi="Sylfaen" w:cs="Arial"/>
                <w:b/>
              </w:rPr>
            </w:pPr>
            <w:r w:rsidRPr="007A7CEE">
              <w:rPr>
                <w:rFonts w:ascii="Sylfaen" w:hAnsi="Sylfaen" w:cs="Arial"/>
              </w:rPr>
              <w:t>on</w:t>
            </w:r>
            <w:r w:rsidRPr="007A7CEE">
              <w:rPr>
                <w:rFonts w:ascii="Sylfaen" w:hAnsi="Sylfaen" w:cs="Arial"/>
                <w:b/>
              </w:rPr>
              <w:t xml:space="preserve">    </w:t>
            </w:r>
            <w:r w:rsidR="005F503C">
              <w:rPr>
                <w:rFonts w:ascii="Sylfaen" w:hAnsi="Sylfaen" w:cs="Arial"/>
                <w:b/>
              </w:rPr>
              <w:t>24.07.2018</w:t>
            </w:r>
            <w:r w:rsidR="00AF1FF6">
              <w:rPr>
                <w:rFonts w:ascii="Sylfaen" w:hAnsi="Sylfaen" w:cs="Arial"/>
                <w:b/>
              </w:rPr>
              <w:t xml:space="preserve"> </w:t>
            </w:r>
          </w:p>
          <w:p w:rsidR="00D22636" w:rsidRPr="007A7CEE" w:rsidRDefault="00AF1FF6" w:rsidP="007A7CEE">
            <w:pPr>
              <w:jc w:val="both"/>
              <w:rPr>
                <w:rFonts w:ascii="Sylfaen" w:hAnsi="Sylfaen" w:cs="Arial"/>
                <w:b/>
              </w:rPr>
            </w:pPr>
            <w:bookmarkStart w:id="1" w:name="_GoBack"/>
            <w:bookmarkEnd w:id="1"/>
            <w:r>
              <w:rPr>
                <w:rFonts w:ascii="Sylfaen" w:hAnsi="Sylfaen" w:cs="Arial"/>
                <w:b/>
              </w:rPr>
              <w:t>Signed on 29.07.2018</w:t>
            </w:r>
          </w:p>
        </w:tc>
        <w:tc>
          <w:tcPr>
            <w:tcW w:w="4758" w:type="dxa"/>
            <w:shd w:val="clear" w:color="auto" w:fill="auto"/>
          </w:tcPr>
          <w:p w:rsidR="00D22636" w:rsidRPr="007A7CEE" w:rsidRDefault="00AF1FF6" w:rsidP="007A7CEE">
            <w:pPr>
              <w:ind w:left="1872" w:hanging="1872"/>
              <w:jc w:val="both"/>
              <w:rPr>
                <w:rFonts w:ascii="Sylfaen" w:hAnsi="Sylfaen" w:cs="Arial"/>
                <w:b/>
              </w:rPr>
            </w:pPr>
            <w:r>
              <w:rPr>
                <w:rFonts w:ascii="Sylfaen" w:hAnsi="Sylfaen" w:cs="Arial"/>
                <w:color w:val="000000"/>
              </w:rPr>
              <w:t>on</w:t>
            </w:r>
            <w:r w:rsidR="009820F4">
              <w:rPr>
                <w:rFonts w:ascii="Sylfaen" w:hAnsi="Sylfaen" w:cs="Arial"/>
                <w:b/>
                <w:color w:val="000000"/>
              </w:rPr>
              <w:t xml:space="preserve"> </w:t>
            </w:r>
            <w:r>
              <w:rPr>
                <w:rFonts w:ascii="Sylfaen" w:hAnsi="Sylfaen" w:cs="Arial"/>
                <w:b/>
                <w:color w:val="000000"/>
              </w:rPr>
              <w:t>02.08.2018</w:t>
            </w:r>
            <w:r w:rsidR="00F07170" w:rsidRPr="007A7CEE">
              <w:rPr>
                <w:rFonts w:ascii="Sylfaen" w:hAnsi="Sylfaen" w:cs="Arial"/>
                <w:b/>
                <w:color w:val="000000"/>
              </w:rPr>
              <w:t xml:space="preserve"> </w:t>
            </w:r>
          </w:p>
        </w:tc>
      </w:tr>
    </w:tbl>
    <w:p w:rsidR="00F07170" w:rsidRDefault="00F07170" w:rsidP="00BD3A9C">
      <w:pPr>
        <w:rPr>
          <w:rFonts w:ascii="Sylfaen" w:hAnsi="Sylfaen" w:cs="Arial"/>
          <w:b/>
        </w:rPr>
      </w:pPr>
    </w:p>
    <w:p w:rsidR="00B35529" w:rsidRDefault="00B35529"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B35529" w:rsidRDefault="00B35529"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B35529" w:rsidP="00A15234">
      <w:pPr>
        <w:jc w:val="center"/>
        <w:rPr>
          <w:rFonts w:ascii="Sylfaen" w:hAnsi="Sylfaen" w:cs="Arial"/>
          <w:b/>
        </w:rPr>
      </w:pPr>
      <w:r>
        <w:rPr>
          <w:rFonts w:ascii="Sylfaen" w:hAnsi="Sylfaen" w:cs="Arial"/>
          <w:b/>
        </w:rPr>
        <w:t>[</w:t>
      </w:r>
      <w:r w:rsidR="005F503C">
        <w:rPr>
          <w:rFonts w:ascii="Sylfaen" w:hAnsi="Sylfaen" w:cs="Arial"/>
          <w:b/>
        </w:rPr>
        <w:t>M</w:t>
      </w:r>
      <w:r>
        <w:rPr>
          <w:rFonts w:ascii="Sylfaen" w:hAnsi="Sylfaen" w:cs="Arial"/>
          <w:b/>
        </w:rPr>
        <w:t xml:space="preserve"> </w:t>
      </w:r>
      <w:r w:rsidR="005F503C">
        <w:rPr>
          <w:rFonts w:ascii="Sylfaen" w:hAnsi="Sylfaen" w:cs="Arial"/>
          <w:b/>
          <w:caps/>
        </w:rPr>
        <w:t>m</w:t>
      </w:r>
      <w:r>
        <w:rPr>
          <w:rFonts w:ascii="Sylfaen" w:hAnsi="Sylfaen" w:cs="Arial"/>
          <w:b/>
          <w:caps/>
        </w:rPr>
        <w:t>]</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2"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C05535">
        <w:rPr>
          <w:rFonts w:ascii="Sylfaen" w:hAnsi="Sylfaen" w:cs="Arial"/>
          <w:b/>
        </w:rPr>
      </w:r>
      <w:r w:rsidR="00C05535">
        <w:rPr>
          <w:rFonts w:ascii="Sylfaen" w:hAnsi="Sylfaen" w:cs="Arial"/>
          <w:b/>
        </w:rPr>
        <w:fldChar w:fldCharType="separate"/>
      </w:r>
      <w:r w:rsidRPr="00A544A8">
        <w:rPr>
          <w:rFonts w:ascii="Sylfaen" w:hAnsi="Sylfaen" w:cs="Arial"/>
          <w:b/>
        </w:rPr>
        <w:fldChar w:fldCharType="end"/>
      </w:r>
      <w:bookmarkEnd w:id="2"/>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3"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3"/>
    </w:p>
    <w:p w:rsidR="00DD5071" w:rsidRPr="003860CF" w:rsidRDefault="00BD3A9C" w:rsidP="00DD5071">
      <w:pPr>
        <w:jc w:val="right"/>
        <w:rPr>
          <w:rFonts w:ascii="Sylfaen" w:hAnsi="Sylfaen" w:cs="Arial"/>
        </w:rPr>
      </w:pPr>
      <w:r w:rsidRPr="003860CF">
        <w:rPr>
          <w:rFonts w:ascii="Sylfaen" w:hAnsi="Sylfaen" w:cs="Arial"/>
        </w:rPr>
        <w:t>respondent</w:t>
      </w:r>
    </w:p>
    <w:p w:rsidR="00B35529" w:rsidRDefault="00B35529" w:rsidP="00DD5071">
      <w:pPr>
        <w:rPr>
          <w:rFonts w:ascii="Sylfaen" w:hAnsi="Sylfaen" w:cs="Arial"/>
          <w:u w:val="single"/>
        </w:rPr>
      </w:pPr>
    </w:p>
    <w:p w:rsidR="00B35529" w:rsidRDefault="00B35529"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5F503C"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5F503C">
        <w:rPr>
          <w:rFonts w:ascii="Sylfaen" w:hAnsi="Sylfaen" w:cs="Arial"/>
          <w:i/>
        </w:rPr>
        <w:t>Stuart McTaggart</w:t>
      </w:r>
      <w:r w:rsidR="005F503C">
        <w:rPr>
          <w:rFonts w:ascii="Sylfaen" w:hAnsi="Sylfaen" w:cs="Arial"/>
        </w:rPr>
        <w:t xml:space="preserve"> (counsel instructed by MSM Law)</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5F503C" w:rsidRPr="005F503C">
        <w:rPr>
          <w:rFonts w:ascii="Sylfaen" w:hAnsi="Sylfaen" w:cs="Arial"/>
        </w:rPr>
        <w:t xml:space="preserve">Mr </w:t>
      </w:r>
      <w:r w:rsidR="005F503C">
        <w:rPr>
          <w:rFonts w:ascii="Sylfaen" w:hAnsi="Sylfaen" w:cs="Arial"/>
        </w:rPr>
        <w:t xml:space="preserve">A </w:t>
      </w:r>
      <w:proofErr w:type="spellStart"/>
      <w:r w:rsidR="005F503C" w:rsidRPr="005F503C">
        <w:rPr>
          <w:rFonts w:ascii="Sylfaen" w:hAnsi="Sylfaen" w:cs="Arial"/>
        </w:rPr>
        <w:t>McVeety</w:t>
      </w:r>
      <w:proofErr w:type="spellEnd"/>
    </w:p>
    <w:p w:rsidR="00DE7DB7" w:rsidRPr="00A544A8" w:rsidRDefault="00DE7DB7" w:rsidP="00402B9E">
      <w:pPr>
        <w:tabs>
          <w:tab w:val="left" w:pos="2520"/>
        </w:tabs>
        <w:jc w:val="center"/>
        <w:rPr>
          <w:rFonts w:ascii="Sylfaen" w:hAnsi="Sylfaen" w:cs="Arial"/>
        </w:rPr>
      </w:pPr>
    </w:p>
    <w:p w:rsidR="00B35529" w:rsidRDefault="00B35529" w:rsidP="00BD3A9C">
      <w:pPr>
        <w:tabs>
          <w:tab w:val="left" w:pos="2520"/>
        </w:tabs>
        <w:spacing w:after="120"/>
        <w:jc w:val="center"/>
        <w:rPr>
          <w:rFonts w:ascii="Sylfaen" w:hAnsi="Sylfaen" w:cs="Arial"/>
          <w:b/>
          <w:u w:val="single"/>
        </w:rPr>
      </w:pPr>
    </w:p>
    <w:p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5F503C">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4" w:name="Dropdown4"/>
      <w:r w:rsidR="005F503C">
        <w:rPr>
          <w:rFonts w:ascii="Sylfaen" w:hAnsi="Sylfaen" w:cs="Arial"/>
        </w:rPr>
        <w:instrText xml:space="preserve"> FORMDROPDOWN </w:instrText>
      </w:r>
      <w:r w:rsidR="00C05535">
        <w:rPr>
          <w:rFonts w:ascii="Sylfaen" w:hAnsi="Sylfaen" w:cs="Arial"/>
        </w:rPr>
      </w:r>
      <w:r w:rsidR="00C05535">
        <w:rPr>
          <w:rFonts w:ascii="Sylfaen" w:hAnsi="Sylfaen" w:cs="Arial"/>
        </w:rPr>
        <w:fldChar w:fldCharType="separate"/>
      </w:r>
      <w:r w:rsidR="005F503C">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5F503C">
        <w:rPr>
          <w:rFonts w:ascii="Sylfaen" w:hAnsi="Sylfaen" w:cs="Arial"/>
        </w:rPr>
        <w:t>Francis Farrelly</w:t>
      </w:r>
      <w:r w:rsidR="00194E6E">
        <w:rPr>
          <w:rFonts w:ascii="Sylfaen" w:hAnsi="Sylfaen" w:cs="Arial"/>
        </w:rPr>
        <w:t>)</w:t>
      </w:r>
      <w:r w:rsidR="00FE4D99">
        <w:rPr>
          <w:rFonts w:ascii="Sylfaen" w:hAnsi="Sylfaen" w:cs="Arial"/>
        </w:rPr>
        <w:t xml:space="preserve">, sitting at </w:t>
      </w:r>
      <w:r w:rsidR="005F503C">
        <w:rPr>
          <w:rFonts w:ascii="Sylfaen" w:hAnsi="Sylfaen" w:cs="Arial"/>
        </w:rPr>
        <w:t>Belfast</w:t>
      </w:r>
      <w:r w:rsidR="00FE4D99">
        <w:rPr>
          <w:rFonts w:ascii="Sylfaen" w:hAnsi="Sylfaen" w:cs="Arial"/>
        </w:rPr>
        <w:t xml:space="preserve"> on </w:t>
      </w:r>
      <w:r w:rsidR="005F503C">
        <w:rPr>
          <w:rFonts w:ascii="Sylfaen" w:hAnsi="Sylfaen" w:cs="Arial"/>
        </w:rPr>
        <w:t>21 July</w:t>
      </w:r>
      <w:r w:rsidR="00FE4D99">
        <w:rPr>
          <w:rFonts w:ascii="Sylfaen" w:hAnsi="Sylfaen" w:cs="Arial"/>
        </w:rPr>
        <w:t xml:space="preserve">, to </w:t>
      </w:r>
      <w:r w:rsidR="005F503C">
        <w:rPr>
          <w:rFonts w:ascii="Sylfaen" w:hAnsi="Sylfaen" w:cs="Arial"/>
        </w:rPr>
        <w:fldChar w:fldCharType="begin">
          <w:ffData>
            <w:name w:val="Dropdown2"/>
            <w:enabled/>
            <w:calcOnExit w:val="0"/>
            <w:ddList>
              <w:listEntry w:val="allow"/>
              <w:listEntry w:val="dismiss"/>
            </w:ddList>
          </w:ffData>
        </w:fldChar>
      </w:r>
      <w:bookmarkStart w:id="5" w:name="Dropdown2"/>
      <w:r w:rsidR="005F503C">
        <w:rPr>
          <w:rFonts w:ascii="Sylfaen" w:hAnsi="Sylfaen" w:cs="Arial"/>
        </w:rPr>
        <w:instrText xml:space="preserve"> FORMDROPDOWN </w:instrText>
      </w:r>
      <w:r w:rsidR="00C05535">
        <w:rPr>
          <w:rFonts w:ascii="Sylfaen" w:hAnsi="Sylfaen" w:cs="Arial"/>
        </w:rPr>
      </w:r>
      <w:r w:rsidR="00C05535">
        <w:rPr>
          <w:rFonts w:ascii="Sylfaen" w:hAnsi="Sylfaen" w:cs="Arial"/>
        </w:rPr>
        <w:fldChar w:fldCharType="separate"/>
      </w:r>
      <w:r w:rsidR="005F503C">
        <w:rPr>
          <w:rFonts w:ascii="Sylfaen" w:hAnsi="Sylfaen" w:cs="Arial"/>
        </w:rPr>
        <w:fldChar w:fldCharType="end"/>
      </w:r>
      <w:bookmarkEnd w:id="5"/>
      <w:r w:rsidR="00FE4D99">
        <w:rPr>
          <w:rFonts w:ascii="Sylfaen" w:hAnsi="Sylfaen" w:cs="Arial"/>
        </w:rPr>
        <w:t xml:space="preserve"> </w:t>
      </w:r>
      <w:r w:rsidR="005F503C">
        <w:rPr>
          <w:rFonts w:ascii="Sylfaen" w:hAnsi="Sylfaen" w:cs="Arial"/>
        </w:rPr>
        <w:t>an asylum</w:t>
      </w:r>
      <w:r w:rsidR="00FE4D99">
        <w:rPr>
          <w:rFonts w:ascii="Sylfaen" w:hAnsi="Sylfaen" w:cs="Arial"/>
        </w:rPr>
        <w:t xml:space="preserve"> appeal by a citizen of </w:t>
      </w:r>
      <w:r w:rsidR="005F503C">
        <w:rPr>
          <w:rFonts w:ascii="Sylfaen" w:hAnsi="Sylfaen" w:cs="Arial"/>
        </w:rPr>
        <w:t>Nigeria</w:t>
      </w:r>
      <w:r w:rsidR="00102EBC">
        <w:rPr>
          <w:rFonts w:ascii="Sylfaen" w:hAnsi="Sylfaen" w:cs="Arial"/>
        </w:rPr>
        <w:t xml:space="preserve">, born </w:t>
      </w:r>
      <w:r w:rsidR="005F503C">
        <w:rPr>
          <w:rFonts w:ascii="Sylfaen" w:hAnsi="Sylfaen" w:cs="Arial"/>
        </w:rPr>
        <w:t>1992</w:t>
      </w:r>
      <w:r w:rsidR="00FE4D99">
        <w:rPr>
          <w:rFonts w:ascii="Sylfaen" w:hAnsi="Sylfaen" w:cs="Arial"/>
        </w:rPr>
        <w:t>.</w:t>
      </w:r>
    </w:p>
    <w:p w:rsidR="004617F0" w:rsidRDefault="005F503C"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The appellant had travelled to this country and back on a student visa in 2013: on 14 July 2014 he returned on a visit visa for his graduation ceremony, but then overstayed till he claimed asylum on 7 September 2015</w:t>
      </w:r>
      <w:r w:rsidR="00B87943">
        <w:rPr>
          <w:rFonts w:ascii="Sylfaen" w:hAnsi="Sylfaen" w:cs="Arial"/>
        </w:rPr>
        <w:t xml:space="preserve">, refused on 26 January 2016. In his asylum interview </w:t>
      </w:r>
      <w:r w:rsidR="00301173">
        <w:rPr>
          <w:rFonts w:ascii="Sylfaen" w:hAnsi="Sylfaen" w:cs="Arial"/>
        </w:rPr>
        <w:t xml:space="preserve">on 4 January </w:t>
      </w:r>
      <w:r w:rsidR="00B87943">
        <w:rPr>
          <w:rFonts w:ascii="Sylfaen" w:hAnsi="Sylfaen" w:cs="Arial"/>
        </w:rPr>
        <w:t xml:space="preserve">he </w:t>
      </w:r>
      <w:r w:rsidR="00301173">
        <w:rPr>
          <w:rFonts w:ascii="Sylfaen" w:hAnsi="Sylfaen" w:cs="Arial"/>
        </w:rPr>
        <w:t xml:space="preserve">had given </w:t>
      </w:r>
      <w:r w:rsidR="00B87943">
        <w:rPr>
          <w:rFonts w:ascii="Sylfaen" w:hAnsi="Sylfaen" w:cs="Arial"/>
        </w:rPr>
        <w:t xml:space="preserve">a history of his sex-life, or lack of it in Nigeria, </w:t>
      </w:r>
      <w:r w:rsidR="00644DAE">
        <w:rPr>
          <w:rFonts w:ascii="Sylfaen" w:hAnsi="Sylfaen" w:cs="Arial"/>
        </w:rPr>
        <w:t>which the judge summarizes</w:t>
      </w:r>
      <w:r w:rsidR="00B87943">
        <w:rPr>
          <w:rFonts w:ascii="Sylfaen" w:hAnsi="Sylfaen" w:cs="Arial"/>
        </w:rPr>
        <w:t xml:space="preserve"> as follows</w:t>
      </w:r>
      <w:r w:rsidR="00644DAE">
        <w:rPr>
          <w:rFonts w:ascii="Sylfaen" w:hAnsi="Sylfaen" w:cs="Arial"/>
        </w:rPr>
        <w:t xml:space="preserve"> at 5</w:t>
      </w:r>
      <w:r w:rsidR="00B87943">
        <w:rPr>
          <w:rFonts w:ascii="Sylfaen" w:hAnsi="Sylfaen" w:cs="Arial"/>
        </w:rPr>
        <w:t xml:space="preserve">: </w:t>
      </w:r>
    </w:p>
    <w:p w:rsidR="00301173" w:rsidRDefault="00B87943" w:rsidP="00301173">
      <w:pPr>
        <w:spacing w:after="120"/>
        <w:ind w:left="1134" w:hanging="567"/>
        <w:jc w:val="both"/>
        <w:rPr>
          <w:rFonts w:ascii="Sylfaen" w:hAnsi="Sylfaen" w:cs="Arial"/>
          <w:sz w:val="22"/>
          <w:szCs w:val="22"/>
        </w:rPr>
      </w:pPr>
      <w:r>
        <w:rPr>
          <w:rFonts w:ascii="Sylfaen" w:hAnsi="Sylfaen" w:cs="Arial"/>
          <w:sz w:val="22"/>
          <w:szCs w:val="22"/>
        </w:rPr>
        <w:tab/>
        <w:t>… he did not realise he was gay when he was in Nigeria … he found the company of other boys preferable and at school they teased him because he had no girlfriend. In 2010 he had a girlfriend for several months but she was more as a friend. He also was attracted to one boy in particular.</w:t>
      </w:r>
    </w:p>
    <w:p w:rsidR="00B87943" w:rsidRPr="00644DAE" w:rsidRDefault="00301173" w:rsidP="00301173">
      <w:pPr>
        <w:numPr>
          <w:ilvl w:val="0"/>
          <w:numId w:val="1"/>
        </w:numPr>
        <w:tabs>
          <w:tab w:val="clear" w:pos="757"/>
          <w:tab w:val="num" w:pos="567"/>
        </w:tabs>
        <w:spacing w:after="120"/>
        <w:ind w:left="567" w:hanging="567"/>
        <w:jc w:val="both"/>
        <w:rPr>
          <w:rFonts w:ascii="Sylfaen" w:hAnsi="Sylfaen" w:cs="Arial"/>
          <w:sz w:val="22"/>
          <w:szCs w:val="22"/>
        </w:rPr>
      </w:pPr>
      <w:r>
        <w:rPr>
          <w:rFonts w:ascii="Sylfaen" w:hAnsi="Sylfaen" w:cs="Arial"/>
        </w:rPr>
        <w:t>The appellant then went on to relate how, when he came here as a student in 2013, he had met a man called Peter, and agreed to meet again. Later the appellant had stayed overnight with Peter, and had sex with him, going on to stay with him several times a week. When he returned for his graduation in 2014, Peter had spoken to him on his p</w:t>
      </w:r>
      <w:r w:rsidR="00644DAE">
        <w:rPr>
          <w:rFonts w:ascii="Sylfaen" w:hAnsi="Sylfaen" w:cs="Arial"/>
        </w:rPr>
        <w:t>hone and they met and kissed outside the ceremony. This encounter was witnessed by the appellant’s father, who had also come over, and he flew into a rage, and left off all contact with him till 2015. Then the appellant’s father replied to an e-mail he had sent him, saying he would do him harm if he returned. The appellant said his father had been an important politician, and was now an influential businessman.</w:t>
      </w:r>
    </w:p>
    <w:p w:rsidR="00644DAE" w:rsidRDefault="00644DAE" w:rsidP="00301173">
      <w:pPr>
        <w:numPr>
          <w:ilvl w:val="0"/>
          <w:numId w:val="1"/>
        </w:numPr>
        <w:tabs>
          <w:tab w:val="clear" w:pos="757"/>
          <w:tab w:val="num" w:pos="567"/>
        </w:tabs>
        <w:spacing w:after="120"/>
        <w:ind w:left="567" w:hanging="567"/>
        <w:jc w:val="both"/>
        <w:rPr>
          <w:rFonts w:ascii="Sylfaen" w:hAnsi="Sylfaen" w:cs="Arial"/>
          <w:sz w:val="22"/>
          <w:szCs w:val="22"/>
        </w:rPr>
      </w:pPr>
      <w:r>
        <w:rPr>
          <w:rFonts w:ascii="Sylfaen" w:hAnsi="Sylfaen" w:cs="Arial"/>
        </w:rPr>
        <w:t>At paragraph 9 the judge describes the appellant’s family situation: his mother and siblings in Nigeria were reconciled with him, and he had been staying with a cousin and his family in Belfast, where from 2015 he became a regular visitor to gatherings of a homosexual organization called Cara. Quite seamlessly, the judge moves on at 10</w:t>
      </w:r>
    </w:p>
    <w:p w:rsidR="00B87943" w:rsidRDefault="00644DAE" w:rsidP="00B87943">
      <w:pPr>
        <w:spacing w:after="120"/>
        <w:ind w:left="851"/>
        <w:jc w:val="both"/>
        <w:rPr>
          <w:rFonts w:ascii="Sylfaen" w:hAnsi="Sylfaen" w:cs="Arial"/>
          <w:color w:val="000000"/>
          <w:sz w:val="22"/>
          <w:szCs w:val="22"/>
        </w:rPr>
      </w:pPr>
      <w:r>
        <w:rPr>
          <w:rFonts w:ascii="Sylfaen" w:hAnsi="Sylfaen" w:cs="Arial"/>
          <w:sz w:val="22"/>
          <w:szCs w:val="22"/>
        </w:rPr>
        <w:t xml:space="preserve">His child was born in November 2016 in Derry. The child’s mother lives in Strabane … they met in 2015. She visited him in </w:t>
      </w:r>
      <w:r w:rsidRPr="00644DAE">
        <w:rPr>
          <w:rFonts w:ascii="Sylfaen" w:hAnsi="Sylfaen" w:cs="Arial"/>
          <w:sz w:val="22"/>
          <w:szCs w:val="22"/>
        </w:rPr>
        <w:t>Belfast</w:t>
      </w:r>
      <w:r>
        <w:rPr>
          <w:rFonts w:ascii="Sylfaen" w:hAnsi="Sylfaen" w:cs="Arial"/>
          <w:sz w:val="22"/>
          <w:szCs w:val="22"/>
        </w:rPr>
        <w:t xml:space="preserve"> where they had sex. </w:t>
      </w:r>
      <w:r w:rsidR="00E00779">
        <w:rPr>
          <w:rFonts w:ascii="Sylfaen" w:hAnsi="Sylfaen" w:cs="Arial"/>
          <w:sz w:val="22"/>
          <w:szCs w:val="22"/>
        </w:rPr>
        <w:t xml:space="preserve">… she only stayed a few days and then returned to Strabane and four months later told him she was pregnant. He was present at the birth. He claims to see his daughter every week-end. He denies there [was] a sexual </w:t>
      </w:r>
      <w:r w:rsidR="00E00779" w:rsidRPr="00E00779">
        <w:rPr>
          <w:rFonts w:ascii="Sylfaen" w:hAnsi="Sylfaen" w:cs="Arial"/>
          <w:color w:val="000000"/>
          <w:sz w:val="22"/>
          <w:szCs w:val="22"/>
        </w:rPr>
        <w:t>relationship</w:t>
      </w:r>
      <w:r w:rsidR="00E00779">
        <w:rPr>
          <w:rFonts w:ascii="Sylfaen" w:hAnsi="Sylfaen" w:cs="Arial"/>
          <w:color w:val="000000"/>
          <w:sz w:val="22"/>
          <w:szCs w:val="22"/>
        </w:rPr>
        <w:t xml:space="preserve"> and states the conception was a one-off act of intercourse. In his oral evidence he states that he is gay and not bisexual. In oral evidence he changed this to say he was bisexual but preferred same-sex </w:t>
      </w:r>
      <w:r w:rsidR="00E00779" w:rsidRPr="00E00779">
        <w:rPr>
          <w:rFonts w:ascii="Sylfaen" w:hAnsi="Sylfaen" w:cs="Arial"/>
          <w:color w:val="000000"/>
          <w:sz w:val="22"/>
          <w:szCs w:val="22"/>
        </w:rPr>
        <w:t>relationship</w:t>
      </w:r>
      <w:r w:rsidR="00E00779">
        <w:rPr>
          <w:rFonts w:ascii="Sylfaen" w:hAnsi="Sylfaen" w:cs="Arial"/>
          <w:color w:val="000000"/>
          <w:sz w:val="22"/>
          <w:szCs w:val="22"/>
        </w:rPr>
        <w:t>s. …</w:t>
      </w:r>
    </w:p>
    <w:p w:rsidR="00B87943" w:rsidRDefault="00E00779" w:rsidP="00BD3A9C">
      <w:pPr>
        <w:numPr>
          <w:ilvl w:val="0"/>
          <w:numId w:val="1"/>
        </w:numPr>
        <w:tabs>
          <w:tab w:val="clear" w:pos="757"/>
        </w:tabs>
        <w:spacing w:after="120"/>
        <w:ind w:left="540" w:hanging="540"/>
        <w:jc w:val="both"/>
        <w:rPr>
          <w:rFonts w:ascii="Sylfaen" w:hAnsi="Sylfaen" w:cs="Arial"/>
        </w:rPr>
      </w:pPr>
      <w:r>
        <w:rPr>
          <w:rFonts w:ascii="Sylfaen" w:hAnsi="Sylfaen" w:cs="Arial"/>
        </w:rPr>
        <w:t>The appellant was named on the child’s birth certificate as her father. In the ordinary course of human biology (there is no reference to any evidence of her being born prematurely) she must have been conceived in or about February 2016, very soon after the interview, where he had presented himself as exclusively homosexual.</w:t>
      </w:r>
      <w:r w:rsidR="00427AC9">
        <w:rPr>
          <w:rFonts w:ascii="Sylfaen" w:hAnsi="Sylfaen" w:cs="Arial"/>
        </w:rPr>
        <w:t xml:space="preserve"> Even his ‘girlfriend’ of 2010 had been ‘more as a friend’. That represented one open question on the appellant’s </w:t>
      </w:r>
      <w:r w:rsidR="00427AC9" w:rsidRPr="00427AC9">
        <w:rPr>
          <w:rFonts w:ascii="Sylfaen" w:hAnsi="Sylfaen" w:cs="Arial"/>
        </w:rPr>
        <w:t>credibility</w:t>
      </w:r>
      <w:r w:rsidR="00427AC9">
        <w:rPr>
          <w:rFonts w:ascii="Sylfaen" w:hAnsi="Sylfaen" w:cs="Arial"/>
        </w:rPr>
        <w:t>.</w:t>
      </w:r>
    </w:p>
    <w:p w:rsidR="00427AC9" w:rsidRPr="00427AC9" w:rsidRDefault="00427AC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other </w:t>
      </w:r>
      <w:r w:rsidR="007D4649">
        <w:rPr>
          <w:rFonts w:ascii="Sylfaen" w:hAnsi="Sylfaen" w:cs="Arial"/>
        </w:rPr>
        <w:t xml:space="preserve">open question </w:t>
      </w:r>
      <w:r>
        <w:rPr>
          <w:rFonts w:ascii="Sylfaen" w:hAnsi="Sylfaen" w:cs="Arial"/>
        </w:rPr>
        <w:t xml:space="preserve">was on the appellant’s </w:t>
      </w:r>
      <w:r w:rsidRPr="00427AC9">
        <w:rPr>
          <w:rFonts w:ascii="Sylfaen" w:hAnsi="Sylfaen" w:cs="Arial"/>
          <w:color w:val="000000"/>
        </w:rPr>
        <w:t>relationship</w:t>
      </w:r>
      <w:r>
        <w:rPr>
          <w:rFonts w:ascii="Sylfaen" w:hAnsi="Sylfaen" w:cs="Arial"/>
          <w:color w:val="000000"/>
        </w:rPr>
        <w:t xml:space="preserve"> with Peter, who had neither given oral evidence, nor even a statement or letter in support of his case. The reason, according to the appellant, was that he did not know his address or even surname. The judge dealt with this at 29: </w:t>
      </w:r>
    </w:p>
    <w:p w:rsidR="00427AC9" w:rsidRPr="007D4649" w:rsidRDefault="007D4649" w:rsidP="004D7965">
      <w:pPr>
        <w:spacing w:after="120"/>
        <w:ind w:left="851"/>
        <w:jc w:val="both"/>
        <w:rPr>
          <w:rFonts w:ascii="Sylfaen" w:hAnsi="Sylfaen" w:cs="Arial"/>
          <w:sz w:val="22"/>
          <w:szCs w:val="22"/>
        </w:rPr>
      </w:pPr>
      <w:r w:rsidRPr="007D4649">
        <w:rPr>
          <w:rFonts w:ascii="Sylfaen" w:hAnsi="Sylfaen" w:cs="Arial"/>
          <w:sz w:val="22"/>
          <w:szCs w:val="22"/>
        </w:rPr>
        <w:t xml:space="preserve">The </w:t>
      </w:r>
      <w:r>
        <w:rPr>
          <w:rFonts w:ascii="Sylfaen" w:hAnsi="Sylfaen" w:cs="Arial"/>
          <w:sz w:val="22"/>
          <w:szCs w:val="22"/>
        </w:rPr>
        <w:t xml:space="preserve">refusal is on stronger ground in questioning the lack of detail given about Peter … It does seem incredible that he does not know his second name or know his address. Against that, the appellant never claimed to have lived with him and the </w:t>
      </w:r>
      <w:r w:rsidRPr="007D4649">
        <w:rPr>
          <w:rFonts w:ascii="Sylfaen" w:hAnsi="Sylfaen" w:cs="Arial"/>
          <w:color w:val="000000"/>
          <w:sz w:val="22"/>
          <w:szCs w:val="22"/>
        </w:rPr>
        <w:t>relationship</w:t>
      </w:r>
      <w:r>
        <w:rPr>
          <w:rFonts w:ascii="Sylfaen" w:hAnsi="Sylfaen" w:cs="Arial"/>
          <w:color w:val="000000"/>
          <w:sz w:val="22"/>
          <w:szCs w:val="22"/>
        </w:rPr>
        <w:t xml:space="preserve">, on his account, only lasted for a number of months. Consequently, there is a possibility he may not know his former lover’s details. </w:t>
      </w:r>
    </w:p>
    <w:p w:rsidR="00427AC9" w:rsidRPr="00A828CC" w:rsidRDefault="007D4649"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 (see 31 – 32) allowed the appellant’s asylum appeal, not on the specific history about his kiss with Peter leading to trouble with his father he had given at his interview, but on the general risk for homosexual men in Nigeria. </w:t>
      </w:r>
      <w:r w:rsidR="00A828CC">
        <w:rPr>
          <w:rFonts w:ascii="Sylfaen" w:hAnsi="Sylfaen" w:cs="Arial"/>
        </w:rPr>
        <w:t xml:space="preserve">The </w:t>
      </w:r>
      <w:r>
        <w:rPr>
          <w:rFonts w:ascii="Sylfaen" w:hAnsi="Sylfaen" w:cs="Arial"/>
        </w:rPr>
        <w:t xml:space="preserve">appellant had been able to produce letters, though not </w:t>
      </w:r>
      <w:r w:rsidRPr="007D4649">
        <w:rPr>
          <w:rFonts w:ascii="Sylfaen" w:hAnsi="Sylfaen" w:cs="Arial"/>
        </w:rPr>
        <w:t>oral evidence</w:t>
      </w:r>
      <w:r>
        <w:rPr>
          <w:rFonts w:ascii="Sylfaen" w:hAnsi="Sylfaen" w:cs="Arial"/>
        </w:rPr>
        <w:t xml:space="preserve">, from his cousin and a man who </w:t>
      </w:r>
      <w:r w:rsidR="00A828CC">
        <w:rPr>
          <w:rFonts w:ascii="Sylfaen" w:hAnsi="Sylfaen" w:cs="Arial"/>
        </w:rPr>
        <w:t xml:space="preserve">said he </w:t>
      </w:r>
      <w:r>
        <w:rPr>
          <w:rFonts w:ascii="Sylfaen" w:hAnsi="Sylfaen" w:cs="Arial"/>
        </w:rPr>
        <w:t xml:space="preserve">had had </w:t>
      </w:r>
      <w:r w:rsidR="00A828CC">
        <w:rPr>
          <w:rFonts w:ascii="Sylfaen" w:hAnsi="Sylfaen" w:cs="Arial"/>
        </w:rPr>
        <w:t xml:space="preserve">a short </w:t>
      </w:r>
      <w:r w:rsidR="00A828CC" w:rsidRPr="00A828CC">
        <w:rPr>
          <w:rFonts w:ascii="Sylfaen" w:hAnsi="Sylfaen" w:cs="Arial"/>
        </w:rPr>
        <w:t>homosexual</w:t>
      </w:r>
      <w:r w:rsidR="00A828CC">
        <w:rPr>
          <w:rFonts w:ascii="Sylfaen" w:hAnsi="Sylfaen" w:cs="Arial"/>
        </w:rPr>
        <w:t xml:space="preserve"> </w:t>
      </w:r>
      <w:r w:rsidR="00A828CC" w:rsidRPr="00A828CC">
        <w:rPr>
          <w:rFonts w:ascii="Sylfaen" w:hAnsi="Sylfaen" w:cs="Arial"/>
          <w:color w:val="000000"/>
        </w:rPr>
        <w:t>relationship</w:t>
      </w:r>
      <w:r w:rsidR="00A828CC">
        <w:rPr>
          <w:rFonts w:ascii="Sylfaen" w:hAnsi="Sylfaen" w:cs="Arial"/>
          <w:color w:val="000000"/>
        </w:rPr>
        <w:t xml:space="preserve"> with him in </w:t>
      </w:r>
      <w:r w:rsidR="00A828CC" w:rsidRPr="00A828CC">
        <w:rPr>
          <w:rFonts w:ascii="Sylfaen" w:hAnsi="Sylfaen" w:cs="Arial"/>
          <w:color w:val="000000"/>
        </w:rPr>
        <w:t>Belfast</w:t>
      </w:r>
      <w:r w:rsidR="00A828CC">
        <w:rPr>
          <w:rFonts w:ascii="Sylfaen" w:hAnsi="Sylfaen" w:cs="Arial"/>
          <w:color w:val="000000"/>
        </w:rPr>
        <w:t>. This man gave his full name, but not his address, and says “I really love him: he cheated on me with a girl in March [</w:t>
      </w:r>
      <w:r w:rsidR="00A828CC">
        <w:rPr>
          <w:rFonts w:ascii="Sylfaen" w:hAnsi="Sylfaen" w:cs="Arial"/>
          <w:i/>
          <w:color w:val="000000"/>
        </w:rPr>
        <w:t>the letter is dated 12 July 2017</w:t>
      </w:r>
      <w:r w:rsidR="00A828CC">
        <w:rPr>
          <w:rFonts w:ascii="Sylfaen" w:hAnsi="Sylfaen" w:cs="Arial"/>
          <w:color w:val="000000"/>
        </w:rPr>
        <w:t xml:space="preserve">] and he told me in April about it but I ended the </w:t>
      </w:r>
      <w:r w:rsidR="00A828CC" w:rsidRPr="00A828CC">
        <w:rPr>
          <w:rFonts w:ascii="Sylfaen" w:hAnsi="Sylfaen" w:cs="Arial"/>
          <w:color w:val="000000"/>
        </w:rPr>
        <w:t>relationship</w:t>
      </w:r>
      <w:r w:rsidR="00A828CC">
        <w:rPr>
          <w:rFonts w:ascii="Sylfaen" w:hAnsi="Sylfaen" w:cs="Arial"/>
          <w:color w:val="000000"/>
        </w:rPr>
        <w:t xml:space="preserve">”. </w:t>
      </w:r>
    </w:p>
    <w:p w:rsidR="00A96D61" w:rsidRDefault="00A828CC" w:rsidP="00A96D61">
      <w:pPr>
        <w:numPr>
          <w:ilvl w:val="0"/>
          <w:numId w:val="1"/>
        </w:numPr>
        <w:tabs>
          <w:tab w:val="clear" w:pos="757"/>
        </w:tabs>
        <w:spacing w:after="120"/>
        <w:ind w:left="540" w:hanging="540"/>
        <w:jc w:val="both"/>
        <w:rPr>
          <w:rFonts w:ascii="Sylfaen" w:hAnsi="Sylfaen" w:cs="Arial"/>
        </w:rPr>
      </w:pPr>
      <w:r>
        <w:rPr>
          <w:rFonts w:ascii="Sylfaen" w:hAnsi="Sylfaen" w:cs="Arial"/>
          <w:color w:val="000000"/>
        </w:rPr>
        <w:t xml:space="preserve">The judge says at 31 “… I find [the appellant] has established he is gay: this is principally on his own say-so and supported by his involvement with Cara”. It follows that the appellant’s own </w:t>
      </w:r>
      <w:r w:rsidRPr="00A828CC">
        <w:rPr>
          <w:rFonts w:ascii="Sylfaen" w:hAnsi="Sylfaen" w:cs="Arial"/>
          <w:color w:val="000000"/>
        </w:rPr>
        <w:t>credibility</w:t>
      </w:r>
      <w:r>
        <w:rPr>
          <w:rFonts w:ascii="Sylfaen" w:hAnsi="Sylfaen" w:cs="Arial"/>
          <w:color w:val="000000"/>
        </w:rPr>
        <w:t xml:space="preserve"> was essential to his case on any risk he might face as a </w:t>
      </w:r>
      <w:r w:rsidRPr="00A828CC">
        <w:rPr>
          <w:rFonts w:ascii="Sylfaen" w:hAnsi="Sylfaen" w:cs="Arial"/>
          <w:color w:val="000000"/>
        </w:rPr>
        <w:t>homosexual</w:t>
      </w:r>
      <w:r>
        <w:rPr>
          <w:rFonts w:ascii="Sylfaen" w:hAnsi="Sylfaen" w:cs="Arial"/>
          <w:color w:val="000000"/>
        </w:rPr>
        <w:t xml:space="preserve">, or any inability to express his sexuality in that way in Nigeria. </w:t>
      </w:r>
      <w:r w:rsidR="00A96D61">
        <w:rPr>
          <w:rFonts w:ascii="Sylfaen" w:hAnsi="Sylfaen" w:cs="Arial"/>
          <w:color w:val="000000"/>
        </w:rPr>
        <w:t xml:space="preserve">His claim about Peter had been challenged, and this needed to be resolved before deciding whether or not he was </w:t>
      </w:r>
      <w:r w:rsidR="00A96D61" w:rsidRPr="00A96D61">
        <w:rPr>
          <w:rFonts w:ascii="Sylfaen" w:hAnsi="Sylfaen" w:cs="Arial"/>
        </w:rPr>
        <w:t>homosexual</w:t>
      </w:r>
      <w:r w:rsidR="00A96D61">
        <w:rPr>
          <w:rFonts w:ascii="Sylfaen" w:hAnsi="Sylfaen" w:cs="Arial"/>
        </w:rPr>
        <w:t xml:space="preserve"> by</w:t>
      </w:r>
      <w:r w:rsidR="0007530B">
        <w:rPr>
          <w:rFonts w:ascii="Sylfaen" w:hAnsi="Sylfaen" w:cs="Arial"/>
        </w:rPr>
        <w:t xml:space="preserve"> inclination; not least because it was through his </w:t>
      </w:r>
      <w:r w:rsidR="0007530B" w:rsidRPr="0007530B">
        <w:rPr>
          <w:rFonts w:ascii="Sylfaen" w:hAnsi="Sylfaen" w:cs="Arial"/>
          <w:color w:val="000000"/>
        </w:rPr>
        <w:t>relationship</w:t>
      </w:r>
      <w:r w:rsidR="0007530B">
        <w:rPr>
          <w:rFonts w:ascii="Sylfaen" w:hAnsi="Sylfaen" w:cs="Arial"/>
          <w:color w:val="000000"/>
        </w:rPr>
        <w:t xml:space="preserve"> with Peter that he said he had found himself as an active </w:t>
      </w:r>
      <w:r w:rsidR="0007530B" w:rsidRPr="0007530B">
        <w:rPr>
          <w:rFonts w:ascii="Sylfaen" w:hAnsi="Sylfaen" w:cs="Arial"/>
          <w:color w:val="000000"/>
        </w:rPr>
        <w:t>homosexual</w:t>
      </w:r>
      <w:r w:rsidR="0007530B">
        <w:rPr>
          <w:rFonts w:ascii="Sylfaen" w:hAnsi="Sylfaen" w:cs="Arial"/>
          <w:color w:val="000000"/>
        </w:rPr>
        <w:t>.</w:t>
      </w:r>
    </w:p>
    <w:p w:rsidR="00A96D61" w:rsidRDefault="00A96D61" w:rsidP="00A96D61">
      <w:pPr>
        <w:numPr>
          <w:ilvl w:val="0"/>
          <w:numId w:val="1"/>
        </w:numPr>
        <w:tabs>
          <w:tab w:val="clear" w:pos="757"/>
        </w:tabs>
        <w:spacing w:after="120"/>
        <w:ind w:left="540" w:hanging="540"/>
        <w:jc w:val="both"/>
        <w:rPr>
          <w:rFonts w:ascii="Sylfaen" w:hAnsi="Sylfaen" w:cs="Arial"/>
        </w:rPr>
      </w:pPr>
      <w:r>
        <w:rPr>
          <w:rFonts w:ascii="Sylfaen" w:hAnsi="Sylfaen" w:cs="Arial"/>
        </w:rPr>
        <w:t>So far as Peter was concerned, they had met on a train, and must have exchanged some kind of contact details before meeting again. He had also stayed with him several times a week over a period of months, and Peter had called him on his phone at his graduation. If by any chance the appellant had forgotten any of Peter’s details beyond his Christian name, it might reasonably have been supposed, given this history, that he could find them out.</w:t>
      </w:r>
    </w:p>
    <w:p w:rsidR="00A96D61" w:rsidRDefault="00A96D61" w:rsidP="00A96D61">
      <w:pPr>
        <w:numPr>
          <w:ilvl w:val="0"/>
          <w:numId w:val="1"/>
        </w:numPr>
        <w:tabs>
          <w:tab w:val="clear" w:pos="757"/>
        </w:tabs>
        <w:spacing w:after="120"/>
        <w:ind w:left="540" w:hanging="540"/>
        <w:jc w:val="both"/>
        <w:rPr>
          <w:rFonts w:ascii="Sylfaen" w:hAnsi="Sylfaen" w:cs="Arial"/>
        </w:rPr>
      </w:pPr>
      <w:r>
        <w:rPr>
          <w:rFonts w:ascii="Sylfaen" w:hAnsi="Sylfaen" w:cs="Arial"/>
        </w:rPr>
        <w:t>The other possibility was that</w:t>
      </w:r>
      <w:r w:rsidR="00E11996">
        <w:rPr>
          <w:rFonts w:ascii="Sylfaen" w:hAnsi="Sylfaen" w:cs="Arial"/>
        </w:rPr>
        <w:t>, having relied on this part of his history at interview,</w:t>
      </w:r>
      <w:r>
        <w:rPr>
          <w:rFonts w:ascii="Sylfaen" w:hAnsi="Sylfaen" w:cs="Arial"/>
        </w:rPr>
        <w:t xml:space="preserve"> the appellant had denied all further knowledge of Peter because he did not want to be challenged on why he had not been called, or at least asked to provide a statement. I put this to </w:t>
      </w:r>
      <w:r w:rsidRPr="00A96D61">
        <w:rPr>
          <w:rFonts w:ascii="Sylfaen" w:hAnsi="Sylfaen" w:cs="Arial"/>
        </w:rPr>
        <w:t>Mr McTaggart</w:t>
      </w:r>
      <w:r>
        <w:rPr>
          <w:rFonts w:ascii="Sylfaen" w:hAnsi="Sylfaen" w:cs="Arial"/>
        </w:rPr>
        <w:t xml:space="preserve">, who suggested that Peter </w:t>
      </w:r>
      <w:r w:rsidR="008B5B3A">
        <w:rPr>
          <w:rFonts w:ascii="Sylfaen" w:hAnsi="Sylfaen" w:cs="Arial"/>
        </w:rPr>
        <w:t xml:space="preserve">might have ‘just come along’ to the graduation. While the event was no doubt identifiable from the Internet or other sources, that does not explain how Peter could have known that the appellant was going to be able to come and take his degree in person on the date in question; or the other points in his history identified at </w:t>
      </w:r>
      <w:r w:rsidR="008B5B3A">
        <w:rPr>
          <w:rFonts w:ascii="Sylfaen" w:hAnsi="Sylfaen" w:cs="Arial"/>
          <w:b/>
        </w:rPr>
        <w:t>9</w:t>
      </w:r>
      <w:r w:rsidR="008B5B3A">
        <w:rPr>
          <w:rFonts w:ascii="Sylfaen" w:hAnsi="Sylfaen" w:cs="Arial"/>
        </w:rPr>
        <w:t>.</w:t>
      </w:r>
      <w:r w:rsidR="00E11996">
        <w:rPr>
          <w:rFonts w:ascii="Sylfaen" w:hAnsi="Sylfaen" w:cs="Arial"/>
        </w:rPr>
        <w:t xml:space="preserve"> The judge clearly needed to resolve this point in some way beyond the passage quoted at </w:t>
      </w:r>
      <w:r w:rsidR="00E11996">
        <w:rPr>
          <w:rFonts w:ascii="Sylfaen" w:hAnsi="Sylfaen" w:cs="Arial"/>
          <w:b/>
        </w:rPr>
        <w:t>6</w:t>
      </w:r>
      <w:r w:rsidR="00E11996">
        <w:rPr>
          <w:rFonts w:ascii="Sylfaen" w:hAnsi="Sylfaen" w:cs="Arial"/>
        </w:rPr>
        <w:t xml:space="preserve">. </w:t>
      </w:r>
    </w:p>
    <w:p w:rsidR="008B5B3A" w:rsidRDefault="008B5B3A" w:rsidP="00A96D61">
      <w:pPr>
        <w:numPr>
          <w:ilvl w:val="0"/>
          <w:numId w:val="1"/>
        </w:numPr>
        <w:tabs>
          <w:tab w:val="clear" w:pos="757"/>
        </w:tabs>
        <w:spacing w:after="120"/>
        <w:ind w:left="540" w:hanging="540"/>
        <w:jc w:val="both"/>
        <w:rPr>
          <w:rFonts w:ascii="Sylfaen" w:hAnsi="Sylfaen" w:cs="Arial"/>
        </w:rPr>
      </w:pPr>
      <w:r>
        <w:rPr>
          <w:rFonts w:ascii="Sylfaen" w:hAnsi="Sylfaen" w:cs="Arial"/>
        </w:rPr>
        <w:t xml:space="preserve">The remaining </w:t>
      </w:r>
      <w:r w:rsidRPr="008B5B3A">
        <w:rPr>
          <w:rFonts w:ascii="Sylfaen" w:hAnsi="Sylfaen" w:cs="Arial"/>
        </w:rPr>
        <w:t>credibility</w:t>
      </w:r>
      <w:r>
        <w:rPr>
          <w:rFonts w:ascii="Sylfaen" w:hAnsi="Sylfaen" w:cs="Arial"/>
        </w:rPr>
        <w:t xml:space="preserve"> point was on how the appellant, who had identified himself as exclusively </w:t>
      </w:r>
      <w:r w:rsidRPr="008B5B3A">
        <w:rPr>
          <w:rFonts w:ascii="Sylfaen" w:hAnsi="Sylfaen" w:cs="Arial"/>
        </w:rPr>
        <w:t>homosexual</w:t>
      </w:r>
      <w:r>
        <w:rPr>
          <w:rFonts w:ascii="Sylfaen" w:hAnsi="Sylfaen" w:cs="Arial"/>
        </w:rPr>
        <w:t xml:space="preserve"> at his interview in January 2016, had come to beget a child with a woman in about February. </w:t>
      </w:r>
      <w:proofErr w:type="gramStart"/>
      <w:r>
        <w:rPr>
          <w:rFonts w:ascii="Sylfaen" w:hAnsi="Sylfaen" w:cs="Arial"/>
        </w:rPr>
        <w:t>Of course</w:t>
      </w:r>
      <w:proofErr w:type="gramEnd"/>
      <w:r>
        <w:rPr>
          <w:rFonts w:ascii="Sylfaen" w:hAnsi="Sylfaen" w:cs="Arial"/>
        </w:rPr>
        <w:t xml:space="preserve"> it is perfectly possible to be bisexual, and even to beget a child: there is no need to look further than Oscar Wilde for that, and the judge was fully entitled to recognize this point at 24 – 25.</w:t>
      </w:r>
    </w:p>
    <w:p w:rsidR="008B5B3A" w:rsidRDefault="008B5B3A" w:rsidP="00A96D61">
      <w:pPr>
        <w:numPr>
          <w:ilvl w:val="0"/>
          <w:numId w:val="1"/>
        </w:numPr>
        <w:tabs>
          <w:tab w:val="clear" w:pos="757"/>
        </w:tabs>
        <w:spacing w:after="120"/>
        <w:ind w:left="540" w:hanging="540"/>
        <w:jc w:val="both"/>
        <w:rPr>
          <w:rFonts w:ascii="Sylfaen" w:hAnsi="Sylfaen" w:cs="Arial"/>
        </w:rPr>
      </w:pPr>
      <w:r>
        <w:rPr>
          <w:rFonts w:ascii="Sylfaen" w:hAnsi="Sylfaen" w:cs="Arial"/>
        </w:rPr>
        <w:t xml:space="preserve">However, this was not how the appellant had presented himself at interview, and he had even </w:t>
      </w:r>
      <w:r w:rsidR="00E11996">
        <w:rPr>
          <w:rFonts w:ascii="Sylfaen" w:hAnsi="Sylfaen" w:cs="Arial"/>
        </w:rPr>
        <w:t xml:space="preserve">given two different accounts of his sexuality within his </w:t>
      </w:r>
      <w:r w:rsidR="00E11996" w:rsidRPr="00E11996">
        <w:rPr>
          <w:rFonts w:ascii="Sylfaen" w:hAnsi="Sylfaen" w:cs="Arial"/>
        </w:rPr>
        <w:t>oral evidence</w:t>
      </w:r>
      <w:r w:rsidR="00E11996">
        <w:rPr>
          <w:rFonts w:ascii="Sylfaen" w:hAnsi="Sylfaen" w:cs="Arial"/>
        </w:rPr>
        <w:t xml:space="preserve"> (see the passage quoted at </w:t>
      </w:r>
      <w:r w:rsidR="00E11996">
        <w:rPr>
          <w:rFonts w:ascii="Sylfaen" w:hAnsi="Sylfaen" w:cs="Arial"/>
          <w:b/>
        </w:rPr>
        <w:t>4</w:t>
      </w:r>
      <w:r w:rsidR="00E11996">
        <w:rPr>
          <w:rFonts w:ascii="Sylfaen" w:hAnsi="Sylfaen" w:cs="Arial"/>
        </w:rPr>
        <w:t xml:space="preserve">). </w:t>
      </w:r>
      <w:r w:rsidR="00E11996" w:rsidRPr="00E11996">
        <w:rPr>
          <w:rFonts w:ascii="Sylfaen" w:hAnsi="Sylfaen" w:cs="Arial"/>
        </w:rPr>
        <w:t>Mr McTaggart</w:t>
      </w:r>
      <w:r w:rsidR="00E11996">
        <w:rPr>
          <w:rFonts w:ascii="Sylfaen" w:hAnsi="Sylfaen" w:cs="Arial"/>
        </w:rPr>
        <w:t xml:space="preserve"> recognized this, but could offer no explanation of it. It was a discrepancy which required a reasoned explanation from the judge, before going on to accept the appellant’s </w:t>
      </w:r>
      <w:r w:rsidR="00E11996" w:rsidRPr="00E11996">
        <w:rPr>
          <w:rFonts w:ascii="Sylfaen" w:hAnsi="Sylfaen" w:cs="Arial"/>
        </w:rPr>
        <w:t>credibility</w:t>
      </w:r>
      <w:r w:rsidR="00E11996">
        <w:rPr>
          <w:rFonts w:ascii="Sylfaen" w:hAnsi="Sylfaen" w:cs="Arial"/>
        </w:rPr>
        <w:t xml:space="preserve"> on his sexual orientation.</w:t>
      </w:r>
    </w:p>
    <w:p w:rsidR="00E11996" w:rsidRDefault="00E11996" w:rsidP="00A96D61">
      <w:pPr>
        <w:numPr>
          <w:ilvl w:val="0"/>
          <w:numId w:val="1"/>
        </w:numPr>
        <w:tabs>
          <w:tab w:val="clear" w:pos="757"/>
        </w:tabs>
        <w:spacing w:after="120"/>
        <w:ind w:left="540" w:hanging="540"/>
        <w:jc w:val="both"/>
        <w:rPr>
          <w:rFonts w:ascii="Sylfaen" w:hAnsi="Sylfaen" w:cs="Arial"/>
        </w:rPr>
      </w:pPr>
      <w:r>
        <w:rPr>
          <w:rFonts w:ascii="Sylfaen" w:hAnsi="Sylfaen" w:cs="Arial"/>
        </w:rPr>
        <w:t xml:space="preserve">Having accepted that, the judge went on at 33 </w:t>
      </w:r>
    </w:p>
    <w:p w:rsidR="00E11996" w:rsidRPr="00E11996" w:rsidRDefault="0007530B" w:rsidP="00E11996">
      <w:pPr>
        <w:spacing w:after="120"/>
        <w:ind w:left="851"/>
        <w:jc w:val="both"/>
        <w:rPr>
          <w:rFonts w:ascii="Sylfaen" w:hAnsi="Sylfaen" w:cs="Arial"/>
          <w:sz w:val="22"/>
          <w:szCs w:val="22"/>
        </w:rPr>
      </w:pPr>
      <w:r>
        <w:rPr>
          <w:rFonts w:ascii="Sylfaen" w:hAnsi="Sylfaen" w:cs="Arial"/>
          <w:sz w:val="22"/>
          <w:szCs w:val="22"/>
        </w:rPr>
        <w:t xml:space="preserve">… I do not find it established that he is in an ongoing </w:t>
      </w:r>
      <w:r w:rsidRPr="0007530B">
        <w:rPr>
          <w:rFonts w:ascii="Sylfaen" w:hAnsi="Sylfaen" w:cs="Arial"/>
          <w:color w:val="000000"/>
          <w:sz w:val="22"/>
          <w:szCs w:val="22"/>
        </w:rPr>
        <w:t>relationship</w:t>
      </w:r>
      <w:r>
        <w:rPr>
          <w:rFonts w:ascii="Sylfaen" w:hAnsi="Sylfaen" w:cs="Arial"/>
          <w:color w:val="000000"/>
          <w:sz w:val="22"/>
          <w:szCs w:val="22"/>
        </w:rPr>
        <w:t xml:space="preserve"> with either the child’s mother or the child. Consequently, I cannot see this aspect of his claim assisting him.</w:t>
      </w:r>
    </w:p>
    <w:p w:rsidR="00E11996" w:rsidRPr="00A96D61" w:rsidRDefault="0007530B" w:rsidP="0007530B">
      <w:pPr>
        <w:spacing w:after="120"/>
        <w:ind w:left="567"/>
        <w:jc w:val="both"/>
        <w:rPr>
          <w:rFonts w:ascii="Sylfaen" w:hAnsi="Sylfaen" w:cs="Arial"/>
        </w:rPr>
      </w:pPr>
      <w:r>
        <w:rPr>
          <w:rFonts w:ascii="Sylfaen" w:hAnsi="Sylfaen" w:cs="Arial"/>
        </w:rPr>
        <w:br w:type="page"/>
        <w:t xml:space="preserve">The judge expressly allowed the appellant’s appeal on asylum grounds only, and not on human rights. This part of his decision was not the subject of any cross-appeal or application on behalf of the appellant, and so stands. For the reasons given at </w:t>
      </w:r>
      <w:r>
        <w:rPr>
          <w:rFonts w:ascii="Sylfaen" w:hAnsi="Sylfaen" w:cs="Arial"/>
          <w:b/>
        </w:rPr>
        <w:t xml:space="preserve">10 </w:t>
      </w:r>
      <w:r>
        <w:rPr>
          <w:rFonts w:ascii="Sylfaen" w:hAnsi="Sylfaen" w:cs="Arial"/>
        </w:rPr>
        <w:t xml:space="preserve">and </w:t>
      </w:r>
      <w:r>
        <w:rPr>
          <w:rFonts w:ascii="Sylfaen" w:hAnsi="Sylfaen" w:cs="Arial"/>
          <w:b/>
        </w:rPr>
        <w:t xml:space="preserve">12 </w:t>
      </w:r>
      <w:r>
        <w:rPr>
          <w:rFonts w:ascii="Sylfaen" w:hAnsi="Sylfaen" w:cs="Arial"/>
        </w:rPr>
        <w:t>however, there will have to be a fresh hearing of his asylum appeal.</w:t>
      </w:r>
    </w:p>
    <w:p w:rsidR="009F5220" w:rsidRDefault="008F23F4" w:rsidP="00780F86">
      <w:pPr>
        <w:ind w:left="540" w:hanging="540"/>
        <w:jc w:val="both"/>
        <w:rPr>
          <w:rFonts w:ascii="Sylfaen" w:hAnsi="Sylfaen" w:cs="Arial"/>
          <w:b/>
        </w:rPr>
      </w:pPr>
      <w:r>
        <w:rPr>
          <w:rFonts w:ascii="Sylfaen" w:hAnsi="Sylfaen" w:cs="Arial"/>
          <w:b/>
        </w:rPr>
        <w:t xml:space="preserve">Appeal </w:t>
      </w:r>
      <w:bookmarkStart w:id="6" w:name="Dropdown3"/>
      <w:r>
        <w:rPr>
          <w:rFonts w:ascii="Sylfaen" w:hAnsi="Sylfaen" w:cs="Arial"/>
          <w:b/>
        </w:rPr>
        <w:fldChar w:fldCharType="begin">
          <w:ffData>
            <w:name w:val="Dropdown3"/>
            <w:enabled/>
            <w:calcOnExit w:val="0"/>
            <w:ddList>
              <w:listEntry w:val="dismissed"/>
              <w:listEntry w:val="allowed"/>
            </w:ddList>
          </w:ffData>
        </w:fldChar>
      </w:r>
      <w:r>
        <w:rPr>
          <w:rFonts w:ascii="Sylfaen" w:hAnsi="Sylfaen" w:cs="Arial"/>
          <w:b/>
        </w:rPr>
        <w:instrText xml:space="preserve"> FORMDROPDOWN </w:instrText>
      </w:r>
      <w:r w:rsidR="00C05535">
        <w:rPr>
          <w:rFonts w:ascii="Sylfaen" w:hAnsi="Sylfaen" w:cs="Arial"/>
          <w:b/>
        </w:rPr>
      </w:r>
      <w:r w:rsidR="00C05535">
        <w:rPr>
          <w:rFonts w:ascii="Sylfaen" w:hAnsi="Sylfaen" w:cs="Arial"/>
          <w:b/>
        </w:rPr>
        <w:fldChar w:fldCharType="separate"/>
      </w:r>
      <w:r>
        <w:rPr>
          <w:rFonts w:ascii="Sylfaen" w:hAnsi="Sylfaen" w:cs="Arial"/>
          <w:b/>
        </w:rPr>
        <w:fldChar w:fldCharType="end"/>
      </w:r>
      <w:bookmarkEnd w:id="6"/>
      <w:r w:rsidR="00E11996">
        <w:rPr>
          <w:rFonts w:ascii="Sylfaen" w:hAnsi="Sylfaen" w:cs="Arial"/>
          <w:b/>
        </w:rPr>
        <w:t xml:space="preserve"> </w:t>
      </w:r>
      <w:r w:rsidR="0007530B">
        <w:rPr>
          <w:rFonts w:ascii="Sylfaen" w:hAnsi="Sylfaen" w:cs="Arial"/>
          <w:b/>
        </w:rPr>
        <w:t xml:space="preserve">: </w:t>
      </w:r>
      <w:r w:rsidR="0007530B" w:rsidRPr="0007530B">
        <w:rPr>
          <w:rFonts w:ascii="Sylfaen" w:hAnsi="Sylfaen" w:cs="Arial"/>
          <w:b/>
        </w:rPr>
        <w:t>: first-tier decision set aside</w:t>
      </w:r>
    </w:p>
    <w:p w:rsidR="0007530B" w:rsidRPr="008F23F4" w:rsidRDefault="0007530B" w:rsidP="00780F86">
      <w:pPr>
        <w:ind w:left="540" w:hanging="540"/>
        <w:jc w:val="both"/>
        <w:rPr>
          <w:rFonts w:ascii="Sylfaen" w:hAnsi="Sylfaen" w:cs="Arial"/>
          <w:b/>
        </w:rPr>
      </w:pPr>
      <w:r>
        <w:rPr>
          <w:rFonts w:ascii="Sylfaen" w:hAnsi="Sylfaen" w:cs="Arial"/>
          <w:b/>
        </w:rPr>
        <w:t xml:space="preserve">Fresh hearing of asylum appeal only, in First-tier Tribunal at Belfast, not before </w:t>
      </w:r>
      <w:r w:rsidRPr="0007530B">
        <w:rPr>
          <w:rFonts w:ascii="Sylfaen" w:hAnsi="Sylfaen" w:cs="Arial"/>
          <w:b/>
        </w:rPr>
        <w:t>Judge Farrelly</w:t>
      </w:r>
    </w:p>
    <w:p w:rsidR="00B95326" w:rsidRPr="00A544A8" w:rsidRDefault="009820F4" w:rsidP="00F07170">
      <w:pPr>
        <w:ind w:left="4508" w:hanging="539"/>
        <w:rPr>
          <w:rFonts w:ascii="Sylfaen" w:hAnsi="Sylfaen" w:cs="Arial"/>
          <w:color w:val="000000"/>
        </w:rPr>
      </w:pPr>
      <w:r w:rsidRPr="00A544A8">
        <w:rPr>
          <w:rFonts w:ascii="Sylfaen" w:hAnsi="Sylfaen" w:cs="Arial"/>
          <w:b/>
          <w:noProof/>
        </w:rPr>
        <w:drawing>
          <wp:inline distT="0" distB="0" distL="0" distR="0">
            <wp:extent cx="2141855"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sectPr w:rsidR="00B95326" w:rsidRPr="00A544A8"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857" w:rsidRDefault="00EB2857">
      <w:r>
        <w:separator/>
      </w:r>
    </w:p>
  </w:endnote>
  <w:endnote w:type="continuationSeparator" w:id="0">
    <w:p w:rsidR="00EB2857" w:rsidRDefault="00EB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C05535">
      <w:rPr>
        <w:rStyle w:val="PageNumber"/>
        <w:rFonts w:ascii="Sylfaen" w:hAnsi="Sylfaen" w:cs="Arial"/>
        <w:noProof/>
        <w:sz w:val="22"/>
        <w:szCs w:val="22"/>
      </w:rPr>
      <w:t>5</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876CF4" w:rsidRDefault="00876CF4" w:rsidP="00090CF9">
    <w:pPr>
      <w:jc w:val="center"/>
      <w:rPr>
        <w:rFonts w:ascii="Sylfaen" w:hAnsi="Sylfaen" w:cs="Arial"/>
        <w:i/>
        <w:spacing w:val="-6"/>
        <w:sz w:val="22"/>
        <w:szCs w:val="22"/>
      </w:rPr>
    </w:pPr>
  </w:p>
  <w:p w:rsidR="00374981" w:rsidRPr="00876CF4" w:rsidRDefault="00374981" w:rsidP="00090CF9">
    <w:pPr>
      <w:jc w:val="center"/>
      <w:rPr>
        <w:rFonts w:ascii="Sylfaen" w:hAnsi="Sylfaen" w:cs="Arial"/>
        <w:b/>
        <w:i/>
        <w:sz w:val="22"/>
        <w:szCs w:val="22"/>
      </w:rPr>
    </w:pPr>
    <w:r w:rsidRPr="00876CF4">
      <w:rPr>
        <w:rFonts w:ascii="Sylfaen" w:hAnsi="Sylfaen" w:cs="Arial"/>
        <w:b/>
        <w:i/>
        <w:spacing w:val="-6"/>
        <w:sz w:val="22"/>
        <w:szCs w:val="22"/>
      </w:rPr>
      <w:t>©</w:t>
    </w:r>
    <w:r w:rsidRPr="00876CF4">
      <w:rPr>
        <w:rFonts w:ascii="Sylfaen" w:hAnsi="Sylfaen" w:cs="Arial"/>
        <w:b/>
        <w:i/>
        <w:sz w:val="22"/>
        <w:szCs w:val="22"/>
      </w:rPr>
      <w:t xml:space="preserve"> CROWN COPYRIGHT 201</w:t>
    </w:r>
    <w:r w:rsidR="00990B37" w:rsidRPr="00876CF4">
      <w:rPr>
        <w:rFonts w:ascii="Sylfaen" w:hAnsi="Sylfaen" w:cs="Arial"/>
        <w:b/>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857" w:rsidRDefault="00EB2857">
      <w:r>
        <w:separator/>
      </w:r>
    </w:p>
  </w:footnote>
  <w:footnote w:type="continuationSeparator" w:id="0">
    <w:p w:rsidR="00EB2857" w:rsidRDefault="00EB2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B37" w:rsidRPr="00047C69" w:rsidRDefault="00047C69" w:rsidP="00047C69">
    <w:pPr>
      <w:pStyle w:val="Header"/>
      <w:jc w:val="right"/>
      <w:rPr>
        <w:sz w:val="20"/>
        <w:szCs w:val="20"/>
      </w:rPr>
    </w:pPr>
    <w:r w:rsidRPr="00047C69">
      <w:rPr>
        <w:sz w:val="20"/>
        <w:szCs w:val="20"/>
      </w:rPr>
      <w:t>PA/01198/2016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33CF"/>
    <w:multiLevelType w:val="hybridMultilevel"/>
    <w:tmpl w:val="AD4E0BC0"/>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7C2D46"/>
    <w:multiLevelType w:val="hybridMultilevel"/>
    <w:tmpl w:val="D996F2D0"/>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3C"/>
    <w:rsid w:val="00000621"/>
    <w:rsid w:val="000036C2"/>
    <w:rsid w:val="00033D3D"/>
    <w:rsid w:val="00047C69"/>
    <w:rsid w:val="00057601"/>
    <w:rsid w:val="00062F02"/>
    <w:rsid w:val="00071A7E"/>
    <w:rsid w:val="000746C0"/>
    <w:rsid w:val="00074D1D"/>
    <w:rsid w:val="0007530B"/>
    <w:rsid w:val="000857AF"/>
    <w:rsid w:val="00090CF9"/>
    <w:rsid w:val="00092580"/>
    <w:rsid w:val="00093D4D"/>
    <w:rsid w:val="000A1210"/>
    <w:rsid w:val="000B2183"/>
    <w:rsid w:val="000D5D94"/>
    <w:rsid w:val="000F1A0E"/>
    <w:rsid w:val="00102EBC"/>
    <w:rsid w:val="001165A7"/>
    <w:rsid w:val="00117FD8"/>
    <w:rsid w:val="001435AF"/>
    <w:rsid w:val="00167D3A"/>
    <w:rsid w:val="00194E6E"/>
    <w:rsid w:val="001A3082"/>
    <w:rsid w:val="001A5D86"/>
    <w:rsid w:val="001B186A"/>
    <w:rsid w:val="001B2F75"/>
    <w:rsid w:val="001E6DE8"/>
    <w:rsid w:val="001F114E"/>
    <w:rsid w:val="001F2716"/>
    <w:rsid w:val="00206F6B"/>
    <w:rsid w:val="00207617"/>
    <w:rsid w:val="0023134B"/>
    <w:rsid w:val="0026015E"/>
    <w:rsid w:val="002667BE"/>
    <w:rsid w:val="00270E13"/>
    <w:rsid w:val="00283659"/>
    <w:rsid w:val="002B2E5C"/>
    <w:rsid w:val="002B5149"/>
    <w:rsid w:val="002C6BD4"/>
    <w:rsid w:val="002D68BF"/>
    <w:rsid w:val="002F6B98"/>
    <w:rsid w:val="00301173"/>
    <w:rsid w:val="00310B90"/>
    <w:rsid w:val="00336CBF"/>
    <w:rsid w:val="00343FE3"/>
    <w:rsid w:val="003546C8"/>
    <w:rsid w:val="00374981"/>
    <w:rsid w:val="003860CF"/>
    <w:rsid w:val="003A3DA7"/>
    <w:rsid w:val="003A7CF2"/>
    <w:rsid w:val="003C5CE5"/>
    <w:rsid w:val="003E267B"/>
    <w:rsid w:val="003E5773"/>
    <w:rsid w:val="003E7CD1"/>
    <w:rsid w:val="003F2E3F"/>
    <w:rsid w:val="00402B9E"/>
    <w:rsid w:val="00420643"/>
    <w:rsid w:val="004249CB"/>
    <w:rsid w:val="00427AC9"/>
    <w:rsid w:val="0044127D"/>
    <w:rsid w:val="004448DB"/>
    <w:rsid w:val="00446C9A"/>
    <w:rsid w:val="00452F2B"/>
    <w:rsid w:val="004617F0"/>
    <w:rsid w:val="00473EEA"/>
    <w:rsid w:val="00477193"/>
    <w:rsid w:val="00480D87"/>
    <w:rsid w:val="004A1848"/>
    <w:rsid w:val="004A6F4A"/>
    <w:rsid w:val="004C5C63"/>
    <w:rsid w:val="004D7965"/>
    <w:rsid w:val="004E4717"/>
    <w:rsid w:val="00502C43"/>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5F503C"/>
    <w:rsid w:val="00601D8F"/>
    <w:rsid w:val="00611011"/>
    <w:rsid w:val="00644DAE"/>
    <w:rsid w:val="00653E97"/>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A7CEE"/>
    <w:rsid w:val="007B0824"/>
    <w:rsid w:val="007B5D3C"/>
    <w:rsid w:val="007B67B0"/>
    <w:rsid w:val="007D4649"/>
    <w:rsid w:val="00821B72"/>
    <w:rsid w:val="00823EF2"/>
    <w:rsid w:val="008303B8"/>
    <w:rsid w:val="00833DCE"/>
    <w:rsid w:val="00871D34"/>
    <w:rsid w:val="00876CF4"/>
    <w:rsid w:val="008A414E"/>
    <w:rsid w:val="008B270C"/>
    <w:rsid w:val="008B382D"/>
    <w:rsid w:val="008B5078"/>
    <w:rsid w:val="008B5B3A"/>
    <w:rsid w:val="008C3D3D"/>
    <w:rsid w:val="008D4131"/>
    <w:rsid w:val="008F0697"/>
    <w:rsid w:val="008F1932"/>
    <w:rsid w:val="008F23F4"/>
    <w:rsid w:val="00921062"/>
    <w:rsid w:val="00923B15"/>
    <w:rsid w:val="00925AB2"/>
    <w:rsid w:val="009722BC"/>
    <w:rsid w:val="009727A3"/>
    <w:rsid w:val="00977EB3"/>
    <w:rsid w:val="009820F4"/>
    <w:rsid w:val="00987774"/>
    <w:rsid w:val="00990B37"/>
    <w:rsid w:val="00996FBB"/>
    <w:rsid w:val="009A11E8"/>
    <w:rsid w:val="009C5F92"/>
    <w:rsid w:val="009E30EE"/>
    <w:rsid w:val="009E3C2D"/>
    <w:rsid w:val="009F3381"/>
    <w:rsid w:val="009F5220"/>
    <w:rsid w:val="00A11F19"/>
    <w:rsid w:val="00A15234"/>
    <w:rsid w:val="00A201AB"/>
    <w:rsid w:val="00A240AA"/>
    <w:rsid w:val="00A253BF"/>
    <w:rsid w:val="00A31C8B"/>
    <w:rsid w:val="00A509FA"/>
    <w:rsid w:val="00A544A8"/>
    <w:rsid w:val="00A828CC"/>
    <w:rsid w:val="00A845DC"/>
    <w:rsid w:val="00A8721C"/>
    <w:rsid w:val="00A96D61"/>
    <w:rsid w:val="00AE226C"/>
    <w:rsid w:val="00AF1FF6"/>
    <w:rsid w:val="00B20636"/>
    <w:rsid w:val="00B26AA2"/>
    <w:rsid w:val="00B3524D"/>
    <w:rsid w:val="00B35529"/>
    <w:rsid w:val="00B40F69"/>
    <w:rsid w:val="00B46616"/>
    <w:rsid w:val="00B7040A"/>
    <w:rsid w:val="00B83391"/>
    <w:rsid w:val="00B87943"/>
    <w:rsid w:val="00B95326"/>
    <w:rsid w:val="00BA334F"/>
    <w:rsid w:val="00BB3FC4"/>
    <w:rsid w:val="00BB7997"/>
    <w:rsid w:val="00BC481C"/>
    <w:rsid w:val="00BC4DE5"/>
    <w:rsid w:val="00BD2083"/>
    <w:rsid w:val="00BD3A9C"/>
    <w:rsid w:val="00BD4196"/>
    <w:rsid w:val="00BF22CA"/>
    <w:rsid w:val="00BF23BB"/>
    <w:rsid w:val="00C05535"/>
    <w:rsid w:val="00C12F97"/>
    <w:rsid w:val="00C217AF"/>
    <w:rsid w:val="00C26032"/>
    <w:rsid w:val="00C345E1"/>
    <w:rsid w:val="00C43BFD"/>
    <w:rsid w:val="00C45496"/>
    <w:rsid w:val="00CB6E35"/>
    <w:rsid w:val="00CC0CC9"/>
    <w:rsid w:val="00CE1A46"/>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779"/>
    <w:rsid w:val="00E00A0A"/>
    <w:rsid w:val="00E066DE"/>
    <w:rsid w:val="00E07F57"/>
    <w:rsid w:val="00E11996"/>
    <w:rsid w:val="00E30683"/>
    <w:rsid w:val="00E453D8"/>
    <w:rsid w:val="00E50BCE"/>
    <w:rsid w:val="00E574BF"/>
    <w:rsid w:val="00E61292"/>
    <w:rsid w:val="00E74B5A"/>
    <w:rsid w:val="00E77C4D"/>
    <w:rsid w:val="00E80AD9"/>
    <w:rsid w:val="00E81D01"/>
    <w:rsid w:val="00E862ED"/>
    <w:rsid w:val="00EB2857"/>
    <w:rsid w:val="00EE43F3"/>
    <w:rsid w:val="00EE45D8"/>
    <w:rsid w:val="00F07170"/>
    <w:rsid w:val="00F118C6"/>
    <w:rsid w:val="00F22EDA"/>
    <w:rsid w:val="00F51B18"/>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E7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F1F8C9A-F61C-464B-ACFC-6E897B7B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1453</Words>
  <Characters>6758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2018-08-20T11:44:00Z</dcterms:created>
  <dcterms:modified xsi:type="dcterms:W3CDTF">2018-08-20T11:44:00Z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