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E421B"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21018">
        <w:rPr>
          <w:rFonts w:ascii="Book Antiqua" w:hAnsi="Book Antiqua" w:cs="Arial"/>
          <w:b/>
        </w:rPr>
        <w:t xml:space="preserve">   </w:t>
      </w:r>
      <w:proofErr w:type="gramEnd"/>
      <w:r w:rsidR="00421018">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BE57DB" w:rsidRPr="007A3ED6">
        <w:rPr>
          <w:rFonts w:ascii="Book Antiqua" w:hAnsi="Book Antiqua" w:cs="Arial"/>
          <w:b/>
          <w:caps/>
        </w:rPr>
        <w:t>PA</w:t>
      </w:r>
      <w:r w:rsidR="001B67F3" w:rsidRPr="007A3ED6">
        <w:rPr>
          <w:rFonts w:ascii="Book Antiqua" w:hAnsi="Book Antiqua" w:cs="Arial"/>
          <w:b/>
          <w:caps/>
        </w:rPr>
        <w:t>/</w:t>
      </w:r>
      <w:r w:rsidR="00887B2E">
        <w:rPr>
          <w:rFonts w:ascii="Book Antiqua" w:hAnsi="Book Antiqua" w:cs="Arial"/>
          <w:b/>
          <w:caps/>
        </w:rPr>
        <w:t>01255</w:t>
      </w:r>
      <w:r w:rsidR="00FB050B" w:rsidRPr="007A3ED6">
        <w:rPr>
          <w:rFonts w:ascii="Book Antiqua" w:hAnsi="Book Antiqua" w:cs="Arial"/>
          <w:b/>
          <w:caps/>
        </w:rPr>
        <w:t>/201</w:t>
      </w:r>
      <w:r w:rsidR="00E246FD">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337EBB" w:rsidTr="00421018">
        <w:tc>
          <w:tcPr>
            <w:tcW w:w="5387"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E246FD">
              <w:rPr>
                <w:rFonts w:ascii="Book Antiqua" w:hAnsi="Book Antiqua" w:cs="Arial"/>
                <w:b/>
              </w:rPr>
              <w:t>Liverpool</w:t>
            </w:r>
            <w:r w:rsidR="001B67F3" w:rsidRPr="00337EBB">
              <w:rPr>
                <w:rFonts w:ascii="Book Antiqua" w:hAnsi="Book Antiqua" w:cs="Arial"/>
                <w:b/>
              </w:rPr>
              <w:t xml:space="preserve"> </w:t>
            </w:r>
          </w:p>
        </w:tc>
        <w:tc>
          <w:tcPr>
            <w:tcW w:w="4251" w:type="dxa"/>
            <w:shd w:val="clear" w:color="auto" w:fill="auto"/>
          </w:tcPr>
          <w:p w:rsidR="00D22636" w:rsidRPr="00337EBB" w:rsidRDefault="00421018"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421018">
        <w:tc>
          <w:tcPr>
            <w:tcW w:w="5387"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July 3</w:t>
            </w:r>
            <w:r w:rsidR="00D82D08">
              <w:rPr>
                <w:rFonts w:ascii="Book Antiqua" w:hAnsi="Book Antiqua" w:cs="Arial"/>
                <w:b/>
              </w:rPr>
              <w:t>, 2018</w:t>
            </w:r>
            <w:r w:rsidR="001B67F3" w:rsidRPr="00337EBB">
              <w:rPr>
                <w:rFonts w:ascii="Book Antiqua" w:hAnsi="Book Antiqua" w:cs="Arial"/>
                <w:b/>
              </w:rPr>
              <w:t xml:space="preserve"> </w:t>
            </w:r>
          </w:p>
        </w:tc>
        <w:tc>
          <w:tcPr>
            <w:tcW w:w="4251" w:type="dxa"/>
            <w:shd w:val="clear" w:color="auto" w:fill="auto"/>
          </w:tcPr>
          <w:p w:rsidR="00D22636" w:rsidRPr="00337EBB" w:rsidRDefault="00421018" w:rsidP="00337EBB">
            <w:pPr>
              <w:jc w:val="both"/>
              <w:rPr>
                <w:rFonts w:ascii="Book Antiqua" w:hAnsi="Book Antiqua" w:cs="Arial"/>
                <w:b/>
              </w:rPr>
            </w:pPr>
            <w:r>
              <w:rPr>
                <w:rFonts w:ascii="Book Antiqua" w:hAnsi="Book Antiqua" w:cs="Arial"/>
                <w:b/>
              </w:rPr>
              <w:t xml:space="preserve"> </w:t>
            </w:r>
            <w:r w:rsidR="00CF1454">
              <w:rPr>
                <w:rFonts w:ascii="Book Antiqua" w:hAnsi="Book Antiqua" w:cs="Arial"/>
                <w:b/>
              </w:rPr>
              <w:t>On July 5, 2018</w:t>
            </w:r>
          </w:p>
        </w:tc>
      </w:tr>
      <w:tr w:rsidR="00D22636" w:rsidRPr="00337EBB" w:rsidTr="00421018">
        <w:tc>
          <w:tcPr>
            <w:tcW w:w="5387" w:type="dxa"/>
            <w:shd w:val="clear" w:color="auto" w:fill="auto"/>
          </w:tcPr>
          <w:p w:rsidR="00D22636" w:rsidRPr="00337EBB" w:rsidRDefault="00D22636" w:rsidP="00337EBB">
            <w:pPr>
              <w:jc w:val="both"/>
              <w:rPr>
                <w:rFonts w:ascii="Book Antiqua" w:hAnsi="Book Antiqua" w:cs="Arial"/>
                <w:b/>
              </w:rPr>
            </w:pPr>
          </w:p>
        </w:tc>
        <w:tc>
          <w:tcPr>
            <w:tcW w:w="4251"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887B2E" w:rsidRDefault="00887B2E" w:rsidP="00887B2E">
      <w:pPr>
        <w:jc w:val="center"/>
        <w:rPr>
          <w:rFonts w:ascii="Book Antiqua" w:hAnsi="Book Antiqua" w:cs="Arial"/>
          <w:b/>
          <w:caps/>
        </w:rPr>
      </w:pPr>
      <w:r>
        <w:rPr>
          <w:rFonts w:ascii="Book Antiqua" w:hAnsi="Book Antiqua" w:cs="Arial"/>
          <w:b/>
          <w:caps/>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887B2E" w:rsidRDefault="00887B2E" w:rsidP="00887B2E">
      <w:pPr>
        <w:jc w:val="center"/>
        <w:rPr>
          <w:rFonts w:ascii="Book Antiqua" w:hAnsi="Book Antiqua" w:cs="Arial"/>
          <w:b/>
          <w:caps/>
        </w:rPr>
      </w:pPr>
      <w:r>
        <w:rPr>
          <w:rFonts w:ascii="Book Antiqua" w:hAnsi="Book Antiqua" w:cs="Arial"/>
          <w:b/>
          <w:caps/>
        </w:rPr>
        <w:t>Ms E S</w:t>
      </w:r>
    </w:p>
    <w:p w:rsidR="00887B2E" w:rsidRPr="00421018" w:rsidRDefault="00887B2E" w:rsidP="00887B2E">
      <w:pPr>
        <w:jc w:val="center"/>
        <w:rPr>
          <w:rFonts w:ascii="Book Antiqua" w:hAnsi="Book Antiqua" w:cs="Arial"/>
        </w:rPr>
      </w:pPr>
      <w:r w:rsidRPr="00421018">
        <w:rPr>
          <w:rFonts w:ascii="Book Antiqua" w:hAnsi="Book Antiqua" w:cs="Arial"/>
          <w:caps/>
        </w:rPr>
        <w:t>(ANONYMITY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724BC">
        <w:rPr>
          <w:rFonts w:ascii="Book Antiqua" w:hAnsi="Book Antiqua" w:cs="Arial"/>
        </w:rPr>
        <w:t xml:space="preserve">Ms </w:t>
      </w:r>
      <w:proofErr w:type="spellStart"/>
      <w:proofErr w:type="gramStart"/>
      <w:r w:rsidR="00C724BC">
        <w:rPr>
          <w:rFonts w:ascii="Book Antiqua" w:hAnsi="Book Antiqua" w:cs="Arial"/>
        </w:rPr>
        <w:t>Aboni</w:t>
      </w:r>
      <w:proofErr w:type="spellEnd"/>
      <w:r w:rsidR="00C724BC">
        <w:rPr>
          <w:rFonts w:ascii="Book Antiqua" w:hAnsi="Book Antiqua" w:cs="Arial"/>
        </w:rPr>
        <w:t xml:space="preserve"> </w:t>
      </w:r>
      <w:r w:rsidR="00887B2E">
        <w:rPr>
          <w:rFonts w:ascii="Book Antiqua" w:hAnsi="Book Antiqua" w:cs="Arial"/>
        </w:rPr>
        <w:t>,</w:t>
      </w:r>
      <w:proofErr w:type="gramEnd"/>
      <w:r w:rsidR="00887B2E">
        <w:rPr>
          <w:rFonts w:ascii="Book Antiqua" w:hAnsi="Book Antiqua" w:cs="Arial"/>
        </w:rPr>
        <w:t xml:space="preserve"> Senior Home Office Presenting Officer</w:t>
      </w:r>
    </w:p>
    <w:p w:rsidR="00C724BC"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C724BC">
        <w:rPr>
          <w:rFonts w:ascii="Book Antiqua" w:hAnsi="Book Antiqua"/>
        </w:rPr>
        <w:t xml:space="preserve">Mr </w:t>
      </w:r>
      <w:proofErr w:type="spellStart"/>
      <w:r w:rsidR="00C724BC">
        <w:rPr>
          <w:rFonts w:ascii="Book Antiqua" w:hAnsi="Book Antiqua"/>
        </w:rPr>
        <w:t>Jagadesham</w:t>
      </w:r>
      <w:proofErr w:type="spellEnd"/>
      <w:r w:rsidR="00C724BC">
        <w:rPr>
          <w:rFonts w:ascii="Book Antiqua" w:hAnsi="Book Antiqua"/>
        </w:rPr>
        <w:t xml:space="preserve">, Counsel, instructed by Duncan Lewis &amp; Co </w:t>
      </w:r>
    </w:p>
    <w:p w:rsidR="00DE7DB7" w:rsidRPr="00F5664C" w:rsidRDefault="00C724BC" w:rsidP="00DE7DB7">
      <w:pPr>
        <w:tabs>
          <w:tab w:val="left" w:pos="2520"/>
        </w:tabs>
        <w:rPr>
          <w:rFonts w:ascii="Book Antiqua" w:hAnsi="Book Antiqua" w:cs="Arial"/>
        </w:rPr>
      </w:pPr>
      <w:r>
        <w:rPr>
          <w:rFonts w:ascii="Book Antiqua" w:hAnsi="Book Antiqua"/>
        </w:rPr>
        <w:tab/>
        <w:t>Solicitors</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006A0D" w:rsidP="00B35843">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 xml:space="preserve">Rule 14(1) of the Tribunal Procedure (Upper Tribunal) Rules 2008 (the UT Procedure Rules) </w:t>
      </w:r>
      <w:r>
        <w:rPr>
          <w:rFonts w:ascii="Book Antiqua" w:hAnsi="Book Antiqua"/>
        </w:rPr>
        <w:t xml:space="preserve">I make an order </w:t>
      </w:r>
      <w:r w:rsidRPr="00664F04">
        <w:rPr>
          <w:rFonts w:ascii="Book Antiqua" w:hAnsi="Book Antiqua"/>
        </w:rPr>
        <w:t>prohibiting the disclosure or publication of specified documents or information relating to the proceedings or of any matter likely to lead members of the public to identify any person whom the Upper Tribunal considers 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p>
    <w:p w:rsidR="00006A0D" w:rsidRPr="00B35843" w:rsidRDefault="0031059E" w:rsidP="00B35843">
      <w:pPr>
        <w:numPr>
          <w:ilvl w:val="0"/>
          <w:numId w:val="3"/>
        </w:numPr>
        <w:spacing w:before="240"/>
        <w:jc w:val="both"/>
        <w:rPr>
          <w:rFonts w:ascii="Book Antiqua" w:hAnsi="Book Antiqua" w:cs="Arial"/>
        </w:rPr>
      </w:pPr>
      <w:r>
        <w:rPr>
          <w:rFonts w:ascii="Book Antiqua" w:hAnsi="Book Antiqua" w:cs="Arial"/>
        </w:rPr>
        <w:t xml:space="preserve">The respondent in these proceedings was the appellant before the First-tier Tribunal.  From hereon I have referred to the parties as they were in the First-tier Tribunal so </w:t>
      </w:r>
      <w:r>
        <w:rPr>
          <w:rFonts w:ascii="Book Antiqua" w:hAnsi="Book Antiqua" w:cs="Arial"/>
        </w:rPr>
        <w:lastRenderedPageBreak/>
        <w:t>that, for example, reference to the respondent is a reference to the Entry Clearance Officer.</w:t>
      </w:r>
    </w:p>
    <w:p w:rsidR="00B35843" w:rsidRDefault="00641A27" w:rsidP="00892884">
      <w:pPr>
        <w:numPr>
          <w:ilvl w:val="0"/>
          <w:numId w:val="3"/>
        </w:numPr>
        <w:spacing w:before="240"/>
        <w:jc w:val="both"/>
        <w:rPr>
          <w:rFonts w:ascii="Book Antiqua" w:hAnsi="Book Antiqua" w:cs="Arial"/>
        </w:rPr>
      </w:pPr>
      <w:bookmarkStart w:id="0"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Sierra Leone</w:t>
      </w:r>
      <w:r w:rsidRPr="00D1444B">
        <w:rPr>
          <w:rFonts w:ascii="Book Antiqua" w:hAnsi="Book Antiqua" w:cs="Arial"/>
        </w:rPr>
        <w:t xml:space="preserve">.  </w:t>
      </w:r>
      <w:r w:rsidR="00AE3CA0">
        <w:rPr>
          <w:rFonts w:ascii="Book Antiqua" w:hAnsi="Book Antiqua" w:cs="Arial"/>
        </w:rPr>
        <w:t>The appellant entered the United Kingdom on August 6, 2014 using her own passport which was endorsed with a three-month visit visa. On September 1, 2014 she applied for asylum but this was refused by the respondent on September 10, 2014. Her appeal was heard by the First-tier Tribunal on September 23, 2014 but her appeal was dismissed and her appeal rights were deemed exhausted on September 25, 2014. Further submissions were lodged in October 2014 but these were refused on November 18, 2014. Applications for judicial review were submitted and the respondent subsequently conceded the judicial review on July 12, 2016 and agreed to reconsider the decision of October 7, 2015 in which the respondent had refused the appellant a right of appeal.</w:t>
      </w:r>
    </w:p>
    <w:p w:rsidR="003A5739" w:rsidRPr="00D1444B" w:rsidRDefault="007742F1" w:rsidP="00892884">
      <w:pPr>
        <w:numPr>
          <w:ilvl w:val="0"/>
          <w:numId w:val="3"/>
        </w:numPr>
        <w:spacing w:before="240"/>
        <w:jc w:val="both"/>
        <w:rPr>
          <w:rFonts w:ascii="Book Antiqua" w:hAnsi="Book Antiqua" w:cs="Arial"/>
        </w:rPr>
      </w:pPr>
      <w:r w:rsidRPr="00D1444B">
        <w:rPr>
          <w:rFonts w:ascii="Book Antiqua" w:hAnsi="Book Antiqua"/>
        </w:rPr>
        <w:t>T</w:t>
      </w:r>
      <w:r w:rsidR="003A5739" w:rsidRPr="00D1444B">
        <w:rPr>
          <w:rFonts w:ascii="Book Antiqua" w:hAnsi="Book Antiqua"/>
        </w:rPr>
        <w:t xml:space="preserve">he respondent refused </w:t>
      </w:r>
      <w:r w:rsidR="00AE3CA0">
        <w:rPr>
          <w:rFonts w:ascii="Book Antiqua" w:hAnsi="Book Antiqua"/>
        </w:rPr>
        <w:t xml:space="preserve">her </w:t>
      </w:r>
      <w:r w:rsidR="00FB050B" w:rsidRPr="00D1444B">
        <w:rPr>
          <w:rFonts w:ascii="Book Antiqua" w:hAnsi="Book Antiqua"/>
        </w:rPr>
        <w:t>protection</w:t>
      </w:r>
      <w:r w:rsidR="00BE57DB" w:rsidRPr="00D1444B">
        <w:rPr>
          <w:rFonts w:ascii="Book Antiqua" w:hAnsi="Book Antiqua"/>
        </w:rPr>
        <w:t xml:space="preserve"> </w:t>
      </w:r>
      <w:r w:rsidR="00E246FD">
        <w:rPr>
          <w:rFonts w:ascii="Book Antiqua" w:hAnsi="Book Antiqua"/>
        </w:rPr>
        <w:t xml:space="preserve">and human rights </w:t>
      </w:r>
      <w:r w:rsidR="00BE57DB" w:rsidRPr="00D1444B">
        <w:rPr>
          <w:rFonts w:ascii="Book Antiqua" w:hAnsi="Book Antiqua"/>
        </w:rPr>
        <w:t>claim</w:t>
      </w:r>
      <w:r w:rsidR="00E246FD">
        <w:rPr>
          <w:rFonts w:ascii="Book Antiqua" w:hAnsi="Book Antiqua"/>
        </w:rPr>
        <w:t>s</w:t>
      </w:r>
      <w:r w:rsidR="00BE57DB" w:rsidRPr="00D1444B">
        <w:rPr>
          <w:rFonts w:ascii="Book Antiqua" w:hAnsi="Book Antiqua"/>
        </w:rPr>
        <w:t xml:space="preserve"> on</w:t>
      </w:r>
      <w:r w:rsidR="00AE3CA0">
        <w:rPr>
          <w:rFonts w:ascii="Book Antiqua" w:hAnsi="Book Antiqua"/>
        </w:rPr>
        <w:t xml:space="preserve"> January 17, 2017 </w:t>
      </w:r>
      <w:r w:rsidR="00FB050B" w:rsidRPr="00D1444B">
        <w:rPr>
          <w:rFonts w:ascii="Book Antiqua" w:hAnsi="Book Antiqua"/>
        </w:rPr>
        <w:t>under paragraph</w:t>
      </w:r>
      <w:r w:rsidR="00AE3CA0">
        <w:rPr>
          <w:rFonts w:ascii="Book Antiqua" w:hAnsi="Book Antiqua"/>
        </w:rPr>
        <w:t>s</w:t>
      </w:r>
      <w:r w:rsidR="00FB050B" w:rsidRPr="00D1444B">
        <w:rPr>
          <w:rFonts w:ascii="Book Antiqua" w:hAnsi="Book Antiqua"/>
        </w:rPr>
        <w:t xml:space="preserve"> 336 </w:t>
      </w:r>
      <w:r w:rsidR="00AE3CA0">
        <w:rPr>
          <w:rFonts w:ascii="Book Antiqua" w:hAnsi="Book Antiqua"/>
        </w:rPr>
        <w:t xml:space="preserve">and 33F </w:t>
      </w:r>
      <w:r w:rsidR="00FB050B" w:rsidRPr="00D1444B">
        <w:rPr>
          <w:rFonts w:ascii="Book Antiqua" w:hAnsi="Book Antiqua"/>
        </w:rPr>
        <w:t xml:space="preserve">HC 395. </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AE3CA0">
        <w:rPr>
          <w:rFonts w:ascii="Book Antiqua" w:hAnsi="Book Antiqua" w:cs="Arial"/>
        </w:rPr>
        <w:t>February 3</w:t>
      </w:r>
      <w:r w:rsidR="00E246FD">
        <w:rPr>
          <w:rFonts w:ascii="Book Antiqua" w:hAnsi="Book Antiqua" w:cs="Arial"/>
        </w:rPr>
        <w:t xml:space="preserve">, 2017 </w:t>
      </w:r>
      <w:r w:rsidR="00E07601">
        <w:rPr>
          <w:rFonts w:ascii="Book Antiqua" w:hAnsi="Book Antiqua" w:cs="Arial"/>
        </w:rPr>
        <w:t xml:space="preserve">under Section 82(1) of the Nationality, Immigration and Asylum Act 2002.  </w:t>
      </w:r>
      <w:r w:rsidR="00AE3CA0">
        <w:rPr>
          <w:rFonts w:ascii="Book Antiqua" w:hAnsi="Book Antiqua" w:cs="Arial"/>
        </w:rPr>
        <w:t>Her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gramStart"/>
      <w:r w:rsidR="00AE3CA0">
        <w:rPr>
          <w:rFonts w:ascii="Book Antiqua" w:hAnsi="Book Antiqua" w:cs="Arial"/>
        </w:rPr>
        <w:t>A</w:t>
      </w:r>
      <w:proofErr w:type="gramEnd"/>
      <w:r w:rsidR="00AE3CA0">
        <w:rPr>
          <w:rFonts w:ascii="Book Antiqua" w:hAnsi="Book Antiqua" w:cs="Arial"/>
        </w:rPr>
        <w:t xml:space="preserve"> Davies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B35843">
        <w:rPr>
          <w:rFonts w:ascii="Book Antiqua" w:hAnsi="Book Antiqua" w:cs="Arial"/>
        </w:rPr>
        <w:t>January 2</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and in a decision pro</w:t>
      </w:r>
      <w:r w:rsidR="00F90160">
        <w:rPr>
          <w:rFonts w:ascii="Book Antiqua" w:hAnsi="Book Antiqua" w:cs="Arial"/>
        </w:rPr>
        <w:t xml:space="preserve">mulgated on </w:t>
      </w:r>
      <w:r w:rsidR="00E246FD">
        <w:rPr>
          <w:rFonts w:ascii="Book Antiqua" w:hAnsi="Book Antiqua" w:cs="Arial"/>
        </w:rPr>
        <w:t xml:space="preserve">January 15, 2018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AE3CA0">
        <w:rPr>
          <w:rFonts w:ascii="Book Antiqua" w:hAnsi="Book Antiqua" w:cs="Arial"/>
        </w:rPr>
        <w:t xml:space="preserve">allowed her </w:t>
      </w:r>
      <w:r w:rsidR="00BE57DB">
        <w:rPr>
          <w:rFonts w:ascii="Book Antiqua" w:hAnsi="Book Antiqua" w:cs="Arial"/>
        </w:rPr>
        <w:t xml:space="preserve">appeal on </w:t>
      </w:r>
      <w:r w:rsidR="00AE3CA0">
        <w:rPr>
          <w:rFonts w:ascii="Book Antiqua" w:hAnsi="Book Antiqua" w:cs="Arial"/>
        </w:rPr>
        <w:t>protection grounds</w:t>
      </w:r>
      <w:r w:rsidR="00BE57DB">
        <w:rPr>
          <w:rFonts w:ascii="Book Antiqua" w:hAnsi="Book Antiqua" w:cs="Arial"/>
        </w:rPr>
        <w:t xml:space="preserve">. </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AE3CA0">
        <w:rPr>
          <w:rFonts w:ascii="Book Antiqua" w:hAnsi="Book Antiqua" w:cs="Arial"/>
        </w:rPr>
        <w:t xml:space="preserve">respondent </w:t>
      </w:r>
      <w:r>
        <w:rPr>
          <w:rFonts w:ascii="Book Antiqua" w:hAnsi="Book Antiqua" w:cs="Arial"/>
        </w:rPr>
        <w:t xml:space="preserve">appealed this decision on </w:t>
      </w:r>
      <w:r w:rsidR="00E246FD">
        <w:rPr>
          <w:rFonts w:ascii="Book Antiqua" w:hAnsi="Book Antiqua" w:cs="Arial"/>
        </w:rPr>
        <w:t xml:space="preserve">January </w:t>
      </w:r>
      <w:r w:rsidR="00AE3CA0">
        <w:rPr>
          <w:rFonts w:ascii="Book Antiqua" w:hAnsi="Book Antiqua" w:cs="Arial"/>
        </w:rPr>
        <w:t>29</w:t>
      </w:r>
      <w:r w:rsidR="00E246FD">
        <w:rPr>
          <w:rFonts w:ascii="Book Antiqua" w:hAnsi="Book Antiqua" w:cs="Arial"/>
        </w:rPr>
        <w:t>, 2018</w:t>
      </w:r>
      <w:r w:rsidR="00442A49">
        <w:rPr>
          <w:rFonts w:ascii="Book Antiqua" w:hAnsi="Book Antiqua" w:cs="Arial"/>
        </w:rPr>
        <w:t xml:space="preserve">. </w:t>
      </w:r>
      <w:r w:rsidR="00B35843">
        <w:rPr>
          <w:rFonts w:ascii="Book Antiqua" w:hAnsi="Book Antiqua" w:cs="Arial"/>
        </w:rPr>
        <w:t xml:space="preserve">The </w:t>
      </w:r>
      <w:r w:rsidR="00AE3CA0">
        <w:rPr>
          <w:rFonts w:ascii="Book Antiqua" w:hAnsi="Book Antiqua" w:cs="Arial"/>
        </w:rPr>
        <w:t xml:space="preserve">respondent </w:t>
      </w:r>
      <w:r w:rsidR="00B35843">
        <w:rPr>
          <w:rFonts w:ascii="Book Antiqua" w:hAnsi="Book Antiqua" w:cs="Arial"/>
        </w:rPr>
        <w:t xml:space="preserve">argued that the Judge’s decision </w:t>
      </w:r>
      <w:r w:rsidR="00AE3CA0">
        <w:rPr>
          <w:rFonts w:ascii="Book Antiqua" w:hAnsi="Book Antiqua" w:cs="Arial"/>
        </w:rPr>
        <w:t>was flawed because he had gone behind the findings of an earlier Tribunal which had rejected the appellant’s claim and the new evidence was not sufficient to allow him to depart from that decision. The respondent further argued that the</w:t>
      </w:r>
      <w:r w:rsidR="00AD533F">
        <w:rPr>
          <w:rFonts w:ascii="Book Antiqua" w:hAnsi="Book Antiqua" w:cs="Arial"/>
        </w:rPr>
        <w:t xml:space="preserve"> Judge had erred because even if the appellant did form part of a </w:t>
      </w:r>
      <w:proofErr w:type="gramStart"/>
      <w:r w:rsidR="00AD533F">
        <w:rPr>
          <w:rFonts w:ascii="Book Antiqua" w:hAnsi="Book Antiqua" w:cs="Arial"/>
        </w:rPr>
        <w:t>particular social</w:t>
      </w:r>
      <w:proofErr w:type="gramEnd"/>
      <w:r w:rsidR="00AD533F">
        <w:rPr>
          <w:rFonts w:ascii="Book Antiqua" w:hAnsi="Book Antiqua" w:cs="Arial"/>
        </w:rPr>
        <w:t xml:space="preserve"> group there had not been any clear identification of any persecutor and therefore no clearly identifiable risk. The appellant did not believe her own father would consider FGM and her mother did not wish to be circumcised and the mere fact FGM is practised was not a reason to find this </w:t>
      </w:r>
      <w:proofErr w:type="gramStart"/>
      <w:r w:rsidR="00AD533F">
        <w:rPr>
          <w:rFonts w:ascii="Book Antiqua" w:hAnsi="Book Antiqua" w:cs="Arial"/>
        </w:rPr>
        <w:t>particular appellant</w:t>
      </w:r>
      <w:proofErr w:type="gramEnd"/>
      <w:r w:rsidR="00AD533F">
        <w:rPr>
          <w:rFonts w:ascii="Book Antiqua" w:hAnsi="Book Antiqua" w:cs="Arial"/>
        </w:rPr>
        <w:t xml:space="preserve"> would be at risk.</w:t>
      </w:r>
    </w:p>
    <w:p w:rsidR="00B16B5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proofErr w:type="spellStart"/>
      <w:r w:rsidR="00AD533F">
        <w:rPr>
          <w:rFonts w:ascii="Book Antiqua" w:hAnsi="Book Antiqua" w:cs="Arial"/>
        </w:rPr>
        <w:t>Kimnell</w:t>
      </w:r>
      <w:proofErr w:type="spellEnd"/>
      <w:r w:rsidR="0035239B">
        <w:rPr>
          <w:rFonts w:ascii="Book Antiqua" w:hAnsi="Book Antiqua" w:cs="Arial"/>
        </w:rPr>
        <w:t xml:space="preserve"> </w:t>
      </w:r>
      <w:r w:rsidR="00DE4868">
        <w:rPr>
          <w:rFonts w:ascii="Book Antiqua" w:hAnsi="Book Antiqua" w:cs="Arial"/>
        </w:rPr>
        <w:t xml:space="preserve">on </w:t>
      </w:r>
      <w:r w:rsidR="00E246FD">
        <w:rPr>
          <w:rFonts w:ascii="Book Antiqua" w:hAnsi="Book Antiqua" w:cs="Arial"/>
        </w:rPr>
        <w:t xml:space="preserve">February </w:t>
      </w:r>
      <w:r w:rsidR="00AD533F">
        <w:rPr>
          <w:rFonts w:ascii="Book Antiqua" w:hAnsi="Book Antiqua" w:cs="Arial"/>
        </w:rPr>
        <w:t>8</w:t>
      </w:r>
      <w:r w:rsidR="00E246FD">
        <w:rPr>
          <w:rFonts w:ascii="Book Antiqua" w:hAnsi="Book Antiqua" w:cs="Arial"/>
        </w:rPr>
        <w:t>, 2018</w:t>
      </w:r>
      <w:r w:rsidR="00DE4868">
        <w:rPr>
          <w:rFonts w:ascii="Book Antiqua" w:hAnsi="Book Antiqua" w:cs="Arial"/>
        </w:rPr>
        <w:t xml:space="preserve"> </w:t>
      </w:r>
      <w:r w:rsidR="00B35843">
        <w:rPr>
          <w:rFonts w:ascii="Book Antiqua" w:hAnsi="Book Antiqua" w:cs="Arial"/>
        </w:rPr>
        <w:t xml:space="preserve">on a limited basis, finding </w:t>
      </w:r>
      <w:r w:rsidR="00F17EF5">
        <w:rPr>
          <w:rFonts w:ascii="Book Antiqua" w:hAnsi="Book Antiqua" w:cs="Arial"/>
        </w:rPr>
        <w:t xml:space="preserve">it arguable </w:t>
      </w:r>
      <w:r w:rsidR="007742F1">
        <w:rPr>
          <w:rFonts w:ascii="Book Antiqua" w:hAnsi="Book Antiqua" w:cs="Arial"/>
        </w:rPr>
        <w:t xml:space="preserve">the </w:t>
      </w:r>
      <w:r w:rsidR="00E1324B">
        <w:rPr>
          <w:rFonts w:ascii="Book Antiqua" w:hAnsi="Book Antiqua" w:cs="Arial"/>
        </w:rPr>
        <w:t>Judge</w:t>
      </w:r>
      <w:r w:rsidR="007742F1">
        <w:rPr>
          <w:rFonts w:ascii="Book Antiqua" w:hAnsi="Book Antiqua" w:cs="Arial"/>
        </w:rPr>
        <w:t xml:space="preserve"> </w:t>
      </w:r>
      <w:r w:rsidR="00D65BCA">
        <w:rPr>
          <w:rFonts w:ascii="Book Antiqua" w:hAnsi="Book Antiqua" w:cs="Arial"/>
        </w:rPr>
        <w:t xml:space="preserve">had arguably </w:t>
      </w:r>
      <w:r w:rsidR="0035239B">
        <w:rPr>
          <w:rFonts w:ascii="Book Antiqua" w:hAnsi="Book Antiqua" w:cs="Arial"/>
        </w:rPr>
        <w:t>erred</w:t>
      </w:r>
      <w:r w:rsidR="00B35843">
        <w:rPr>
          <w:rFonts w:ascii="Book Antiqua" w:hAnsi="Book Antiqua" w:cs="Arial"/>
        </w:rPr>
        <w:t xml:space="preserve"> </w:t>
      </w:r>
      <w:r w:rsidR="00AD533F">
        <w:rPr>
          <w:rFonts w:ascii="Book Antiqua" w:hAnsi="Book Antiqua" w:cs="Arial"/>
        </w:rPr>
        <w:t>in finding the appellant was at risk of FGM because no clear identification of any persecutor had been made and the fact FGM was practised in Sierra Leone arguably, on its own, was not a sufficient reason for finding the appellant would be at risk.</w:t>
      </w:r>
    </w:p>
    <w:p w:rsidR="00AD533F" w:rsidRDefault="00AD533F" w:rsidP="00AD533F">
      <w:pPr>
        <w:numPr>
          <w:ilvl w:val="0"/>
          <w:numId w:val="3"/>
        </w:numPr>
        <w:spacing w:before="240"/>
        <w:jc w:val="both"/>
        <w:rPr>
          <w:rFonts w:ascii="Book Antiqua" w:hAnsi="Book Antiqua" w:cs="Arial"/>
        </w:rPr>
      </w:pPr>
      <w:r>
        <w:rPr>
          <w:rFonts w:ascii="Book Antiqua" w:hAnsi="Book Antiqua" w:cs="Arial"/>
        </w:rPr>
        <w:t>What is purported to be a rule 24 response was filed extremely late on July 2, 2018 at 16:42. In it the appellant’s representative submitted there had been no error in law.</w:t>
      </w:r>
    </w:p>
    <w:bookmarkEnd w:id="0"/>
    <w:p w:rsidR="005F03F6" w:rsidRPr="005F03F6" w:rsidRDefault="00C724BC" w:rsidP="00716F72">
      <w:pPr>
        <w:numPr>
          <w:ilvl w:val="0"/>
          <w:numId w:val="3"/>
        </w:numPr>
        <w:spacing w:before="240"/>
        <w:jc w:val="both"/>
        <w:rPr>
          <w:rFonts w:ascii="Book Antiqua" w:hAnsi="Book Antiqua" w:cs="Arial"/>
        </w:rPr>
      </w:pPr>
      <w:r>
        <w:rPr>
          <w:rFonts w:ascii="Book Antiqua" w:hAnsi="Book Antiqua" w:cs="Arial"/>
        </w:rPr>
        <w:t xml:space="preserve">I raised with Ms </w:t>
      </w:r>
      <w:proofErr w:type="spellStart"/>
      <w:r>
        <w:rPr>
          <w:rFonts w:ascii="Book Antiqua" w:hAnsi="Book Antiqua" w:cs="Arial"/>
        </w:rPr>
        <w:t>Aboni</w:t>
      </w:r>
      <w:proofErr w:type="spellEnd"/>
      <w:r>
        <w:rPr>
          <w:rFonts w:ascii="Book Antiqua" w:hAnsi="Book Antiqua" w:cs="Arial"/>
        </w:rPr>
        <w:t xml:space="preserve"> the scope of the appeal</w:t>
      </w:r>
      <w:r w:rsidR="005F03F6">
        <w:rPr>
          <w:rFonts w:ascii="Book Antiqua" w:hAnsi="Book Antiqua" w:cs="Arial"/>
        </w:rPr>
        <w:t xml:space="preserve">, </w:t>
      </w:r>
      <w:r>
        <w:rPr>
          <w:rFonts w:ascii="Book Antiqua" w:hAnsi="Book Antiqua" w:cs="Arial"/>
        </w:rPr>
        <w:t xml:space="preserve">mindful of the decision of </w:t>
      </w:r>
      <w:r w:rsidRPr="00C724BC">
        <w:rPr>
          <w:rFonts w:ascii="Book Antiqua" w:hAnsi="Book Antiqua" w:cs="Arial"/>
          <w:u w:val="single"/>
          <w:shd w:val="clear" w:color="auto" w:fill="FFFFFF"/>
        </w:rPr>
        <w:t xml:space="preserve">Ferrer (limited appeal grounds; </w:t>
      </w:r>
      <w:proofErr w:type="spellStart"/>
      <w:r w:rsidRPr="00C724BC">
        <w:rPr>
          <w:rFonts w:ascii="Book Antiqua" w:hAnsi="Book Antiqua" w:cs="Arial"/>
          <w:u w:val="single"/>
          <w:shd w:val="clear" w:color="auto" w:fill="FFFFFF"/>
        </w:rPr>
        <w:t>Alvi</w:t>
      </w:r>
      <w:proofErr w:type="spellEnd"/>
      <w:r w:rsidRPr="00C724BC">
        <w:rPr>
          <w:rFonts w:ascii="Book Antiqua" w:hAnsi="Book Antiqua" w:cs="Arial"/>
          <w:u w:val="single"/>
          <w:shd w:val="clear" w:color="auto" w:fill="FFFFFF"/>
        </w:rPr>
        <w:t>)</w:t>
      </w:r>
      <w:r w:rsidRPr="00C724BC">
        <w:rPr>
          <w:rFonts w:ascii="Book Antiqua" w:hAnsi="Book Antiqua" w:cs="Arial"/>
          <w:shd w:val="clear" w:color="auto" w:fill="FFFFFF"/>
        </w:rPr>
        <w:t> </w:t>
      </w:r>
      <w:hyperlink r:id="rId9" w:history="1">
        <w:r w:rsidRPr="00C724BC">
          <w:rPr>
            <w:rStyle w:val="Hyperlink"/>
            <w:rFonts w:ascii="Book Antiqua" w:hAnsi="Book Antiqua" w:cs="Arial"/>
            <w:color w:val="auto"/>
            <w:u w:val="none"/>
            <w:shd w:val="clear" w:color="auto" w:fill="FFFFFF"/>
          </w:rPr>
          <w:t>[2012] UKUT 00304</w:t>
        </w:r>
      </w:hyperlink>
      <w:r w:rsidRPr="00C724BC">
        <w:rPr>
          <w:rFonts w:ascii="Book Antiqua" w:hAnsi="Book Antiqua" w:cs="Arial"/>
          <w:shd w:val="clear" w:color="auto" w:fill="FFFFFF"/>
        </w:rPr>
        <w:t>(IAC)</w:t>
      </w:r>
      <w:r>
        <w:rPr>
          <w:rFonts w:ascii="Book Antiqua" w:hAnsi="Book Antiqua" w:cs="Arial"/>
          <w:shd w:val="clear" w:color="auto" w:fill="FFFFFF"/>
        </w:rPr>
        <w:t xml:space="preserve">. </w:t>
      </w:r>
    </w:p>
    <w:p w:rsidR="00EC2927" w:rsidRPr="00C724BC" w:rsidRDefault="00C724BC" w:rsidP="00716F72">
      <w:pPr>
        <w:numPr>
          <w:ilvl w:val="0"/>
          <w:numId w:val="3"/>
        </w:numPr>
        <w:spacing w:before="240"/>
        <w:jc w:val="both"/>
        <w:rPr>
          <w:rFonts w:ascii="Book Antiqua" w:hAnsi="Book Antiqua" w:cs="Arial"/>
        </w:rPr>
      </w:pPr>
      <w:r>
        <w:rPr>
          <w:rFonts w:ascii="Book Antiqua" w:hAnsi="Book Antiqua" w:cs="Arial"/>
          <w:shd w:val="clear" w:color="auto" w:fill="FFFFFF"/>
        </w:rPr>
        <w:t xml:space="preserve">I indicated that in my view the Judge had limited the permission </w:t>
      </w:r>
      <w:r w:rsidR="005F03F6">
        <w:rPr>
          <w:rFonts w:ascii="Book Antiqua" w:hAnsi="Book Antiqua" w:cs="Arial"/>
          <w:shd w:val="clear" w:color="auto" w:fill="FFFFFF"/>
        </w:rPr>
        <w:t xml:space="preserve">to the issue </w:t>
      </w:r>
      <w:r>
        <w:rPr>
          <w:rFonts w:ascii="Book Antiqua" w:hAnsi="Book Antiqua" w:cs="Arial"/>
          <w:shd w:val="clear" w:color="auto" w:fill="FFFFFF"/>
        </w:rPr>
        <w:t xml:space="preserve">outlined </w:t>
      </w:r>
      <w:r w:rsidR="005F03F6">
        <w:rPr>
          <w:rFonts w:ascii="Book Antiqua" w:hAnsi="Book Antiqua" w:cs="Arial"/>
          <w:shd w:val="clear" w:color="auto" w:fill="FFFFFF"/>
        </w:rPr>
        <w:t xml:space="preserve">in the final paragraph of the permission </w:t>
      </w:r>
      <w:r>
        <w:rPr>
          <w:rFonts w:ascii="Book Antiqua" w:hAnsi="Book Antiqua" w:cs="Arial"/>
          <w:shd w:val="clear" w:color="auto" w:fill="FFFFFF"/>
        </w:rPr>
        <w:t>and after considering her position</w:t>
      </w:r>
      <w:r w:rsidR="005F03F6">
        <w:rPr>
          <w:rFonts w:ascii="Book Antiqua" w:hAnsi="Book Antiqua" w:cs="Arial"/>
          <w:shd w:val="clear" w:color="auto" w:fill="FFFFFF"/>
        </w:rPr>
        <w:t xml:space="preserve">, </w:t>
      </w:r>
      <w:r>
        <w:rPr>
          <w:rFonts w:ascii="Book Antiqua" w:hAnsi="Book Antiqua" w:cs="Arial"/>
          <w:shd w:val="clear" w:color="auto" w:fill="FFFFFF"/>
        </w:rPr>
        <w:t xml:space="preserve">Ms </w:t>
      </w:r>
      <w:proofErr w:type="spellStart"/>
      <w:r>
        <w:rPr>
          <w:rFonts w:ascii="Book Antiqua" w:hAnsi="Book Antiqua" w:cs="Arial"/>
          <w:shd w:val="clear" w:color="auto" w:fill="FFFFFF"/>
        </w:rPr>
        <w:t>Aboni</w:t>
      </w:r>
      <w:proofErr w:type="spellEnd"/>
      <w:r>
        <w:rPr>
          <w:rFonts w:ascii="Book Antiqua" w:hAnsi="Book Antiqua" w:cs="Arial"/>
          <w:shd w:val="clear" w:color="auto" w:fill="FFFFFF"/>
        </w:rPr>
        <w:t xml:space="preserve"> indicated she would only be </w:t>
      </w:r>
      <w:r w:rsidR="00BB5B56">
        <w:rPr>
          <w:rFonts w:ascii="Book Antiqua" w:hAnsi="Book Antiqua" w:cs="Arial"/>
          <w:shd w:val="clear" w:color="auto" w:fill="FFFFFF"/>
        </w:rPr>
        <w:t xml:space="preserve">making submissions on </w:t>
      </w:r>
      <w:r w:rsidR="005F03F6">
        <w:rPr>
          <w:rFonts w:ascii="Book Antiqua" w:hAnsi="Book Antiqua" w:cs="Arial"/>
          <w:shd w:val="clear" w:color="auto" w:fill="FFFFFF"/>
        </w:rPr>
        <w:t>this</w:t>
      </w:r>
      <w:r w:rsidR="00BB5B56">
        <w:rPr>
          <w:rFonts w:ascii="Book Antiqua" w:hAnsi="Book Antiqua" w:cs="Arial"/>
          <w:shd w:val="clear" w:color="auto" w:fill="FFFFFF"/>
        </w:rPr>
        <w:t xml:space="preserve"> issue and she would seek to </w:t>
      </w:r>
      <w:r w:rsidR="005F03F6">
        <w:rPr>
          <w:rFonts w:ascii="Book Antiqua" w:hAnsi="Book Antiqua" w:cs="Arial"/>
          <w:shd w:val="clear" w:color="auto" w:fill="FFFFFF"/>
        </w:rPr>
        <w:lastRenderedPageBreak/>
        <w:t xml:space="preserve">persuade me </w:t>
      </w:r>
      <w:r w:rsidR="00BB5B56">
        <w:rPr>
          <w:rFonts w:ascii="Book Antiqua" w:hAnsi="Book Antiqua" w:cs="Arial"/>
          <w:shd w:val="clear" w:color="auto" w:fill="FFFFFF"/>
        </w:rPr>
        <w:t xml:space="preserve">the Judge </w:t>
      </w:r>
      <w:r w:rsidR="005F03F6">
        <w:rPr>
          <w:rFonts w:ascii="Book Antiqua" w:hAnsi="Book Antiqua" w:cs="Arial"/>
          <w:shd w:val="clear" w:color="auto" w:fill="FFFFFF"/>
        </w:rPr>
        <w:t xml:space="preserve">had erred by allowing the appeal despite there being no obvious risk. </w:t>
      </w:r>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rsidR="007F2507" w:rsidRPr="00BB5B56" w:rsidRDefault="00C724BC" w:rsidP="00892884">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w:t>
      </w:r>
      <w:r w:rsidR="00BB5B56">
        <w:rPr>
          <w:rFonts w:ascii="Book Antiqua" w:hAnsi="Book Antiqua" w:cs="Arial"/>
        </w:rPr>
        <w:t xml:space="preserve">submitted </w:t>
      </w:r>
      <w:r w:rsidR="00BB5B56">
        <w:rPr>
          <w:rFonts w:ascii="Book Antiqua" w:hAnsi="Book Antiqua"/>
        </w:rPr>
        <w:t xml:space="preserve">the appellant feared her father rather than anybody else but </w:t>
      </w:r>
      <w:r w:rsidR="005F03F6">
        <w:rPr>
          <w:rFonts w:ascii="Book Antiqua" w:hAnsi="Book Antiqua"/>
        </w:rPr>
        <w:t xml:space="preserve">had stated she did </w:t>
      </w:r>
      <w:r w:rsidR="00BB5B56">
        <w:rPr>
          <w:rFonts w:ascii="Book Antiqua" w:hAnsi="Book Antiqua"/>
        </w:rPr>
        <w:t xml:space="preserve">not believe her father would </w:t>
      </w:r>
      <w:r w:rsidR="005F03F6">
        <w:rPr>
          <w:rFonts w:ascii="Book Antiqua" w:hAnsi="Book Antiqua"/>
        </w:rPr>
        <w:t xml:space="preserve">force her to undergo </w:t>
      </w:r>
      <w:r w:rsidR="00BB5B56">
        <w:rPr>
          <w:rFonts w:ascii="Book Antiqua" w:hAnsi="Book Antiqua"/>
        </w:rPr>
        <w:t xml:space="preserve">FGM. She submitted there was no evidence that the appellant’s mother or sister had been subjected to FGM and even if the Judge felt the appellant </w:t>
      </w:r>
      <w:r w:rsidR="005F03F6">
        <w:rPr>
          <w:rFonts w:ascii="Book Antiqua" w:hAnsi="Book Antiqua"/>
        </w:rPr>
        <w:t>was</w:t>
      </w:r>
      <w:r w:rsidR="00BB5B56">
        <w:rPr>
          <w:rFonts w:ascii="Book Antiqua" w:hAnsi="Book Antiqua"/>
        </w:rPr>
        <w:t xml:space="preserve"> at risk it was neither unduly harsh </w:t>
      </w:r>
      <w:r w:rsidR="005F03F6">
        <w:rPr>
          <w:rFonts w:ascii="Book Antiqua" w:hAnsi="Book Antiqua"/>
        </w:rPr>
        <w:t>n</w:t>
      </w:r>
      <w:r w:rsidR="00BB5B56">
        <w:rPr>
          <w:rFonts w:ascii="Book Antiqua" w:hAnsi="Book Antiqua"/>
        </w:rPr>
        <w:t xml:space="preserve">or unreasonable for her to internally relocate. </w:t>
      </w:r>
    </w:p>
    <w:p w:rsidR="005F03F6" w:rsidRPr="005F03F6" w:rsidRDefault="00BB5B56" w:rsidP="00892884">
      <w:pPr>
        <w:numPr>
          <w:ilvl w:val="0"/>
          <w:numId w:val="3"/>
        </w:numPr>
        <w:spacing w:before="240"/>
        <w:jc w:val="both"/>
        <w:rPr>
          <w:rFonts w:ascii="Book Antiqua" w:hAnsi="Book Antiqua" w:cs="Arial"/>
        </w:rPr>
      </w:pPr>
      <w:r>
        <w:rPr>
          <w:rFonts w:ascii="Book Antiqua" w:hAnsi="Book Antiqua"/>
        </w:rPr>
        <w:t xml:space="preserve">Mr </w:t>
      </w:r>
      <w:proofErr w:type="spellStart"/>
      <w:r>
        <w:rPr>
          <w:rFonts w:ascii="Book Antiqua" w:hAnsi="Book Antiqua"/>
        </w:rPr>
        <w:t>Jagadesham</w:t>
      </w:r>
      <w:proofErr w:type="spellEnd"/>
      <w:r>
        <w:rPr>
          <w:rFonts w:ascii="Book Antiqua" w:hAnsi="Book Antiqua"/>
        </w:rPr>
        <w:t xml:space="preserve"> relied on the “Rule 24” response and submitted that the Judge’s decision did not contain a material error and the grounds, at best, amounted to a mere disagreement. </w:t>
      </w:r>
    </w:p>
    <w:p w:rsidR="00BB5B56" w:rsidRPr="00FC377D" w:rsidRDefault="00BB5B56" w:rsidP="00FC377D">
      <w:pPr>
        <w:numPr>
          <w:ilvl w:val="0"/>
          <w:numId w:val="3"/>
        </w:numPr>
        <w:spacing w:before="240"/>
        <w:jc w:val="both"/>
        <w:rPr>
          <w:rFonts w:ascii="Book Antiqua" w:hAnsi="Book Antiqua" w:cs="Arial"/>
        </w:rPr>
      </w:pPr>
      <w:r>
        <w:rPr>
          <w:rFonts w:ascii="Book Antiqua" w:hAnsi="Book Antiqua"/>
        </w:rPr>
        <w:t xml:space="preserve">The permission suggested the Judge had found there </w:t>
      </w:r>
      <w:r w:rsidR="005F03F6">
        <w:rPr>
          <w:rFonts w:ascii="Book Antiqua" w:hAnsi="Book Antiqua"/>
        </w:rPr>
        <w:t>were</w:t>
      </w:r>
      <w:r>
        <w:rPr>
          <w:rFonts w:ascii="Book Antiqua" w:hAnsi="Book Antiqua"/>
        </w:rPr>
        <w:t xml:space="preserve"> no identifiable persecutor</w:t>
      </w:r>
      <w:r w:rsidR="005F03F6">
        <w:rPr>
          <w:rFonts w:ascii="Book Antiqua" w:hAnsi="Book Antiqua"/>
        </w:rPr>
        <w:t>s</w:t>
      </w:r>
      <w:r>
        <w:rPr>
          <w:rFonts w:ascii="Book Antiqua" w:hAnsi="Book Antiqua"/>
        </w:rPr>
        <w:t xml:space="preserve"> but </w:t>
      </w:r>
      <w:r w:rsidR="000F2C33">
        <w:rPr>
          <w:rFonts w:ascii="Book Antiqua" w:hAnsi="Book Antiqua"/>
        </w:rPr>
        <w:t xml:space="preserve">Mr </w:t>
      </w:r>
      <w:proofErr w:type="spellStart"/>
      <w:r w:rsidR="000F2C33">
        <w:rPr>
          <w:rFonts w:ascii="Book Antiqua" w:hAnsi="Book Antiqua"/>
        </w:rPr>
        <w:t>Jagadesham</w:t>
      </w:r>
      <w:proofErr w:type="spellEnd"/>
      <w:r w:rsidR="000F2C33">
        <w:rPr>
          <w:rFonts w:ascii="Book Antiqua" w:hAnsi="Book Antiqua"/>
        </w:rPr>
        <w:t xml:space="preserve"> </w:t>
      </w:r>
      <w:r>
        <w:rPr>
          <w:rFonts w:ascii="Book Antiqua" w:hAnsi="Book Antiqua"/>
        </w:rPr>
        <w:t xml:space="preserve">submitted the Judge </w:t>
      </w:r>
      <w:r w:rsidR="00FC377D">
        <w:rPr>
          <w:rFonts w:ascii="Book Antiqua" w:hAnsi="Book Antiqua"/>
        </w:rPr>
        <w:t xml:space="preserve">granting permission </w:t>
      </w:r>
      <w:r>
        <w:rPr>
          <w:rFonts w:ascii="Book Antiqua" w:hAnsi="Book Antiqua"/>
        </w:rPr>
        <w:t>has misread</w:t>
      </w:r>
      <w:r w:rsidR="00FC377D">
        <w:rPr>
          <w:rFonts w:ascii="Book Antiqua" w:hAnsi="Book Antiqua"/>
        </w:rPr>
        <w:t>/misunderstood</w:t>
      </w:r>
      <w:r>
        <w:rPr>
          <w:rFonts w:ascii="Book Antiqua" w:hAnsi="Book Antiqua"/>
        </w:rPr>
        <w:t xml:space="preserve"> the evidence as the appellant had stated both in her screening </w:t>
      </w:r>
      <w:r w:rsidR="002C1535">
        <w:rPr>
          <w:rFonts w:ascii="Book Antiqua" w:hAnsi="Book Antiqua"/>
        </w:rPr>
        <w:t xml:space="preserve">(Q4.1) </w:t>
      </w:r>
      <w:r>
        <w:rPr>
          <w:rFonts w:ascii="Book Antiqua" w:hAnsi="Book Antiqua"/>
        </w:rPr>
        <w:t xml:space="preserve">and substantive interviews </w:t>
      </w:r>
      <w:r w:rsidR="002C1535">
        <w:rPr>
          <w:rFonts w:ascii="Book Antiqua" w:hAnsi="Book Antiqua"/>
        </w:rPr>
        <w:t xml:space="preserve">(Q29) that she feared her father </w:t>
      </w:r>
      <w:r w:rsidR="00FC377D">
        <w:rPr>
          <w:rFonts w:ascii="Book Antiqua" w:hAnsi="Book Antiqua"/>
        </w:rPr>
        <w:t xml:space="preserve">would force her to undergo FGM </w:t>
      </w:r>
      <w:r w:rsidR="002C1535">
        <w:rPr>
          <w:rFonts w:ascii="Book Antiqua" w:hAnsi="Book Antiqua"/>
        </w:rPr>
        <w:t xml:space="preserve">and paragraphs 23 and 24 of the decision letter repeated her evidence. </w:t>
      </w:r>
      <w:r w:rsidR="002C1535" w:rsidRPr="00FC377D">
        <w:rPr>
          <w:rFonts w:ascii="Book Antiqua" w:hAnsi="Book Antiqua"/>
        </w:rPr>
        <w:t xml:space="preserve">The appellant had identified a persecutor (her father) and the expert reports also highlighted the power of the </w:t>
      </w:r>
      <w:proofErr w:type="spellStart"/>
      <w:r w:rsidR="002C1535" w:rsidRPr="00A359DF">
        <w:rPr>
          <w:rFonts w:ascii="Book Antiqua" w:hAnsi="Book Antiqua"/>
        </w:rPr>
        <w:t>Bundu</w:t>
      </w:r>
      <w:proofErr w:type="spellEnd"/>
      <w:r w:rsidR="002C1535" w:rsidRPr="00A359DF">
        <w:rPr>
          <w:rFonts w:ascii="Book Antiqua" w:hAnsi="Book Antiqua"/>
        </w:rPr>
        <w:t xml:space="preserve"> and</w:t>
      </w:r>
      <w:r w:rsidR="002C1535" w:rsidRPr="00FC377D">
        <w:rPr>
          <w:rFonts w:ascii="Book Antiqua" w:hAnsi="Book Antiqua"/>
        </w:rPr>
        <w:t xml:space="preserve"> the fact they enforce</w:t>
      </w:r>
      <w:r w:rsidR="00FC377D">
        <w:rPr>
          <w:rFonts w:ascii="Book Antiqua" w:hAnsi="Book Antiqua"/>
        </w:rPr>
        <w:t>d</w:t>
      </w:r>
      <w:r w:rsidR="002C1535" w:rsidRPr="00FC377D">
        <w:rPr>
          <w:rFonts w:ascii="Book Antiqua" w:hAnsi="Book Antiqua"/>
        </w:rPr>
        <w:t xml:space="preserve"> the practice of FGM</w:t>
      </w:r>
      <w:r w:rsidR="00FC377D">
        <w:rPr>
          <w:rFonts w:ascii="Book Antiqua" w:hAnsi="Book Antiqua"/>
        </w:rPr>
        <w:t xml:space="preserve"> as did any possible future husband</w:t>
      </w:r>
      <w:r w:rsidR="002C1535" w:rsidRPr="00FC377D">
        <w:rPr>
          <w:rFonts w:ascii="Book Antiqua" w:hAnsi="Book Antiqua"/>
        </w:rPr>
        <w:t xml:space="preserve">. Dr Knorr’s report confirmed that the appellant’s mother would be unable to provide any protection especially as she </w:t>
      </w:r>
      <w:r w:rsidR="00FC377D">
        <w:rPr>
          <w:rFonts w:ascii="Book Antiqua" w:hAnsi="Book Antiqua"/>
        </w:rPr>
        <w:t xml:space="preserve">herself </w:t>
      </w:r>
      <w:r w:rsidR="002C1535" w:rsidRPr="00FC377D">
        <w:rPr>
          <w:rFonts w:ascii="Book Antiqua" w:hAnsi="Book Antiqua"/>
        </w:rPr>
        <w:t xml:space="preserve">had also been subject to FGM. </w:t>
      </w:r>
      <w:r w:rsidR="00FC377D">
        <w:rPr>
          <w:rFonts w:ascii="Book Antiqua" w:hAnsi="Book Antiqua"/>
        </w:rPr>
        <w:t xml:space="preserve">The expert report </w:t>
      </w:r>
      <w:r w:rsidR="002C1535" w:rsidRPr="00FC377D">
        <w:rPr>
          <w:rFonts w:ascii="Book Antiqua" w:hAnsi="Book Antiqua"/>
        </w:rPr>
        <w:t xml:space="preserve">made clear that internal relocation was not </w:t>
      </w:r>
      <w:r w:rsidR="007C2556" w:rsidRPr="00FC377D">
        <w:rPr>
          <w:rFonts w:ascii="Book Antiqua" w:hAnsi="Book Antiqua"/>
        </w:rPr>
        <w:t xml:space="preserve">an option and he invited me to dismiss the grounds of appeal. </w:t>
      </w:r>
    </w:p>
    <w:p w:rsidR="007F2507" w:rsidRPr="007F2507" w:rsidRDefault="007F2507" w:rsidP="007F2507">
      <w:pPr>
        <w:spacing w:before="240"/>
        <w:ind w:left="567"/>
        <w:jc w:val="both"/>
        <w:rPr>
          <w:rFonts w:ascii="Book Antiqua" w:hAnsi="Book Antiqua" w:cs="Arial"/>
          <w:b/>
          <w:u w:val="single"/>
        </w:rPr>
      </w:pPr>
      <w:r>
        <w:rPr>
          <w:rFonts w:ascii="Book Antiqua" w:hAnsi="Book Antiqua" w:cs="Arial"/>
          <w:b/>
          <w:u w:val="single"/>
        </w:rPr>
        <w:t>FINDINGS</w:t>
      </w:r>
    </w:p>
    <w:p w:rsidR="00BC6D9E" w:rsidRDefault="006121C8" w:rsidP="00892884">
      <w:pPr>
        <w:numPr>
          <w:ilvl w:val="0"/>
          <w:numId w:val="3"/>
        </w:numPr>
        <w:spacing w:before="240"/>
        <w:jc w:val="both"/>
        <w:rPr>
          <w:rFonts w:ascii="Book Antiqua" w:hAnsi="Book Antiqua" w:cs="Arial"/>
        </w:rPr>
      </w:pPr>
      <w:r>
        <w:rPr>
          <w:rFonts w:ascii="Book Antiqua" w:hAnsi="Book Antiqua" w:cs="Arial"/>
        </w:rPr>
        <w:t xml:space="preserve">The appellant claimed asylum on September 1, 2014 and after Judge Grant refused her appeal on September 29, 2014 she lodged further submissions which ultimately led to her having a fresh right of appeal. </w:t>
      </w:r>
    </w:p>
    <w:p w:rsidR="006121C8" w:rsidRPr="00FC377D" w:rsidRDefault="006121C8" w:rsidP="00716F72">
      <w:pPr>
        <w:numPr>
          <w:ilvl w:val="0"/>
          <w:numId w:val="3"/>
        </w:numPr>
        <w:spacing w:before="240"/>
        <w:jc w:val="both"/>
        <w:rPr>
          <w:rFonts w:ascii="Book Antiqua" w:hAnsi="Book Antiqua" w:cs="Arial"/>
        </w:rPr>
      </w:pPr>
      <w:r w:rsidRPr="00FC377D">
        <w:rPr>
          <w:rFonts w:ascii="Book Antiqua" w:hAnsi="Book Antiqua" w:cs="Arial"/>
        </w:rPr>
        <w:t xml:space="preserve">Judge Davies heard </w:t>
      </w:r>
      <w:r w:rsidR="00FC377D" w:rsidRPr="00FC377D">
        <w:rPr>
          <w:rFonts w:ascii="Book Antiqua" w:hAnsi="Book Antiqua" w:cs="Arial"/>
        </w:rPr>
        <w:t>her appeal</w:t>
      </w:r>
      <w:r w:rsidRPr="00FC377D">
        <w:rPr>
          <w:rFonts w:ascii="Book Antiqua" w:hAnsi="Book Antiqua" w:cs="Arial"/>
        </w:rPr>
        <w:t xml:space="preserve"> and concluded that based on the expert evidence he </w:t>
      </w:r>
      <w:r w:rsidR="00FC377D" w:rsidRPr="00FC377D">
        <w:rPr>
          <w:rFonts w:ascii="Book Antiqua" w:hAnsi="Book Antiqua" w:cs="Arial"/>
        </w:rPr>
        <w:t xml:space="preserve">felt </w:t>
      </w:r>
      <w:r w:rsidRPr="00FC377D">
        <w:rPr>
          <w:rFonts w:ascii="Book Antiqua" w:hAnsi="Book Antiqua" w:cs="Arial"/>
        </w:rPr>
        <w:t>able to depart from Judge Grant’s finding that her account did not fit in with the country evidence about FGM. Although grounds of appeal were lodged against this aspect of the Judge’s decision</w:t>
      </w:r>
      <w:r w:rsidR="00FC377D" w:rsidRPr="00FC377D">
        <w:rPr>
          <w:rFonts w:ascii="Book Antiqua" w:hAnsi="Book Antiqua" w:cs="Arial"/>
        </w:rPr>
        <w:t>,</w:t>
      </w:r>
      <w:r w:rsidR="00C435A4" w:rsidRPr="00FC377D">
        <w:rPr>
          <w:rFonts w:ascii="Book Antiqua" w:hAnsi="Book Antiqua" w:cs="Arial"/>
        </w:rPr>
        <w:t xml:space="preserve"> </w:t>
      </w:r>
      <w:r w:rsidR="00AE4EA7" w:rsidRPr="00FC377D">
        <w:rPr>
          <w:rFonts w:ascii="Book Antiqua" w:hAnsi="Book Antiqua" w:cs="Arial"/>
        </w:rPr>
        <w:t xml:space="preserve">Judge of the First-tier Tribunal </w:t>
      </w:r>
      <w:proofErr w:type="spellStart"/>
      <w:r w:rsidR="00AE4EA7" w:rsidRPr="00FC377D">
        <w:rPr>
          <w:rFonts w:ascii="Book Antiqua" w:hAnsi="Book Antiqua" w:cs="Arial"/>
        </w:rPr>
        <w:t>Kimnell</w:t>
      </w:r>
      <w:proofErr w:type="spellEnd"/>
      <w:r w:rsidR="00AE4EA7" w:rsidRPr="00FC377D">
        <w:rPr>
          <w:rFonts w:ascii="Book Antiqua" w:hAnsi="Book Antiqua" w:cs="Arial"/>
        </w:rPr>
        <w:t xml:space="preserve"> found the Judge had given adequate reasons for departing from Judge Grant’s decision. I </w:t>
      </w:r>
      <w:r w:rsidR="00FC377D">
        <w:rPr>
          <w:rFonts w:ascii="Book Antiqua" w:hAnsi="Book Antiqua" w:cs="Arial"/>
        </w:rPr>
        <w:t xml:space="preserve">found </w:t>
      </w:r>
      <w:r w:rsidR="00AE4EA7" w:rsidRPr="00FC377D">
        <w:rPr>
          <w:rFonts w:ascii="Book Antiqua" w:hAnsi="Book Antiqua" w:cs="Arial"/>
        </w:rPr>
        <w:t>no reason to go behind this part of the decision</w:t>
      </w:r>
      <w:r w:rsidR="00FC377D">
        <w:rPr>
          <w:rFonts w:ascii="Book Antiqua" w:hAnsi="Book Antiqua" w:cs="Arial"/>
        </w:rPr>
        <w:t xml:space="preserve"> as I agree the Judge’s decision is well-reasoned. </w:t>
      </w:r>
    </w:p>
    <w:p w:rsidR="00FC377D" w:rsidRDefault="00AE4EA7" w:rsidP="00892884">
      <w:pPr>
        <w:numPr>
          <w:ilvl w:val="0"/>
          <w:numId w:val="3"/>
        </w:numPr>
        <w:spacing w:before="240"/>
        <w:jc w:val="both"/>
        <w:rPr>
          <w:rFonts w:ascii="Book Antiqua" w:hAnsi="Book Antiqua" w:cs="Arial"/>
        </w:rPr>
      </w:pPr>
      <w:r>
        <w:rPr>
          <w:rFonts w:ascii="Book Antiqua" w:hAnsi="Book Antiqua" w:cs="Arial"/>
        </w:rPr>
        <w:t xml:space="preserve">The </w:t>
      </w:r>
      <w:r w:rsidR="00FC377D">
        <w:rPr>
          <w:rFonts w:ascii="Book Antiqua" w:hAnsi="Book Antiqua" w:cs="Arial"/>
        </w:rPr>
        <w:t xml:space="preserve">only </w:t>
      </w:r>
      <w:r>
        <w:rPr>
          <w:rFonts w:ascii="Book Antiqua" w:hAnsi="Book Antiqua" w:cs="Arial"/>
        </w:rPr>
        <w:t xml:space="preserve">issue for this Tribunal was whether the appellant was at risk of persecution because of the threat of FGM. </w:t>
      </w:r>
    </w:p>
    <w:p w:rsidR="00FC377D" w:rsidRDefault="00AE4EA7" w:rsidP="00892884">
      <w:pPr>
        <w:numPr>
          <w:ilvl w:val="0"/>
          <w:numId w:val="3"/>
        </w:numPr>
        <w:spacing w:before="240"/>
        <w:jc w:val="both"/>
        <w:rPr>
          <w:rFonts w:ascii="Book Antiqua" w:hAnsi="Book Antiqua" w:cs="Arial"/>
        </w:rPr>
      </w:pPr>
      <w:r>
        <w:rPr>
          <w:rFonts w:ascii="Book Antiqua" w:hAnsi="Book Antiqua" w:cs="Arial"/>
        </w:rPr>
        <w:t xml:space="preserve">The appellant had previously told Judge Grant that her mother had been subjected to FGM and when she was interviewed she made it clear that prior to April 2014 she had not had any reason to believe her father would force FGM on her but since April 2014 her position had changed. </w:t>
      </w:r>
      <w:r w:rsidR="00FC377D">
        <w:rPr>
          <w:rFonts w:ascii="Book Antiqua" w:hAnsi="Book Antiqua" w:cs="Arial"/>
        </w:rPr>
        <w:t xml:space="preserve">Her reasons for this were given in both her interview and her subsequent evidence. </w:t>
      </w:r>
    </w:p>
    <w:p w:rsidR="00AE4EA7" w:rsidRDefault="00AE4EA7" w:rsidP="00892884">
      <w:pPr>
        <w:numPr>
          <w:ilvl w:val="0"/>
          <w:numId w:val="3"/>
        </w:numPr>
        <w:spacing w:before="240"/>
        <w:jc w:val="both"/>
        <w:rPr>
          <w:rFonts w:ascii="Book Antiqua" w:hAnsi="Book Antiqua" w:cs="Arial"/>
        </w:rPr>
      </w:pPr>
      <w:r>
        <w:rPr>
          <w:rFonts w:ascii="Book Antiqua" w:hAnsi="Book Antiqua" w:cs="Arial"/>
        </w:rPr>
        <w:lastRenderedPageBreak/>
        <w:t xml:space="preserve">In giving permission, Judge </w:t>
      </w:r>
      <w:proofErr w:type="spellStart"/>
      <w:r>
        <w:rPr>
          <w:rFonts w:ascii="Book Antiqua" w:hAnsi="Book Antiqua" w:cs="Arial"/>
        </w:rPr>
        <w:t>Kimnell</w:t>
      </w:r>
      <w:proofErr w:type="spellEnd"/>
      <w:r>
        <w:rPr>
          <w:rFonts w:ascii="Book Antiqua" w:hAnsi="Book Antiqua" w:cs="Arial"/>
        </w:rPr>
        <w:t xml:space="preserve"> suggested that the Judge had not identified anyone the appellant </w:t>
      </w:r>
      <w:r w:rsidR="00FC377D">
        <w:rPr>
          <w:rFonts w:ascii="Book Antiqua" w:hAnsi="Book Antiqua" w:cs="Arial"/>
        </w:rPr>
        <w:t xml:space="preserve">would be </w:t>
      </w:r>
      <w:r>
        <w:rPr>
          <w:rFonts w:ascii="Book Antiqua" w:hAnsi="Book Antiqua" w:cs="Arial"/>
        </w:rPr>
        <w:t xml:space="preserve">at risk from </w:t>
      </w:r>
      <w:r w:rsidR="00FC377D">
        <w:rPr>
          <w:rFonts w:ascii="Book Antiqua" w:hAnsi="Book Antiqua" w:cs="Arial"/>
        </w:rPr>
        <w:t xml:space="preserve">in Sierra Leone </w:t>
      </w:r>
      <w:r>
        <w:rPr>
          <w:rFonts w:ascii="Book Antiqua" w:hAnsi="Book Antiqua" w:cs="Arial"/>
        </w:rPr>
        <w:t xml:space="preserve">but Judge Davies clearly reviewed </w:t>
      </w:r>
      <w:r w:rsidR="00FC377D">
        <w:rPr>
          <w:rFonts w:ascii="Book Antiqua" w:hAnsi="Book Antiqua" w:cs="Arial"/>
        </w:rPr>
        <w:t xml:space="preserve">the evidence </w:t>
      </w:r>
      <w:r>
        <w:rPr>
          <w:rFonts w:ascii="Book Antiqua" w:hAnsi="Book Antiqua" w:cs="Arial"/>
        </w:rPr>
        <w:t>and concluded</w:t>
      </w:r>
      <w:r w:rsidR="00FC2590">
        <w:rPr>
          <w:rFonts w:ascii="Book Antiqua" w:hAnsi="Book Antiqua" w:cs="Arial"/>
        </w:rPr>
        <w:t xml:space="preserve">, based on the evidence that was now before him, </w:t>
      </w:r>
      <w:r>
        <w:rPr>
          <w:rFonts w:ascii="Book Antiqua" w:hAnsi="Book Antiqua" w:cs="Arial"/>
        </w:rPr>
        <w:t xml:space="preserve">that the appellant </w:t>
      </w:r>
      <w:r w:rsidR="00FC2590">
        <w:rPr>
          <w:rFonts w:ascii="Book Antiqua" w:hAnsi="Book Antiqua" w:cs="Arial"/>
        </w:rPr>
        <w:t xml:space="preserve">would be at risk and her original account was consistent with the expert evidence. </w:t>
      </w:r>
      <w:r w:rsidR="00FC377D">
        <w:rPr>
          <w:rFonts w:ascii="Book Antiqua" w:hAnsi="Book Antiqua" w:cs="Arial"/>
        </w:rPr>
        <w:t>The expert evidence made it clear that she would face a real risk of persecution were she to be returned.</w:t>
      </w:r>
    </w:p>
    <w:p w:rsidR="00FC377D" w:rsidRDefault="00FC2590" w:rsidP="00892884">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suggested that the appellant’s mother or sister could provide </w:t>
      </w:r>
      <w:r w:rsidR="00FC377D">
        <w:rPr>
          <w:rFonts w:ascii="Book Antiqua" w:hAnsi="Book Antiqua" w:cs="Arial"/>
        </w:rPr>
        <w:t xml:space="preserve">protection </w:t>
      </w:r>
      <w:r>
        <w:rPr>
          <w:rFonts w:ascii="Book Antiqua" w:hAnsi="Book Antiqua" w:cs="Arial"/>
        </w:rPr>
        <w:t xml:space="preserve">but the Judge noted at paragraph 59 of his decision that the expert evidence suggested that </w:t>
      </w:r>
      <w:r w:rsidR="00FC377D">
        <w:rPr>
          <w:rFonts w:ascii="Book Antiqua" w:hAnsi="Book Antiqua" w:cs="Arial"/>
        </w:rPr>
        <w:t xml:space="preserve">female family members could not provide protection. The appellant would only be safe if </w:t>
      </w:r>
      <w:r w:rsidR="007A3249">
        <w:rPr>
          <w:rFonts w:ascii="Book Antiqua" w:hAnsi="Book Antiqua" w:cs="Arial"/>
        </w:rPr>
        <w:t xml:space="preserve">there is </w:t>
      </w:r>
      <w:r w:rsidR="00FC377D">
        <w:rPr>
          <w:rFonts w:ascii="Book Antiqua" w:hAnsi="Book Antiqua" w:cs="Arial"/>
        </w:rPr>
        <w:t xml:space="preserve">a suitable </w:t>
      </w:r>
      <w:r>
        <w:rPr>
          <w:rFonts w:ascii="Book Antiqua" w:hAnsi="Book Antiqua" w:cs="Arial"/>
        </w:rPr>
        <w:t>male member in the family to protect her</w:t>
      </w:r>
      <w:r w:rsidR="00FC377D">
        <w:rPr>
          <w:rFonts w:ascii="Book Antiqua" w:hAnsi="Book Antiqua" w:cs="Arial"/>
        </w:rPr>
        <w:t xml:space="preserve"> otherwise</w:t>
      </w:r>
      <w:r>
        <w:rPr>
          <w:rFonts w:ascii="Book Antiqua" w:hAnsi="Book Antiqua" w:cs="Arial"/>
        </w:rPr>
        <w:t xml:space="preserve"> she would face a real risk of persecution wherever she live</w:t>
      </w:r>
      <w:r w:rsidR="00FC377D">
        <w:rPr>
          <w:rFonts w:ascii="Book Antiqua" w:hAnsi="Book Antiqua" w:cs="Arial"/>
        </w:rPr>
        <w:t>d in Sierra Leone</w:t>
      </w:r>
      <w:r>
        <w:rPr>
          <w:rFonts w:ascii="Book Antiqua" w:hAnsi="Book Antiqua" w:cs="Arial"/>
        </w:rPr>
        <w:t xml:space="preserve">. </w:t>
      </w:r>
    </w:p>
    <w:p w:rsidR="00FC2590" w:rsidRDefault="00FC2590" w:rsidP="00892884">
      <w:pPr>
        <w:numPr>
          <w:ilvl w:val="0"/>
          <w:numId w:val="3"/>
        </w:numPr>
        <w:spacing w:before="240"/>
        <w:jc w:val="both"/>
        <w:rPr>
          <w:rFonts w:ascii="Book Antiqua" w:hAnsi="Book Antiqua" w:cs="Arial"/>
        </w:rPr>
      </w:pPr>
      <w:r>
        <w:rPr>
          <w:rFonts w:ascii="Book Antiqua" w:hAnsi="Book Antiqua" w:cs="Arial"/>
        </w:rPr>
        <w:t xml:space="preserve">The Judge gave </w:t>
      </w:r>
      <w:r w:rsidR="00FC377D">
        <w:rPr>
          <w:rFonts w:ascii="Book Antiqua" w:hAnsi="Book Antiqua" w:cs="Arial"/>
        </w:rPr>
        <w:t xml:space="preserve">his </w:t>
      </w:r>
      <w:r>
        <w:rPr>
          <w:rFonts w:ascii="Book Antiqua" w:hAnsi="Book Antiqua" w:cs="Arial"/>
        </w:rPr>
        <w:t>reasons for this in paragraph 59 of his decision</w:t>
      </w:r>
      <w:r w:rsidR="00FC377D">
        <w:rPr>
          <w:rFonts w:ascii="Book Antiqua" w:hAnsi="Book Antiqua" w:cs="Arial"/>
        </w:rPr>
        <w:t xml:space="preserve"> noting </w:t>
      </w:r>
      <w:r>
        <w:rPr>
          <w:rFonts w:ascii="Book Antiqua" w:hAnsi="Book Antiqua" w:cs="Arial"/>
        </w:rPr>
        <w:t xml:space="preserve">FGM was practised widely in Sierra Leone </w:t>
      </w:r>
      <w:r w:rsidR="005F03F6">
        <w:rPr>
          <w:rFonts w:ascii="Book Antiqua" w:hAnsi="Book Antiqua" w:cs="Arial"/>
        </w:rPr>
        <w:t xml:space="preserve">and </w:t>
      </w:r>
      <w:proofErr w:type="gramStart"/>
      <w:r w:rsidR="005F03F6">
        <w:rPr>
          <w:rFonts w:ascii="Book Antiqua" w:hAnsi="Book Antiqua" w:cs="Arial"/>
        </w:rPr>
        <w:t>taking into account</w:t>
      </w:r>
      <w:proofErr w:type="gramEnd"/>
      <w:r w:rsidR="005F03F6">
        <w:rPr>
          <w:rFonts w:ascii="Book Antiqua" w:hAnsi="Book Antiqua" w:cs="Arial"/>
        </w:rPr>
        <w:t xml:space="preserve"> the power of the </w:t>
      </w:r>
      <w:proofErr w:type="spellStart"/>
      <w:r w:rsidR="005F03F6">
        <w:rPr>
          <w:rFonts w:ascii="Book Antiqua" w:hAnsi="Book Antiqua" w:cs="Arial"/>
        </w:rPr>
        <w:t>B</w:t>
      </w:r>
      <w:r w:rsidR="00A359DF">
        <w:rPr>
          <w:rFonts w:ascii="Book Antiqua" w:hAnsi="Book Antiqua" w:cs="Arial"/>
        </w:rPr>
        <w:t>u</w:t>
      </w:r>
      <w:r w:rsidR="005F03F6">
        <w:rPr>
          <w:rFonts w:ascii="Book Antiqua" w:hAnsi="Book Antiqua" w:cs="Arial"/>
        </w:rPr>
        <w:t>ndu</w:t>
      </w:r>
      <w:proofErr w:type="spellEnd"/>
      <w:r w:rsidR="005F03F6">
        <w:rPr>
          <w:rFonts w:ascii="Book Antiqua" w:hAnsi="Book Antiqua" w:cs="Arial"/>
        </w:rPr>
        <w:t xml:space="preserve"> and the fact she </w:t>
      </w:r>
      <w:r w:rsidR="00FC377D">
        <w:rPr>
          <w:rFonts w:ascii="Book Antiqua" w:hAnsi="Book Antiqua" w:cs="Arial"/>
        </w:rPr>
        <w:t>wa</w:t>
      </w:r>
      <w:r w:rsidR="005F03F6">
        <w:rPr>
          <w:rFonts w:ascii="Book Antiqua" w:hAnsi="Book Antiqua" w:cs="Arial"/>
        </w:rPr>
        <w:t>s a single mother and lone woman</w:t>
      </w:r>
      <w:r w:rsidR="00FC377D">
        <w:rPr>
          <w:rFonts w:ascii="Book Antiqua" w:hAnsi="Book Antiqua" w:cs="Arial"/>
        </w:rPr>
        <w:t>.</w:t>
      </w:r>
      <w:r w:rsidR="005F03F6">
        <w:rPr>
          <w:rFonts w:ascii="Book Antiqua" w:hAnsi="Book Antiqua" w:cs="Arial"/>
        </w:rPr>
        <w:t xml:space="preserve"> I accept the Judge was entitled to make </w:t>
      </w:r>
      <w:r w:rsidR="00FC377D">
        <w:rPr>
          <w:rFonts w:ascii="Book Antiqua" w:hAnsi="Book Antiqua" w:cs="Arial"/>
        </w:rPr>
        <w:t xml:space="preserve">this </w:t>
      </w:r>
      <w:r w:rsidR="005F03F6">
        <w:rPr>
          <w:rFonts w:ascii="Book Antiqua" w:hAnsi="Book Antiqua" w:cs="Arial"/>
        </w:rPr>
        <w:t xml:space="preserve">finding. </w:t>
      </w:r>
    </w:p>
    <w:p w:rsidR="005F03F6" w:rsidRDefault="00FC377D" w:rsidP="00892884">
      <w:pPr>
        <w:numPr>
          <w:ilvl w:val="0"/>
          <w:numId w:val="3"/>
        </w:numPr>
        <w:spacing w:before="240"/>
        <w:jc w:val="both"/>
        <w:rPr>
          <w:rFonts w:ascii="Book Antiqua" w:hAnsi="Book Antiqua" w:cs="Arial"/>
        </w:rPr>
      </w:pPr>
      <w:r>
        <w:rPr>
          <w:rFonts w:ascii="Book Antiqua" w:hAnsi="Book Antiqua" w:cs="Arial"/>
        </w:rPr>
        <w:t xml:space="preserve">The Judge found the </w:t>
      </w:r>
      <w:r w:rsidR="005F03F6">
        <w:rPr>
          <w:rFonts w:ascii="Book Antiqua" w:hAnsi="Book Antiqua" w:cs="Arial"/>
        </w:rPr>
        <w:t xml:space="preserve">appellant </w:t>
      </w:r>
      <w:r>
        <w:rPr>
          <w:rFonts w:ascii="Book Antiqua" w:hAnsi="Book Antiqua" w:cs="Arial"/>
        </w:rPr>
        <w:t xml:space="preserve">was a member of </w:t>
      </w:r>
      <w:r w:rsidR="005F03F6">
        <w:rPr>
          <w:rFonts w:ascii="Book Antiqua" w:hAnsi="Book Antiqua" w:cs="Arial"/>
        </w:rPr>
        <w:t xml:space="preserve">a </w:t>
      </w:r>
      <w:proofErr w:type="gramStart"/>
      <w:r w:rsidR="005F03F6">
        <w:rPr>
          <w:rFonts w:ascii="Book Antiqua" w:hAnsi="Book Antiqua" w:cs="Arial"/>
        </w:rPr>
        <w:t>particular social</w:t>
      </w:r>
      <w:proofErr w:type="gramEnd"/>
      <w:r w:rsidR="005F03F6">
        <w:rPr>
          <w:rFonts w:ascii="Book Antiqua" w:hAnsi="Book Antiqua" w:cs="Arial"/>
        </w:rPr>
        <w:t xml:space="preserve"> group</w:t>
      </w:r>
      <w:r>
        <w:rPr>
          <w:rFonts w:ascii="Book Antiqua" w:hAnsi="Book Antiqua" w:cs="Arial"/>
        </w:rPr>
        <w:t xml:space="preserve">. Having examined </w:t>
      </w:r>
      <w:r w:rsidR="005F03F6">
        <w:rPr>
          <w:rFonts w:ascii="Book Antiqua" w:hAnsi="Book Antiqua" w:cs="Arial"/>
        </w:rPr>
        <w:t xml:space="preserve">the material </w:t>
      </w:r>
      <w:r>
        <w:rPr>
          <w:rFonts w:ascii="Book Antiqua" w:hAnsi="Book Antiqua" w:cs="Arial"/>
        </w:rPr>
        <w:t xml:space="preserve">he concluded she would be at risk and having considered the same evidence </w:t>
      </w:r>
      <w:r w:rsidR="005F03F6">
        <w:rPr>
          <w:rFonts w:ascii="Book Antiqua" w:hAnsi="Book Antiqua" w:cs="Arial"/>
        </w:rPr>
        <w:t xml:space="preserve">I find that the Judge was entitled to reach the conclusion he did and accordingly there is no error in law.  </w:t>
      </w:r>
      <w:bookmarkStart w:id="1" w:name="_GoBack"/>
      <w:bookmarkEnd w:id="1"/>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no error in law and the original decision shall stand. </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C65368">
        <w:rPr>
          <w:rFonts w:ascii="Book Antiqua" w:hAnsi="Book Antiqua" w:cs="Arial"/>
        </w:rPr>
        <w:t>03</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3E421B"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FC377D">
        <w:rPr>
          <w:rFonts w:ascii="Book Antiqua" w:hAnsi="Book Antiqua" w:cs="Arial"/>
        </w:rPr>
        <w:t xml:space="preserve"> no fee was payable. </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C65368">
        <w:rPr>
          <w:rFonts w:ascii="Book Antiqua" w:hAnsi="Book Antiqua" w:cs="Arial"/>
        </w:rPr>
        <w:t>03</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3E421B"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8225"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421018">
      <w:headerReference w:type="default" r:id="rId11"/>
      <w:footerReference w:type="default" r:id="rId12"/>
      <w:headerReference w:type="first" r:id="rId13"/>
      <w:footerReference w:type="first" r:id="rId14"/>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EAB" w:rsidRDefault="00290EAB">
      <w:r>
        <w:separator/>
      </w:r>
    </w:p>
  </w:endnote>
  <w:endnote w:type="continuationSeparator" w:id="0">
    <w:p w:rsidR="00290EAB" w:rsidRDefault="0029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421018" w:rsidRDefault="00941D3B" w:rsidP="00593795">
    <w:pPr>
      <w:pStyle w:val="Footer"/>
      <w:jc w:val="center"/>
      <w:rPr>
        <w:rFonts w:ascii="Book Antiqua" w:hAnsi="Book Antiqua" w:cs="Arial"/>
      </w:rPr>
    </w:pPr>
    <w:r w:rsidRPr="00421018">
      <w:rPr>
        <w:rStyle w:val="PageNumber"/>
        <w:rFonts w:ascii="Book Antiqua" w:hAnsi="Book Antiqua" w:cs="Arial"/>
      </w:rPr>
      <w:fldChar w:fldCharType="begin"/>
    </w:r>
    <w:r w:rsidRPr="00421018">
      <w:rPr>
        <w:rStyle w:val="PageNumber"/>
        <w:rFonts w:ascii="Book Antiqua" w:hAnsi="Book Antiqua" w:cs="Arial"/>
      </w:rPr>
      <w:instrText xml:space="preserve"> PAGE </w:instrText>
    </w:r>
    <w:r w:rsidRPr="00421018">
      <w:rPr>
        <w:rStyle w:val="PageNumber"/>
        <w:rFonts w:ascii="Book Antiqua" w:hAnsi="Book Antiqua" w:cs="Arial"/>
      </w:rPr>
      <w:fldChar w:fldCharType="separate"/>
    </w:r>
    <w:r w:rsidR="004C3A29">
      <w:rPr>
        <w:rStyle w:val="PageNumber"/>
        <w:rFonts w:ascii="Book Antiqua" w:hAnsi="Book Antiqua" w:cs="Arial"/>
        <w:noProof/>
      </w:rPr>
      <w:t>3</w:t>
    </w:r>
    <w:r w:rsidRPr="0042101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EAB" w:rsidRDefault="00290EAB">
      <w:r>
        <w:separator/>
      </w:r>
    </w:p>
  </w:footnote>
  <w:footnote w:type="continuationSeparator" w:id="0">
    <w:p w:rsidR="00290EAB" w:rsidRDefault="00290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w:t>
    </w:r>
    <w:r w:rsidRPr="00D97AF0">
      <w:rPr>
        <w:rFonts w:ascii="Book Antiqua" w:hAnsi="Book Antiqua" w:cs="Arial"/>
        <w:sz w:val="16"/>
        <w:szCs w:val="16"/>
      </w:rPr>
      <w:t>/</w:t>
    </w:r>
    <w:r w:rsidR="00887B2E">
      <w:rPr>
        <w:rFonts w:ascii="Book Antiqua" w:hAnsi="Book Antiqua" w:cs="Arial"/>
        <w:sz w:val="16"/>
        <w:szCs w:val="16"/>
      </w:rPr>
      <w:t>01255</w:t>
    </w:r>
    <w:r>
      <w:rPr>
        <w:rFonts w:ascii="Book Antiqua" w:hAnsi="Book Antiqua" w:cs="Arial"/>
        <w:sz w:val="16"/>
        <w:szCs w:val="16"/>
      </w:rPr>
      <w:t>/201</w:t>
    </w:r>
    <w:r w:rsidR="00E246FD">
      <w:rPr>
        <w:rFonts w:ascii="Book Antiqua" w:hAnsi="Book Antiqua" w:cs="Arial"/>
        <w:sz w:val="16"/>
        <w:szCs w:val="16"/>
      </w:rPr>
      <w:t>7</w:t>
    </w:r>
  </w:p>
  <w:p w:rsidR="00421018" w:rsidRPr="00D97AF0" w:rsidRDefault="0042101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C7105F1-9933-4A44-9408-A0F0DEE05356}"/>
    <w:docVar w:name="dgnword-eventsink" w:val="2951510794848"/>
  </w:docVars>
  <w:rsids>
    <w:rsidRoot w:val="00A25C94"/>
    <w:rsid w:val="00000412"/>
    <w:rsid w:val="00000621"/>
    <w:rsid w:val="000008B1"/>
    <w:rsid w:val="00002241"/>
    <w:rsid w:val="000036C2"/>
    <w:rsid w:val="0000577C"/>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A1E2C"/>
    <w:rsid w:val="001A2421"/>
    <w:rsid w:val="001B67F3"/>
    <w:rsid w:val="001C1452"/>
    <w:rsid w:val="001E12F7"/>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B5BE8"/>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21B"/>
    <w:rsid w:val="003E4B44"/>
    <w:rsid w:val="003E7CD1"/>
    <w:rsid w:val="00402B9E"/>
    <w:rsid w:val="00421018"/>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C3A29"/>
    <w:rsid w:val="004D0B09"/>
    <w:rsid w:val="004E4682"/>
    <w:rsid w:val="00502F93"/>
    <w:rsid w:val="00507FEC"/>
    <w:rsid w:val="00510F0E"/>
    <w:rsid w:val="00516E48"/>
    <w:rsid w:val="00541D19"/>
    <w:rsid w:val="005479E1"/>
    <w:rsid w:val="0055002A"/>
    <w:rsid w:val="005570FD"/>
    <w:rsid w:val="005575EA"/>
    <w:rsid w:val="00564626"/>
    <w:rsid w:val="00564C2A"/>
    <w:rsid w:val="0057790C"/>
    <w:rsid w:val="00593795"/>
    <w:rsid w:val="005A45CC"/>
    <w:rsid w:val="005A75FF"/>
    <w:rsid w:val="005B4942"/>
    <w:rsid w:val="005B7789"/>
    <w:rsid w:val="005C04A8"/>
    <w:rsid w:val="005C3A83"/>
    <w:rsid w:val="005F03F6"/>
    <w:rsid w:val="006059EF"/>
    <w:rsid w:val="006121C8"/>
    <w:rsid w:val="00622725"/>
    <w:rsid w:val="00640E14"/>
    <w:rsid w:val="00641A27"/>
    <w:rsid w:val="0064774D"/>
    <w:rsid w:val="0065791C"/>
    <w:rsid w:val="00677176"/>
    <w:rsid w:val="00690B8A"/>
    <w:rsid w:val="006A5EDB"/>
    <w:rsid w:val="006D1DFA"/>
    <w:rsid w:val="006D506B"/>
    <w:rsid w:val="006D5949"/>
    <w:rsid w:val="006D79F6"/>
    <w:rsid w:val="006E3C90"/>
    <w:rsid w:val="006F08DA"/>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64126"/>
    <w:rsid w:val="0087166E"/>
    <w:rsid w:val="00871D34"/>
    <w:rsid w:val="00876A5B"/>
    <w:rsid w:val="00882779"/>
    <w:rsid w:val="00887B2E"/>
    <w:rsid w:val="00892884"/>
    <w:rsid w:val="008B270C"/>
    <w:rsid w:val="008C3D3D"/>
    <w:rsid w:val="008D4131"/>
    <w:rsid w:val="008F1932"/>
    <w:rsid w:val="008F294D"/>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359DF"/>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E1A46"/>
    <w:rsid w:val="00CF1454"/>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64F09"/>
    <w:rsid w:val="00F72B81"/>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55B8A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ribunalsdecisions.service.gov.uk/utiac/decisions/3746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0DDD-FB1C-48E9-8868-783F053D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7464</Characters>
  <Application>Microsoft Office Word</Application>
  <DocSecurity>0</DocSecurity>
  <Lines>62</Lines>
  <Paragraphs>17</Paragraphs>
  <ScaleCrop>false</ScaleCrop>
  <Company/>
  <LinksUpToDate>false</LinksUpToDate>
  <CharactersWithSpaces>8953</CharactersWithSpaces>
  <SharedDoc>false</SharedDoc>
  <HLinks>
    <vt:vector size="6" baseType="variant">
      <vt:variant>
        <vt:i4>3276923</vt:i4>
      </vt:variant>
      <vt:variant>
        <vt:i4>0</vt:i4>
      </vt:variant>
      <vt:variant>
        <vt:i4>0</vt:i4>
      </vt:variant>
      <vt:variant>
        <vt:i4>5</vt:i4>
      </vt:variant>
      <vt:variant>
        <vt:lpwstr>https://tribunalsdecisions.service.gov.uk/utiac/decisions/37467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2018-07-20T11:37:00Z</dcterms:created>
  <dcterms:modified xsi:type="dcterms:W3CDTF">2018-07-20T11:37:00Z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