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0DA" w:rsidRPr="002623D4" w:rsidRDefault="00706EF9" w:rsidP="002623D4">
      <w:pPr>
        <w:jc w:val="center"/>
        <w:rPr>
          <w:rFonts w:ascii="Book Antiqua" w:eastAsia="Book Antiqua" w:hAnsi="Book Antiqua" w:cs="Book Antiqua"/>
          <w:smallCaps/>
          <w:color w:val="000000"/>
          <w:sz w:val="16"/>
          <w:szCs w:val="16"/>
        </w:rPr>
      </w:pPr>
      <w:r>
        <w:rPr>
          <w:noProof/>
        </w:rPr>
        <w:drawing>
          <wp:inline distT="0" distB="0" distL="0" distR="0" wp14:anchorId="0FCAC59A" wp14:editId="710B4B88">
            <wp:extent cx="1044575" cy="90868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44575" cy="908685"/>
                    </a:xfrm>
                    <a:prstGeom prst="rect">
                      <a:avLst/>
                    </a:prstGeom>
                    <a:ln/>
                  </pic:spPr>
                </pic:pic>
              </a:graphicData>
            </a:graphic>
          </wp:inline>
        </w:drawing>
      </w:r>
    </w:p>
    <w:p w:rsidR="000700DA" w:rsidRDefault="000700DA">
      <w:pPr>
        <w:rPr>
          <w:rFonts w:ascii="Book Antiqua" w:eastAsia="Book Antiqua" w:hAnsi="Book Antiqua" w:cs="Book Antiqua"/>
          <w:color w:val="000000"/>
        </w:rPr>
      </w:pPr>
    </w:p>
    <w:p w:rsidR="000700DA" w:rsidRDefault="00706EF9">
      <w:pPr>
        <w:tabs>
          <w:tab w:val="right" w:pos="9720"/>
        </w:tabs>
        <w:ind w:right="-82"/>
        <w:rPr>
          <w:rFonts w:ascii="Book Antiqua" w:eastAsia="Book Antiqua" w:hAnsi="Book Antiqua" w:cs="Book Antiqua"/>
          <w:b/>
          <w:color w:val="000000"/>
        </w:rPr>
      </w:pPr>
      <w:r>
        <w:rPr>
          <w:rFonts w:ascii="Book Antiqua" w:eastAsia="Book Antiqua" w:hAnsi="Book Antiqua" w:cs="Book Antiqua"/>
          <w:b/>
          <w:color w:val="000000"/>
        </w:rPr>
        <w:t>Upper Tribunal</w:t>
      </w:r>
    </w:p>
    <w:p w:rsidR="000700DA" w:rsidRDefault="00706EF9">
      <w:pPr>
        <w:tabs>
          <w:tab w:val="right" w:pos="9720"/>
        </w:tabs>
        <w:ind w:right="-82"/>
        <w:rPr>
          <w:rFonts w:ascii="Book Antiqua" w:eastAsia="Book Antiqua" w:hAnsi="Book Antiqua" w:cs="Book Antiqua"/>
          <w:smallCaps/>
          <w:color w:val="000000"/>
        </w:rPr>
      </w:pPr>
      <w:r>
        <w:rPr>
          <w:rFonts w:ascii="Book Antiqua" w:eastAsia="Book Antiqua" w:hAnsi="Book Antiqua" w:cs="Book Antiqua"/>
          <w:b/>
          <w:color w:val="000000"/>
        </w:rPr>
        <w:t>(Immigration and Asylum Chamber)</w:t>
      </w:r>
      <w:r>
        <w:rPr>
          <w:rFonts w:ascii="Book Antiqua" w:eastAsia="Book Antiqua" w:hAnsi="Book Antiqua" w:cs="Book Antiqua"/>
          <w:b/>
          <w:color w:val="000000"/>
        </w:rPr>
        <w:tab/>
      </w:r>
      <w:r>
        <w:rPr>
          <w:rFonts w:ascii="Book Antiqua" w:eastAsia="Book Antiqua" w:hAnsi="Book Antiqua" w:cs="Book Antiqua"/>
          <w:color w:val="000000"/>
        </w:rPr>
        <w:t xml:space="preserve">Appeal Number: </w:t>
      </w:r>
      <w:bookmarkStart w:id="0" w:name="_Hlk517416138"/>
      <w:bookmarkStart w:id="1" w:name="_Hlk513822011"/>
      <w:bookmarkStart w:id="2" w:name="_Hlk513817895"/>
      <w:bookmarkStart w:id="3" w:name="_GoBack"/>
      <w:r w:rsidR="00D35D63">
        <w:rPr>
          <w:rFonts w:ascii="Book Antiqua" w:eastAsia="Book Antiqua" w:hAnsi="Book Antiqua" w:cs="Book Antiqua"/>
          <w:color w:val="000000"/>
        </w:rPr>
        <w:t>PA</w:t>
      </w:r>
      <w:r>
        <w:rPr>
          <w:rFonts w:ascii="Book Antiqua" w:eastAsia="Book Antiqua" w:hAnsi="Book Antiqua" w:cs="Book Antiqua"/>
          <w:smallCaps/>
          <w:color w:val="000000"/>
        </w:rPr>
        <w:t>/</w:t>
      </w:r>
      <w:r w:rsidR="00D35D63">
        <w:rPr>
          <w:rFonts w:ascii="Book Antiqua" w:eastAsia="Book Antiqua" w:hAnsi="Book Antiqua" w:cs="Book Antiqua"/>
          <w:smallCaps/>
          <w:color w:val="000000"/>
        </w:rPr>
        <w:t>01263</w:t>
      </w:r>
      <w:r>
        <w:rPr>
          <w:rFonts w:ascii="Book Antiqua" w:eastAsia="Book Antiqua" w:hAnsi="Book Antiqua" w:cs="Book Antiqua"/>
          <w:smallCaps/>
          <w:color w:val="000000"/>
        </w:rPr>
        <w:t>/201</w:t>
      </w:r>
      <w:r w:rsidR="00CF325B">
        <w:rPr>
          <w:rFonts w:ascii="Book Antiqua" w:eastAsia="Book Antiqua" w:hAnsi="Book Antiqua" w:cs="Book Antiqua"/>
          <w:smallCaps/>
          <w:color w:val="000000"/>
        </w:rPr>
        <w:t>6</w:t>
      </w:r>
      <w:bookmarkEnd w:id="0"/>
      <w:bookmarkEnd w:id="3"/>
    </w:p>
    <w:bookmarkEnd w:id="1"/>
    <w:p w:rsidR="001F5F66" w:rsidRDefault="001F5F66">
      <w:pPr>
        <w:tabs>
          <w:tab w:val="right" w:pos="9720"/>
        </w:tabs>
        <w:ind w:right="-82"/>
        <w:rPr>
          <w:rFonts w:ascii="Book Antiqua" w:eastAsia="Book Antiqua" w:hAnsi="Book Antiqua" w:cs="Book Antiqua"/>
          <w:color w:val="000000"/>
        </w:rPr>
      </w:pPr>
      <w:r>
        <w:rPr>
          <w:rFonts w:ascii="Book Antiqua" w:eastAsia="Book Antiqua" w:hAnsi="Book Antiqua" w:cs="Book Antiqua"/>
          <w:color w:val="000000"/>
        </w:rPr>
        <w:tab/>
      </w:r>
    </w:p>
    <w:bookmarkEnd w:id="2"/>
    <w:p w:rsidR="000700DA" w:rsidRDefault="000700DA">
      <w:pPr>
        <w:jc w:val="center"/>
        <w:rPr>
          <w:rFonts w:ascii="Book Antiqua" w:eastAsia="Book Antiqua" w:hAnsi="Book Antiqua" w:cs="Book Antiqua"/>
          <w:color w:val="000000"/>
        </w:rPr>
      </w:pPr>
    </w:p>
    <w:p w:rsidR="000700DA" w:rsidRDefault="000700DA">
      <w:pPr>
        <w:jc w:val="center"/>
        <w:rPr>
          <w:rFonts w:ascii="Book Antiqua" w:eastAsia="Book Antiqua" w:hAnsi="Book Antiqua" w:cs="Book Antiqua"/>
          <w:color w:val="000000"/>
        </w:rPr>
      </w:pPr>
    </w:p>
    <w:p w:rsidR="000700DA" w:rsidRDefault="00706EF9">
      <w:pPr>
        <w:jc w:val="center"/>
        <w:rPr>
          <w:rFonts w:ascii="Book Antiqua" w:eastAsia="Book Antiqua" w:hAnsi="Book Antiqua" w:cs="Book Antiqua"/>
          <w:b/>
          <w:color w:val="000000"/>
          <w:u w:val="single"/>
        </w:rPr>
      </w:pPr>
      <w:r>
        <w:rPr>
          <w:rFonts w:ascii="Book Antiqua" w:eastAsia="Book Antiqua" w:hAnsi="Book Antiqua" w:cs="Book Antiqua"/>
          <w:b/>
          <w:color w:val="000000"/>
          <w:u w:val="single"/>
        </w:rPr>
        <w:t>THE IMMIGRATION ACTS</w:t>
      </w:r>
    </w:p>
    <w:p w:rsidR="000700DA" w:rsidRDefault="000700DA">
      <w:pPr>
        <w:jc w:val="center"/>
        <w:rPr>
          <w:rFonts w:ascii="Book Antiqua" w:eastAsia="Book Antiqua" w:hAnsi="Book Antiqua" w:cs="Book Antiqua"/>
          <w:b/>
          <w:u w:val="single"/>
        </w:rPr>
      </w:pPr>
    </w:p>
    <w:p w:rsidR="000700DA" w:rsidRDefault="000700DA">
      <w:pPr>
        <w:jc w:val="center"/>
        <w:rPr>
          <w:rFonts w:ascii="Book Antiqua" w:eastAsia="Book Antiqua" w:hAnsi="Book Antiqua" w:cs="Book Antiqua"/>
          <w:b/>
          <w:u w:val="single"/>
        </w:rPr>
      </w:pPr>
    </w:p>
    <w:tbl>
      <w:tblPr>
        <w:tblStyle w:val="a"/>
        <w:tblW w:w="10764" w:type="dxa"/>
        <w:tblLayout w:type="fixed"/>
        <w:tblLook w:val="0000" w:firstRow="0" w:lastRow="0" w:firstColumn="0" w:lastColumn="0" w:noHBand="0" w:noVBand="0"/>
      </w:tblPr>
      <w:tblGrid>
        <w:gridCol w:w="6505"/>
        <w:gridCol w:w="4259"/>
      </w:tblGrid>
      <w:tr w:rsidR="000700DA" w:rsidTr="002131D6">
        <w:trPr>
          <w:trHeight w:val="355"/>
        </w:trPr>
        <w:tc>
          <w:tcPr>
            <w:tcW w:w="6505" w:type="dxa"/>
            <w:shd w:val="clear" w:color="auto" w:fill="auto"/>
          </w:tcPr>
          <w:p w:rsidR="000700DA" w:rsidRDefault="00706EF9">
            <w:pPr>
              <w:jc w:val="both"/>
              <w:rPr>
                <w:rFonts w:ascii="Book Antiqua" w:eastAsia="Book Antiqua" w:hAnsi="Book Antiqua" w:cs="Book Antiqua"/>
                <w:b/>
              </w:rPr>
            </w:pPr>
            <w:r>
              <w:rPr>
                <w:rFonts w:ascii="Book Antiqua" w:eastAsia="Book Antiqua" w:hAnsi="Book Antiqua" w:cs="Book Antiqua"/>
                <w:b/>
              </w:rPr>
              <w:t>Heard at Field House</w:t>
            </w:r>
          </w:p>
        </w:tc>
        <w:tc>
          <w:tcPr>
            <w:tcW w:w="4259" w:type="dxa"/>
            <w:shd w:val="clear" w:color="auto" w:fill="auto"/>
          </w:tcPr>
          <w:p w:rsidR="000700DA" w:rsidRDefault="002131D6">
            <w:pPr>
              <w:jc w:val="both"/>
              <w:rPr>
                <w:rFonts w:ascii="Book Antiqua" w:eastAsia="Book Antiqua" w:hAnsi="Book Antiqua" w:cs="Book Antiqua"/>
                <w:b/>
                <w:color w:val="000000"/>
              </w:rPr>
            </w:pPr>
            <w:r>
              <w:rPr>
                <w:rFonts w:ascii="Book Antiqua" w:eastAsia="Book Antiqua" w:hAnsi="Book Antiqua" w:cs="Book Antiqua"/>
                <w:b/>
                <w:color w:val="000000"/>
              </w:rPr>
              <w:t xml:space="preserve">Decision &amp; Reasons </w:t>
            </w:r>
            <w:r w:rsidR="00706EF9">
              <w:rPr>
                <w:rFonts w:ascii="Book Antiqua" w:eastAsia="Book Antiqua" w:hAnsi="Book Antiqua" w:cs="Book Antiqua"/>
                <w:b/>
                <w:color w:val="000000"/>
              </w:rPr>
              <w:t>Promulgated</w:t>
            </w:r>
          </w:p>
        </w:tc>
      </w:tr>
      <w:tr w:rsidR="000700DA" w:rsidTr="002131D6">
        <w:trPr>
          <w:trHeight w:val="355"/>
        </w:trPr>
        <w:tc>
          <w:tcPr>
            <w:tcW w:w="6505" w:type="dxa"/>
            <w:shd w:val="clear" w:color="auto" w:fill="auto"/>
          </w:tcPr>
          <w:p w:rsidR="000700DA" w:rsidRDefault="00706EF9">
            <w:pPr>
              <w:jc w:val="both"/>
              <w:rPr>
                <w:rFonts w:ascii="Book Antiqua" w:eastAsia="Book Antiqua" w:hAnsi="Book Antiqua" w:cs="Book Antiqua"/>
                <w:b/>
              </w:rPr>
            </w:pPr>
            <w:r>
              <w:rPr>
                <w:rFonts w:ascii="Book Antiqua" w:eastAsia="Book Antiqua" w:hAnsi="Book Antiqua" w:cs="Book Antiqua"/>
                <w:b/>
              </w:rPr>
              <w:t xml:space="preserve">On </w:t>
            </w:r>
            <w:r w:rsidR="00A46F26">
              <w:rPr>
                <w:rFonts w:ascii="Book Antiqua" w:eastAsia="Book Antiqua" w:hAnsi="Book Antiqua" w:cs="Book Antiqua"/>
                <w:b/>
              </w:rPr>
              <w:t>1</w:t>
            </w:r>
            <w:r w:rsidR="00F77A10">
              <w:rPr>
                <w:rFonts w:ascii="Book Antiqua" w:eastAsia="Book Antiqua" w:hAnsi="Book Antiqua" w:cs="Book Antiqua"/>
                <w:b/>
              </w:rPr>
              <w:t>8 June</w:t>
            </w:r>
            <w:r>
              <w:rPr>
                <w:rFonts w:ascii="Book Antiqua" w:eastAsia="Book Antiqua" w:hAnsi="Book Antiqua" w:cs="Book Antiqua"/>
                <w:b/>
              </w:rPr>
              <w:t xml:space="preserve"> 201</w:t>
            </w:r>
            <w:r w:rsidR="002623D4">
              <w:rPr>
                <w:rFonts w:ascii="Book Antiqua" w:eastAsia="Book Antiqua" w:hAnsi="Book Antiqua" w:cs="Book Antiqua"/>
                <w:b/>
              </w:rPr>
              <w:t>8</w:t>
            </w:r>
          </w:p>
        </w:tc>
        <w:tc>
          <w:tcPr>
            <w:tcW w:w="4259" w:type="dxa"/>
            <w:shd w:val="clear" w:color="auto" w:fill="auto"/>
          </w:tcPr>
          <w:p w:rsidR="000700DA" w:rsidRDefault="002131D6">
            <w:pPr>
              <w:jc w:val="both"/>
              <w:rPr>
                <w:rFonts w:ascii="Book Antiqua" w:eastAsia="Book Antiqua" w:hAnsi="Book Antiqua" w:cs="Book Antiqua"/>
                <w:b/>
              </w:rPr>
            </w:pPr>
            <w:r>
              <w:rPr>
                <w:rFonts w:ascii="Book Antiqua" w:eastAsia="Book Antiqua" w:hAnsi="Book Antiqua" w:cs="Book Antiqua"/>
                <w:b/>
              </w:rPr>
              <w:t>On 26 June 2018</w:t>
            </w:r>
          </w:p>
        </w:tc>
      </w:tr>
      <w:tr w:rsidR="000700DA" w:rsidTr="002131D6">
        <w:trPr>
          <w:trHeight w:val="370"/>
        </w:trPr>
        <w:tc>
          <w:tcPr>
            <w:tcW w:w="6505" w:type="dxa"/>
            <w:shd w:val="clear" w:color="auto" w:fill="auto"/>
          </w:tcPr>
          <w:p w:rsidR="000700DA" w:rsidRDefault="000700DA">
            <w:pPr>
              <w:jc w:val="both"/>
              <w:rPr>
                <w:rFonts w:ascii="Book Antiqua" w:eastAsia="Book Antiqua" w:hAnsi="Book Antiqua" w:cs="Book Antiqua"/>
                <w:b/>
              </w:rPr>
            </w:pPr>
          </w:p>
        </w:tc>
        <w:tc>
          <w:tcPr>
            <w:tcW w:w="4259" w:type="dxa"/>
            <w:shd w:val="clear" w:color="auto" w:fill="auto"/>
          </w:tcPr>
          <w:p w:rsidR="000700DA" w:rsidRDefault="000700DA">
            <w:pPr>
              <w:jc w:val="both"/>
              <w:rPr>
                <w:rFonts w:ascii="Book Antiqua" w:eastAsia="Book Antiqua" w:hAnsi="Book Antiqua" w:cs="Book Antiqua"/>
                <w:b/>
              </w:rPr>
            </w:pPr>
          </w:p>
        </w:tc>
      </w:tr>
    </w:tbl>
    <w:p w:rsidR="000700DA" w:rsidRDefault="000700DA">
      <w:pPr>
        <w:jc w:val="center"/>
        <w:rPr>
          <w:rFonts w:ascii="Book Antiqua" w:eastAsia="Book Antiqua" w:hAnsi="Book Antiqua" w:cs="Book Antiqua"/>
        </w:rPr>
      </w:pPr>
    </w:p>
    <w:p w:rsidR="000700DA" w:rsidRDefault="000700DA">
      <w:pPr>
        <w:jc w:val="center"/>
        <w:rPr>
          <w:rFonts w:ascii="Book Antiqua" w:eastAsia="Book Antiqua" w:hAnsi="Book Antiqua" w:cs="Book Antiqua"/>
        </w:rPr>
      </w:pPr>
    </w:p>
    <w:p w:rsidR="000700DA" w:rsidRDefault="00706EF9">
      <w:pPr>
        <w:jc w:val="center"/>
        <w:rPr>
          <w:rFonts w:ascii="Book Antiqua" w:eastAsia="Book Antiqua" w:hAnsi="Book Antiqua" w:cs="Book Antiqua"/>
          <w:b/>
        </w:rPr>
      </w:pPr>
      <w:r>
        <w:rPr>
          <w:rFonts w:ascii="Book Antiqua" w:eastAsia="Book Antiqua" w:hAnsi="Book Antiqua" w:cs="Book Antiqua"/>
          <w:b/>
        </w:rPr>
        <w:t>Before</w:t>
      </w:r>
    </w:p>
    <w:p w:rsidR="000700DA" w:rsidRDefault="000700DA">
      <w:pPr>
        <w:jc w:val="center"/>
        <w:rPr>
          <w:rFonts w:ascii="Book Antiqua" w:eastAsia="Book Antiqua" w:hAnsi="Book Antiqua" w:cs="Book Antiqua"/>
          <w:b/>
        </w:rPr>
      </w:pPr>
    </w:p>
    <w:p w:rsidR="000700DA" w:rsidRDefault="00706EF9">
      <w:pPr>
        <w:jc w:val="center"/>
        <w:rPr>
          <w:rFonts w:ascii="Book Antiqua" w:eastAsia="Book Antiqua" w:hAnsi="Book Antiqua" w:cs="Book Antiqua"/>
          <w:b/>
          <w:color w:val="000000"/>
        </w:rPr>
      </w:pPr>
      <w:r>
        <w:rPr>
          <w:rFonts w:ascii="Book Antiqua" w:eastAsia="Book Antiqua" w:hAnsi="Book Antiqua" w:cs="Book Antiqua"/>
          <w:b/>
          <w:color w:val="000000"/>
        </w:rPr>
        <w:t>UPPER TRIBUNAL JUDGE KOPIECZEK</w:t>
      </w:r>
    </w:p>
    <w:p w:rsidR="000700DA" w:rsidRDefault="000700DA">
      <w:pPr>
        <w:jc w:val="center"/>
        <w:rPr>
          <w:rFonts w:ascii="Book Antiqua" w:eastAsia="Book Antiqua" w:hAnsi="Book Antiqua" w:cs="Book Antiqua"/>
          <w:b/>
        </w:rPr>
      </w:pPr>
    </w:p>
    <w:p w:rsidR="000700DA" w:rsidRDefault="00706EF9">
      <w:pPr>
        <w:jc w:val="center"/>
        <w:rPr>
          <w:rFonts w:ascii="Book Antiqua" w:eastAsia="Book Antiqua" w:hAnsi="Book Antiqua" w:cs="Book Antiqua"/>
          <w:b/>
        </w:rPr>
      </w:pPr>
      <w:r>
        <w:rPr>
          <w:rFonts w:ascii="Book Antiqua" w:eastAsia="Book Antiqua" w:hAnsi="Book Antiqua" w:cs="Book Antiqua"/>
          <w:b/>
        </w:rPr>
        <w:t>Between</w:t>
      </w:r>
    </w:p>
    <w:p w:rsidR="0062166F" w:rsidRDefault="0062166F">
      <w:pPr>
        <w:jc w:val="center"/>
        <w:rPr>
          <w:rFonts w:ascii="Book Antiqua" w:eastAsia="Book Antiqua" w:hAnsi="Book Antiqua" w:cs="Book Antiqua"/>
          <w:b/>
        </w:rPr>
      </w:pPr>
    </w:p>
    <w:p w:rsidR="000700DA" w:rsidRDefault="00F77A10">
      <w:pPr>
        <w:jc w:val="center"/>
        <w:rPr>
          <w:rFonts w:ascii="Book Antiqua" w:eastAsia="Book Antiqua" w:hAnsi="Book Antiqua" w:cs="Book Antiqua"/>
          <w:b/>
        </w:rPr>
      </w:pPr>
      <w:r>
        <w:rPr>
          <w:rFonts w:ascii="Book Antiqua" w:eastAsia="Book Antiqua" w:hAnsi="Book Antiqua" w:cs="Book Antiqua"/>
          <w:b/>
        </w:rPr>
        <w:t>FORID MIAH</w:t>
      </w:r>
    </w:p>
    <w:p w:rsidR="00C00386" w:rsidRDefault="00C00386">
      <w:pPr>
        <w:jc w:val="center"/>
        <w:rPr>
          <w:rFonts w:ascii="Book Antiqua" w:eastAsia="Book Antiqua" w:hAnsi="Book Antiqua" w:cs="Book Antiqua"/>
          <w:b/>
        </w:rPr>
      </w:pPr>
      <w:r>
        <w:rPr>
          <w:rFonts w:ascii="Book Antiqua" w:eastAsia="Book Antiqua" w:hAnsi="Book Antiqua" w:cs="Book Antiqua"/>
          <w:b/>
        </w:rPr>
        <w:t>(ANONYMITY DIRECTION NOT MADE)</w:t>
      </w:r>
    </w:p>
    <w:p w:rsidR="000700DA" w:rsidRDefault="00706EF9">
      <w:pPr>
        <w:jc w:val="right"/>
        <w:rPr>
          <w:rFonts w:ascii="Book Antiqua" w:eastAsia="Book Antiqua" w:hAnsi="Book Antiqua" w:cs="Book Antiqua"/>
          <w:u w:val="single"/>
        </w:rPr>
      </w:pPr>
      <w:r>
        <w:rPr>
          <w:rFonts w:ascii="Book Antiqua" w:eastAsia="Book Antiqua" w:hAnsi="Book Antiqua" w:cs="Book Antiqua"/>
          <w:u w:val="single"/>
        </w:rPr>
        <w:t>Appellant</w:t>
      </w:r>
    </w:p>
    <w:p w:rsidR="000700DA" w:rsidRDefault="00706EF9">
      <w:pPr>
        <w:jc w:val="center"/>
        <w:rPr>
          <w:rFonts w:ascii="Book Antiqua" w:eastAsia="Book Antiqua" w:hAnsi="Book Antiqua" w:cs="Book Antiqua"/>
          <w:b/>
        </w:rPr>
      </w:pPr>
      <w:r>
        <w:rPr>
          <w:rFonts w:ascii="Book Antiqua" w:eastAsia="Book Antiqua" w:hAnsi="Book Antiqua" w:cs="Book Antiqua"/>
          <w:b/>
        </w:rPr>
        <w:t>and</w:t>
      </w:r>
    </w:p>
    <w:p w:rsidR="000700DA" w:rsidRDefault="000700DA">
      <w:pPr>
        <w:jc w:val="center"/>
        <w:rPr>
          <w:rFonts w:ascii="Book Antiqua" w:eastAsia="Book Antiqua" w:hAnsi="Book Antiqua" w:cs="Book Antiqua"/>
          <w:b/>
        </w:rPr>
      </w:pPr>
    </w:p>
    <w:p w:rsidR="0062166F" w:rsidRDefault="0062166F" w:rsidP="0062166F">
      <w:pPr>
        <w:jc w:val="center"/>
        <w:rPr>
          <w:rFonts w:ascii="Book Antiqua" w:eastAsia="Book Antiqua" w:hAnsi="Book Antiqua" w:cs="Book Antiqua"/>
          <w:b/>
          <w:smallCaps/>
        </w:rPr>
      </w:pPr>
      <w:bookmarkStart w:id="4" w:name="gjdgxs" w:colFirst="0" w:colLast="0"/>
      <w:bookmarkEnd w:id="4"/>
    </w:p>
    <w:p w:rsidR="000700DA" w:rsidRPr="0062166F" w:rsidRDefault="00111FB1" w:rsidP="0062166F">
      <w:pPr>
        <w:jc w:val="center"/>
        <w:rPr>
          <w:rFonts w:ascii="Book Antiqua" w:eastAsia="Book Antiqua" w:hAnsi="Book Antiqua" w:cs="Book Antiqua"/>
          <w:b/>
          <w:smallCaps/>
        </w:rPr>
      </w:pPr>
      <w:r>
        <w:rPr>
          <w:rFonts w:ascii="Book Antiqua" w:eastAsia="Book Antiqua" w:hAnsi="Book Antiqua" w:cs="Book Antiqua"/>
          <w:b/>
          <w:smallCaps/>
        </w:rPr>
        <w:t>SECRETARY OF STATE FOR THE HOME DEPARTMENT</w:t>
      </w:r>
    </w:p>
    <w:p w:rsidR="000700DA" w:rsidRDefault="00706EF9">
      <w:pPr>
        <w:jc w:val="right"/>
        <w:rPr>
          <w:rFonts w:ascii="Book Antiqua" w:eastAsia="Book Antiqua" w:hAnsi="Book Antiqua" w:cs="Book Antiqua"/>
          <w:u w:val="single"/>
        </w:rPr>
      </w:pPr>
      <w:r>
        <w:rPr>
          <w:rFonts w:ascii="Book Antiqua" w:eastAsia="Book Antiqua" w:hAnsi="Book Antiqua" w:cs="Book Antiqua"/>
          <w:u w:val="single"/>
        </w:rPr>
        <w:t>Respondent</w:t>
      </w:r>
    </w:p>
    <w:p w:rsidR="000700DA" w:rsidRDefault="000700DA">
      <w:pPr>
        <w:rPr>
          <w:rFonts w:ascii="Book Antiqua" w:eastAsia="Book Antiqua" w:hAnsi="Book Antiqua" w:cs="Book Antiqua"/>
          <w:u w:val="single"/>
        </w:rPr>
      </w:pPr>
    </w:p>
    <w:p w:rsidR="000700DA" w:rsidRDefault="000700DA">
      <w:pPr>
        <w:rPr>
          <w:rFonts w:ascii="Book Antiqua" w:eastAsia="Book Antiqua" w:hAnsi="Book Antiqua" w:cs="Book Antiqua"/>
          <w:u w:val="single"/>
        </w:rPr>
      </w:pPr>
    </w:p>
    <w:p w:rsidR="000700DA" w:rsidRDefault="00706EF9">
      <w:pPr>
        <w:rPr>
          <w:rFonts w:ascii="Book Antiqua" w:eastAsia="Book Antiqua" w:hAnsi="Book Antiqua" w:cs="Book Antiqua"/>
        </w:rPr>
      </w:pPr>
      <w:r>
        <w:rPr>
          <w:rFonts w:ascii="Book Antiqua" w:eastAsia="Book Antiqua" w:hAnsi="Book Antiqua" w:cs="Book Antiqua"/>
          <w:b/>
          <w:u w:val="single"/>
        </w:rPr>
        <w:t>Representation</w:t>
      </w:r>
      <w:r>
        <w:rPr>
          <w:rFonts w:ascii="Book Antiqua" w:eastAsia="Book Antiqua" w:hAnsi="Book Antiqua" w:cs="Book Antiqua"/>
          <w:b/>
        </w:rPr>
        <w:t>:</w:t>
      </w:r>
    </w:p>
    <w:p w:rsidR="000700DA" w:rsidRDefault="000700DA">
      <w:pPr>
        <w:rPr>
          <w:rFonts w:ascii="Book Antiqua" w:eastAsia="Book Antiqua" w:hAnsi="Book Antiqua" w:cs="Book Antiqua"/>
        </w:rPr>
      </w:pPr>
    </w:p>
    <w:p w:rsidR="000700DA" w:rsidRDefault="00706EF9">
      <w:pPr>
        <w:tabs>
          <w:tab w:val="left" w:pos="2520"/>
        </w:tabs>
        <w:rPr>
          <w:rFonts w:ascii="Book Antiqua" w:eastAsia="Book Antiqua" w:hAnsi="Book Antiqua" w:cs="Book Antiqua"/>
        </w:rPr>
      </w:pPr>
      <w:r>
        <w:rPr>
          <w:rFonts w:ascii="Book Antiqua" w:eastAsia="Book Antiqua" w:hAnsi="Book Antiqua" w:cs="Book Antiqua"/>
        </w:rPr>
        <w:t>For the Appellant:</w:t>
      </w:r>
      <w:r w:rsidR="0062166F">
        <w:rPr>
          <w:rFonts w:ascii="Book Antiqua" w:eastAsia="Book Antiqua" w:hAnsi="Book Antiqua" w:cs="Book Antiqua"/>
        </w:rPr>
        <w:t xml:space="preserve"> </w:t>
      </w:r>
      <w:r w:rsidR="0005066B">
        <w:rPr>
          <w:rFonts w:ascii="Book Antiqua" w:eastAsia="Book Antiqua" w:hAnsi="Book Antiqua" w:cs="Book Antiqua"/>
        </w:rPr>
        <w:t xml:space="preserve">Ms L. </w:t>
      </w:r>
      <w:proofErr w:type="spellStart"/>
      <w:r w:rsidR="0005066B">
        <w:rPr>
          <w:rFonts w:ascii="Book Antiqua" w:eastAsia="Book Antiqua" w:hAnsi="Book Antiqua" w:cs="Book Antiqua"/>
        </w:rPr>
        <w:t>Profumo</w:t>
      </w:r>
      <w:proofErr w:type="spellEnd"/>
      <w:r w:rsidR="00E869B6">
        <w:rPr>
          <w:rFonts w:ascii="Book Antiqua" w:eastAsia="Book Antiqua" w:hAnsi="Book Antiqua" w:cs="Book Antiqua"/>
        </w:rPr>
        <w:t>, Counsel</w:t>
      </w:r>
    </w:p>
    <w:p w:rsidR="000700DA" w:rsidRDefault="00706EF9">
      <w:pPr>
        <w:tabs>
          <w:tab w:val="left" w:pos="2520"/>
        </w:tabs>
        <w:rPr>
          <w:rFonts w:ascii="Book Antiqua" w:eastAsia="Book Antiqua" w:hAnsi="Book Antiqua" w:cs="Book Antiqua"/>
        </w:rPr>
      </w:pPr>
      <w:r>
        <w:rPr>
          <w:rFonts w:ascii="Book Antiqua" w:eastAsia="Book Antiqua" w:hAnsi="Book Antiqua" w:cs="Book Antiqua"/>
        </w:rPr>
        <w:t>For the Respondent</w:t>
      </w:r>
      <w:r w:rsidR="0062166F">
        <w:rPr>
          <w:rFonts w:ascii="Book Antiqua" w:eastAsia="Book Antiqua" w:hAnsi="Book Antiqua" w:cs="Book Antiqua"/>
        </w:rPr>
        <w:t>s</w:t>
      </w:r>
      <w:r>
        <w:rPr>
          <w:rFonts w:ascii="Book Antiqua" w:eastAsia="Book Antiqua" w:hAnsi="Book Antiqua" w:cs="Book Antiqua"/>
        </w:rPr>
        <w:t>:</w:t>
      </w:r>
      <w:r w:rsidR="00111FB1" w:rsidRPr="00111FB1">
        <w:rPr>
          <w:rFonts w:ascii="Book Antiqua" w:eastAsia="Book Antiqua" w:hAnsi="Book Antiqua" w:cs="Book Antiqua"/>
        </w:rPr>
        <w:t xml:space="preserve"> </w:t>
      </w:r>
      <w:r w:rsidR="005907FD">
        <w:rPr>
          <w:rFonts w:ascii="Book Antiqua" w:eastAsia="Book Antiqua" w:hAnsi="Book Antiqua" w:cs="Book Antiqua"/>
        </w:rPr>
        <w:t xml:space="preserve">Mr </w:t>
      </w:r>
      <w:r w:rsidR="00512C99">
        <w:rPr>
          <w:rFonts w:ascii="Book Antiqua" w:eastAsia="Book Antiqua" w:hAnsi="Book Antiqua" w:cs="Book Antiqua"/>
        </w:rPr>
        <w:t>P. Duffy</w:t>
      </w:r>
      <w:r w:rsidR="005907FD">
        <w:rPr>
          <w:rFonts w:ascii="Book Antiqua" w:eastAsia="Book Antiqua" w:hAnsi="Book Antiqua" w:cs="Book Antiqua"/>
        </w:rPr>
        <w:t xml:space="preserve">, </w:t>
      </w:r>
      <w:r w:rsidR="00111FB1">
        <w:rPr>
          <w:rFonts w:ascii="Book Antiqua" w:eastAsia="Book Antiqua" w:hAnsi="Book Antiqua" w:cs="Book Antiqua"/>
        </w:rPr>
        <w:t>Senior Home Office Presenting Officer</w:t>
      </w:r>
    </w:p>
    <w:p w:rsidR="000700DA" w:rsidRDefault="000700DA">
      <w:pPr>
        <w:tabs>
          <w:tab w:val="left" w:pos="2520"/>
        </w:tabs>
        <w:jc w:val="center"/>
        <w:rPr>
          <w:rFonts w:ascii="Book Antiqua" w:eastAsia="Book Antiqua" w:hAnsi="Book Antiqua" w:cs="Book Antiqua"/>
        </w:rPr>
      </w:pPr>
    </w:p>
    <w:p w:rsidR="000700DA" w:rsidRDefault="000700DA">
      <w:pPr>
        <w:tabs>
          <w:tab w:val="left" w:pos="2520"/>
        </w:tabs>
        <w:jc w:val="center"/>
        <w:rPr>
          <w:rFonts w:ascii="Book Antiqua" w:eastAsia="Book Antiqua" w:hAnsi="Book Antiqua" w:cs="Book Antiqua"/>
        </w:rPr>
      </w:pPr>
    </w:p>
    <w:p w:rsidR="000700DA" w:rsidRDefault="00706EF9">
      <w:pPr>
        <w:tabs>
          <w:tab w:val="left" w:pos="2520"/>
        </w:tabs>
        <w:jc w:val="center"/>
        <w:rPr>
          <w:rFonts w:ascii="Book Antiqua" w:eastAsia="Book Antiqua" w:hAnsi="Book Antiqua" w:cs="Book Antiqua"/>
        </w:rPr>
      </w:pPr>
      <w:r>
        <w:rPr>
          <w:rFonts w:ascii="Book Antiqua" w:eastAsia="Book Antiqua" w:hAnsi="Book Antiqua" w:cs="Book Antiqua"/>
          <w:b/>
          <w:u w:val="single"/>
        </w:rPr>
        <w:t>DECISION AND REASONS</w:t>
      </w:r>
    </w:p>
    <w:p w:rsidR="000700DA" w:rsidRDefault="000700DA">
      <w:pPr>
        <w:tabs>
          <w:tab w:val="left" w:pos="2520"/>
        </w:tabs>
        <w:jc w:val="both"/>
        <w:rPr>
          <w:rFonts w:ascii="Book Antiqua" w:eastAsia="Book Antiqua" w:hAnsi="Book Antiqua" w:cs="Book Antiqua"/>
        </w:rPr>
      </w:pPr>
    </w:p>
    <w:p w:rsidR="00A851D2" w:rsidRPr="00A851D2" w:rsidRDefault="0007639D" w:rsidP="0062166F">
      <w:pPr>
        <w:numPr>
          <w:ilvl w:val="0"/>
          <w:numId w:val="2"/>
        </w:numPr>
        <w:spacing w:before="240"/>
        <w:jc w:val="both"/>
        <w:rPr>
          <w:rFonts w:ascii="Book Antiqua" w:hAnsi="Book Antiqua"/>
        </w:rPr>
      </w:pPr>
      <w:r>
        <w:rPr>
          <w:rFonts w:ascii="Book Antiqua" w:eastAsia="Book Antiqua" w:hAnsi="Book Antiqua" w:cs="Book Antiqua"/>
        </w:rPr>
        <w:t xml:space="preserve">Although an anonymity order was made in the First-tier Tribunal, I am not satisfied that there is </w:t>
      </w:r>
      <w:r w:rsidR="00A851D2">
        <w:rPr>
          <w:rFonts w:ascii="Book Antiqua" w:eastAsia="Book Antiqua" w:hAnsi="Book Antiqua" w:cs="Book Antiqua"/>
        </w:rPr>
        <w:t xml:space="preserve">any longer </w:t>
      </w:r>
      <w:r>
        <w:rPr>
          <w:rFonts w:ascii="Book Antiqua" w:eastAsia="Book Antiqua" w:hAnsi="Book Antiqua" w:cs="Book Antiqua"/>
        </w:rPr>
        <w:t>the need for such an order</w:t>
      </w:r>
      <w:r w:rsidR="00A851D2">
        <w:rPr>
          <w:rFonts w:ascii="Book Antiqua" w:eastAsia="Book Antiqua" w:hAnsi="Book Antiqua" w:cs="Book Antiqua"/>
        </w:rPr>
        <w:t>.</w:t>
      </w:r>
    </w:p>
    <w:p w:rsidR="008E0652" w:rsidRPr="005E5C33" w:rsidRDefault="00706EF9" w:rsidP="0062166F">
      <w:pPr>
        <w:numPr>
          <w:ilvl w:val="0"/>
          <w:numId w:val="2"/>
        </w:numPr>
        <w:spacing w:before="240"/>
        <w:jc w:val="both"/>
        <w:rPr>
          <w:rFonts w:ascii="Book Antiqua" w:hAnsi="Book Antiqua"/>
        </w:rPr>
      </w:pPr>
      <w:r w:rsidRPr="00512C99">
        <w:rPr>
          <w:rFonts w:ascii="Book Antiqua" w:eastAsia="Book Antiqua" w:hAnsi="Book Antiqua" w:cs="Book Antiqua"/>
        </w:rPr>
        <w:lastRenderedPageBreak/>
        <w:t>Th</w:t>
      </w:r>
      <w:r w:rsidR="000A1414" w:rsidRPr="00512C99">
        <w:rPr>
          <w:rFonts w:ascii="Book Antiqua" w:eastAsia="Book Antiqua" w:hAnsi="Book Antiqua" w:cs="Book Antiqua"/>
        </w:rPr>
        <w:t>e appellan</w:t>
      </w:r>
      <w:r w:rsidR="00512C99" w:rsidRPr="00512C99">
        <w:rPr>
          <w:rFonts w:ascii="Book Antiqua" w:eastAsia="Book Antiqua" w:hAnsi="Book Antiqua" w:cs="Book Antiqua"/>
        </w:rPr>
        <w:t>t</w:t>
      </w:r>
      <w:r w:rsidR="00512C99">
        <w:rPr>
          <w:rFonts w:ascii="Book Antiqua" w:eastAsia="Book Antiqua" w:hAnsi="Book Antiqua" w:cs="Book Antiqua"/>
        </w:rPr>
        <w:t xml:space="preserve"> </w:t>
      </w:r>
      <w:r w:rsidR="00AB288F" w:rsidRPr="00512C99">
        <w:rPr>
          <w:rFonts w:ascii="Book Antiqua" w:eastAsia="Book Antiqua" w:hAnsi="Book Antiqua" w:cs="Book Antiqua"/>
        </w:rPr>
        <w:t xml:space="preserve">is a citizen of </w:t>
      </w:r>
      <w:r w:rsidR="00512C99">
        <w:rPr>
          <w:rFonts w:ascii="Book Antiqua" w:eastAsia="Book Antiqua" w:hAnsi="Book Antiqua" w:cs="Book Antiqua"/>
        </w:rPr>
        <w:t>Bangladesh</w:t>
      </w:r>
      <w:r w:rsidR="00AB288F" w:rsidRPr="00512C99">
        <w:rPr>
          <w:rFonts w:ascii="Book Antiqua" w:eastAsia="Book Antiqua" w:hAnsi="Book Antiqua" w:cs="Book Antiqua"/>
        </w:rPr>
        <w:t>, born in 19</w:t>
      </w:r>
      <w:r w:rsidR="00273E01">
        <w:rPr>
          <w:rFonts w:ascii="Book Antiqua" w:eastAsia="Book Antiqua" w:hAnsi="Book Antiqua" w:cs="Book Antiqua"/>
        </w:rPr>
        <w:t>8</w:t>
      </w:r>
      <w:r w:rsidR="00AB288F" w:rsidRPr="00512C99">
        <w:rPr>
          <w:rFonts w:ascii="Book Antiqua" w:eastAsia="Book Antiqua" w:hAnsi="Book Antiqua" w:cs="Book Antiqua"/>
        </w:rPr>
        <w:t xml:space="preserve">6. </w:t>
      </w:r>
      <w:r w:rsidR="00510913">
        <w:rPr>
          <w:rFonts w:ascii="Book Antiqua" w:eastAsia="Book Antiqua" w:hAnsi="Book Antiqua" w:cs="Book Antiqua"/>
        </w:rPr>
        <w:t xml:space="preserve">He came to the UK </w:t>
      </w:r>
      <w:r w:rsidR="004C38E5">
        <w:rPr>
          <w:rFonts w:ascii="Book Antiqua" w:eastAsia="Book Antiqua" w:hAnsi="Book Antiqua" w:cs="Book Antiqua"/>
        </w:rPr>
        <w:t xml:space="preserve">as a visitor in </w:t>
      </w:r>
      <w:r w:rsidR="00C910BE">
        <w:rPr>
          <w:rFonts w:ascii="Book Antiqua" w:eastAsia="Book Antiqua" w:hAnsi="Book Antiqua" w:cs="Book Antiqua"/>
        </w:rPr>
        <w:t xml:space="preserve">2011 or </w:t>
      </w:r>
      <w:r w:rsidR="004C38E5">
        <w:rPr>
          <w:rFonts w:ascii="Book Antiqua" w:eastAsia="Book Antiqua" w:hAnsi="Book Antiqua" w:cs="Book Antiqua"/>
        </w:rPr>
        <w:t>2012</w:t>
      </w:r>
      <w:r w:rsidR="00C910BE">
        <w:rPr>
          <w:rFonts w:ascii="Book Antiqua" w:eastAsia="Book Antiqua" w:hAnsi="Book Antiqua" w:cs="Book Antiqua"/>
        </w:rPr>
        <w:t xml:space="preserve"> (</w:t>
      </w:r>
      <w:r w:rsidR="001E2079">
        <w:rPr>
          <w:rFonts w:ascii="Book Antiqua" w:eastAsia="Book Antiqua" w:hAnsi="Book Antiqua" w:cs="Book Antiqua"/>
        </w:rPr>
        <w:t>per the appellant’s witness statement dated 12 August 2015 or his asylum interview, respectively)</w:t>
      </w:r>
      <w:r w:rsidR="003C21B1">
        <w:rPr>
          <w:rFonts w:ascii="Book Antiqua" w:eastAsia="Book Antiqua" w:hAnsi="Book Antiqua" w:cs="Book Antiqua"/>
        </w:rPr>
        <w:t>. The respondent’s case is that it was 2012.</w:t>
      </w:r>
      <w:r w:rsidR="008211C9">
        <w:rPr>
          <w:rFonts w:ascii="Book Antiqua" w:eastAsia="Book Antiqua" w:hAnsi="Book Antiqua" w:cs="Book Antiqua"/>
        </w:rPr>
        <w:t xml:space="preserve"> He claimed asylum </w:t>
      </w:r>
      <w:r w:rsidR="005E5C33">
        <w:rPr>
          <w:rFonts w:ascii="Book Antiqua" w:eastAsia="Book Antiqua" w:hAnsi="Book Antiqua" w:cs="Book Antiqua"/>
        </w:rPr>
        <w:t>on 3 August 2015.</w:t>
      </w:r>
    </w:p>
    <w:p w:rsidR="00EA460B" w:rsidRPr="009A4A19" w:rsidRDefault="005E5C33" w:rsidP="0062166F">
      <w:pPr>
        <w:numPr>
          <w:ilvl w:val="0"/>
          <w:numId w:val="2"/>
        </w:numPr>
        <w:spacing w:before="240"/>
        <w:jc w:val="both"/>
        <w:rPr>
          <w:rFonts w:ascii="Book Antiqua" w:hAnsi="Book Antiqua"/>
        </w:rPr>
      </w:pPr>
      <w:r w:rsidRPr="005E5C33">
        <w:rPr>
          <w:rFonts w:ascii="Book Antiqua" w:hAnsi="Book Antiqua"/>
        </w:rPr>
        <w:t xml:space="preserve">His claim was refused and his </w:t>
      </w:r>
      <w:r>
        <w:rPr>
          <w:rFonts w:ascii="Book Antiqua" w:hAnsi="Book Antiqua"/>
        </w:rPr>
        <w:t>appeal against</w:t>
      </w:r>
      <w:r w:rsidR="008E0652" w:rsidRPr="005E5C33">
        <w:rPr>
          <w:rFonts w:ascii="Book Antiqua" w:eastAsia="Book Antiqua" w:hAnsi="Book Antiqua" w:cs="Book Antiqua"/>
        </w:rPr>
        <w:t xml:space="preserve"> that decision came before </w:t>
      </w:r>
      <w:r w:rsidR="00EB2454" w:rsidRPr="005E5C33">
        <w:rPr>
          <w:rFonts w:ascii="Book Antiqua" w:eastAsia="Book Antiqua" w:hAnsi="Book Antiqua" w:cs="Book Antiqua"/>
        </w:rPr>
        <w:t xml:space="preserve">First-tier Tribunal Judge </w:t>
      </w:r>
      <w:r w:rsidR="00276F07">
        <w:rPr>
          <w:rFonts w:ascii="Book Antiqua" w:eastAsia="Book Antiqua" w:hAnsi="Book Antiqua" w:cs="Book Antiqua"/>
        </w:rPr>
        <w:t xml:space="preserve">A.M. </w:t>
      </w:r>
      <w:r w:rsidR="00EB2454" w:rsidRPr="005E5C33">
        <w:rPr>
          <w:rFonts w:ascii="Book Antiqua" w:eastAsia="Book Antiqua" w:hAnsi="Book Antiqua" w:cs="Book Antiqua"/>
        </w:rPr>
        <w:t>B</w:t>
      </w:r>
      <w:r>
        <w:rPr>
          <w:rFonts w:ascii="Book Antiqua" w:eastAsia="Book Antiqua" w:hAnsi="Book Antiqua" w:cs="Book Antiqua"/>
        </w:rPr>
        <w:t>lack</w:t>
      </w:r>
      <w:r w:rsidR="00EB2454" w:rsidRPr="005E5C33">
        <w:rPr>
          <w:rFonts w:ascii="Book Antiqua" w:eastAsia="Book Antiqua" w:hAnsi="Book Antiqua" w:cs="Book Antiqua"/>
        </w:rPr>
        <w:t xml:space="preserve"> (“the </w:t>
      </w:r>
      <w:proofErr w:type="spellStart"/>
      <w:r w:rsidR="00EB2454" w:rsidRPr="005E5C33">
        <w:rPr>
          <w:rFonts w:ascii="Book Antiqua" w:eastAsia="Book Antiqua" w:hAnsi="Book Antiqua" w:cs="Book Antiqua"/>
        </w:rPr>
        <w:t>FtJ</w:t>
      </w:r>
      <w:proofErr w:type="spellEnd"/>
      <w:r w:rsidR="00EB2454" w:rsidRPr="005E5C33">
        <w:rPr>
          <w:rFonts w:ascii="Book Antiqua" w:eastAsia="Book Antiqua" w:hAnsi="Book Antiqua" w:cs="Book Antiqua"/>
        </w:rPr>
        <w:t xml:space="preserve">”) on </w:t>
      </w:r>
      <w:r w:rsidR="004B182D">
        <w:rPr>
          <w:rFonts w:ascii="Book Antiqua" w:eastAsia="Book Antiqua" w:hAnsi="Book Antiqua" w:cs="Book Antiqua"/>
        </w:rPr>
        <w:t xml:space="preserve">5 June </w:t>
      </w:r>
      <w:r w:rsidR="00EB2454" w:rsidRPr="005E5C33">
        <w:rPr>
          <w:rFonts w:ascii="Book Antiqua" w:eastAsia="Book Antiqua" w:hAnsi="Book Antiqua" w:cs="Book Antiqua"/>
        </w:rPr>
        <w:t>2017</w:t>
      </w:r>
      <w:r w:rsidR="004B182D">
        <w:rPr>
          <w:rFonts w:ascii="Book Antiqua" w:eastAsia="Book Antiqua" w:hAnsi="Book Antiqua" w:cs="Book Antiqua"/>
        </w:rPr>
        <w:t xml:space="preserve"> following which she </w:t>
      </w:r>
      <w:r w:rsidR="00FE6736" w:rsidRPr="005E5C33">
        <w:rPr>
          <w:rFonts w:ascii="Book Antiqua" w:eastAsia="Book Antiqua" w:hAnsi="Book Antiqua" w:cs="Book Antiqua"/>
        </w:rPr>
        <w:t>dismissed the appeal</w:t>
      </w:r>
      <w:r w:rsidR="00EA460B" w:rsidRPr="005E5C33">
        <w:rPr>
          <w:rFonts w:ascii="Book Antiqua" w:eastAsia="Book Antiqua" w:hAnsi="Book Antiqua" w:cs="Book Antiqua"/>
        </w:rPr>
        <w:t>.</w:t>
      </w:r>
    </w:p>
    <w:p w:rsidR="009A4A19" w:rsidRDefault="009A4A19" w:rsidP="0062166F">
      <w:pPr>
        <w:numPr>
          <w:ilvl w:val="0"/>
          <w:numId w:val="2"/>
        </w:numPr>
        <w:spacing w:before="240"/>
        <w:jc w:val="both"/>
        <w:rPr>
          <w:rFonts w:ascii="Book Antiqua" w:hAnsi="Book Antiqua"/>
        </w:rPr>
      </w:pPr>
      <w:r>
        <w:rPr>
          <w:rFonts w:ascii="Book Antiqua" w:hAnsi="Book Antiqua"/>
        </w:rPr>
        <w:t xml:space="preserve">The basis of the appellant’s claim is that </w:t>
      </w:r>
      <w:r w:rsidR="003D7681">
        <w:rPr>
          <w:rFonts w:ascii="Book Antiqua" w:hAnsi="Book Antiqua"/>
        </w:rPr>
        <w:t xml:space="preserve">he is an Ahmadi Muslim who was active in </w:t>
      </w:r>
      <w:r w:rsidR="009F28E1">
        <w:rPr>
          <w:rFonts w:ascii="Book Antiqua" w:hAnsi="Book Antiqua"/>
        </w:rPr>
        <w:t>the faith before coming to the UK</w:t>
      </w:r>
      <w:r w:rsidR="00DB1A48">
        <w:rPr>
          <w:rFonts w:ascii="Book Antiqua" w:hAnsi="Book Antiqua"/>
        </w:rPr>
        <w:t xml:space="preserve">, including in campaigning for the rights of the faith. </w:t>
      </w:r>
      <w:r w:rsidR="00606009">
        <w:rPr>
          <w:rFonts w:ascii="Book Antiqua" w:hAnsi="Book Antiqua"/>
        </w:rPr>
        <w:t>On 18 June 2009 he was distributing leaflets in Bangladesh when he and others were</w:t>
      </w:r>
      <w:r w:rsidR="008A3F7F">
        <w:rPr>
          <w:rFonts w:ascii="Book Antiqua" w:hAnsi="Book Antiqua"/>
        </w:rPr>
        <w:t xml:space="preserve"> attacked by </w:t>
      </w:r>
      <w:bookmarkStart w:id="5" w:name="_Hlk517340664"/>
      <w:r w:rsidR="00F569EA">
        <w:rPr>
          <w:rFonts w:ascii="Book Antiqua" w:hAnsi="Book Antiqua"/>
        </w:rPr>
        <w:t>Jamaat-e-</w:t>
      </w:r>
      <w:proofErr w:type="spellStart"/>
      <w:r w:rsidR="00F569EA">
        <w:rPr>
          <w:rFonts w:ascii="Book Antiqua" w:hAnsi="Book Antiqua"/>
        </w:rPr>
        <w:t>Islami</w:t>
      </w:r>
      <w:bookmarkEnd w:id="5"/>
      <w:proofErr w:type="spellEnd"/>
      <w:r w:rsidR="00F569EA">
        <w:rPr>
          <w:rFonts w:ascii="Book Antiqua" w:hAnsi="Book Antiqua"/>
        </w:rPr>
        <w:t xml:space="preserve"> and then</w:t>
      </w:r>
      <w:r w:rsidR="00606009">
        <w:rPr>
          <w:rFonts w:ascii="Book Antiqua" w:hAnsi="Book Antiqua"/>
        </w:rPr>
        <w:t xml:space="preserve"> arrested by the police. He was detained and tortured</w:t>
      </w:r>
      <w:r w:rsidR="00C5549A">
        <w:rPr>
          <w:rFonts w:ascii="Book Antiqua" w:hAnsi="Book Antiqua"/>
        </w:rPr>
        <w:t xml:space="preserve">. He was charged with </w:t>
      </w:r>
      <w:r w:rsidR="009828CD">
        <w:rPr>
          <w:rFonts w:ascii="Book Antiqua" w:hAnsi="Book Antiqua"/>
        </w:rPr>
        <w:t>an offence</w:t>
      </w:r>
      <w:r w:rsidR="009069DF">
        <w:rPr>
          <w:rFonts w:ascii="Book Antiqua" w:hAnsi="Book Antiqua"/>
        </w:rPr>
        <w:t>. He was released on bail on 24 June and taken to hospital where he remained until</w:t>
      </w:r>
      <w:r w:rsidR="00B31781">
        <w:rPr>
          <w:rFonts w:ascii="Book Antiqua" w:hAnsi="Book Antiqua"/>
        </w:rPr>
        <w:t xml:space="preserve"> 28 June. In hospital he was treated for an injury to his right leg and for a fractured skull</w:t>
      </w:r>
      <w:r w:rsidR="00AC4421">
        <w:rPr>
          <w:rFonts w:ascii="Book Antiqua" w:hAnsi="Book Antiqua"/>
        </w:rPr>
        <w:t>. He was re-admitted because of an infection and remained in hospital between 2 and 4 July</w:t>
      </w:r>
      <w:r w:rsidR="006E1ED9">
        <w:rPr>
          <w:rFonts w:ascii="Book Antiqua" w:hAnsi="Book Antiqua"/>
        </w:rPr>
        <w:t xml:space="preserve"> 2009.</w:t>
      </w:r>
    </w:p>
    <w:p w:rsidR="005F0C77" w:rsidRDefault="005F0C77" w:rsidP="0062166F">
      <w:pPr>
        <w:numPr>
          <w:ilvl w:val="0"/>
          <w:numId w:val="2"/>
        </w:numPr>
        <w:spacing w:before="240"/>
        <w:jc w:val="both"/>
        <w:rPr>
          <w:rFonts w:ascii="Book Antiqua" w:hAnsi="Book Antiqua"/>
        </w:rPr>
      </w:pPr>
      <w:r>
        <w:rPr>
          <w:rFonts w:ascii="Book Antiqua" w:hAnsi="Book Antiqua"/>
        </w:rPr>
        <w:t>He left Bangladesh because he feared</w:t>
      </w:r>
      <w:r w:rsidR="0019188D">
        <w:rPr>
          <w:rFonts w:ascii="Book Antiqua" w:hAnsi="Book Antiqua"/>
        </w:rPr>
        <w:t xml:space="preserve"> persecution by</w:t>
      </w:r>
      <w:r>
        <w:rPr>
          <w:rFonts w:ascii="Book Antiqua" w:hAnsi="Book Antiqua"/>
        </w:rPr>
        <w:t xml:space="preserve"> Jamaat-e-</w:t>
      </w:r>
      <w:proofErr w:type="spellStart"/>
      <w:r>
        <w:rPr>
          <w:rFonts w:ascii="Book Antiqua" w:hAnsi="Book Antiqua"/>
        </w:rPr>
        <w:t>Islami</w:t>
      </w:r>
      <w:proofErr w:type="spellEnd"/>
      <w:r w:rsidR="0019188D">
        <w:rPr>
          <w:rFonts w:ascii="Book Antiqua" w:hAnsi="Book Antiqua"/>
        </w:rPr>
        <w:t xml:space="preserve"> and the Bangladeshi authorities</w:t>
      </w:r>
      <w:r w:rsidR="00FD0EC5">
        <w:rPr>
          <w:rFonts w:ascii="Book Antiqua" w:hAnsi="Book Antiqua"/>
        </w:rPr>
        <w:t>, meaning that he cannot return.</w:t>
      </w:r>
    </w:p>
    <w:p w:rsidR="006E1ED9" w:rsidRPr="005E5C33" w:rsidRDefault="006E1ED9" w:rsidP="0062166F">
      <w:pPr>
        <w:numPr>
          <w:ilvl w:val="0"/>
          <w:numId w:val="2"/>
        </w:numPr>
        <w:spacing w:before="240"/>
        <w:jc w:val="both"/>
        <w:rPr>
          <w:rFonts w:ascii="Book Antiqua" w:hAnsi="Book Antiqua"/>
        </w:rPr>
      </w:pPr>
      <w:r>
        <w:rPr>
          <w:rFonts w:ascii="Book Antiqua" w:hAnsi="Book Antiqua"/>
        </w:rPr>
        <w:t>As a result of being tortured in detention he is said to be suffering from mental health problems.</w:t>
      </w:r>
    </w:p>
    <w:p w:rsidR="00EA460B" w:rsidRPr="00EA460B" w:rsidRDefault="00EA460B" w:rsidP="00EA460B">
      <w:pPr>
        <w:spacing w:before="240"/>
        <w:ind w:left="567"/>
        <w:jc w:val="both"/>
        <w:rPr>
          <w:rFonts w:ascii="Book Antiqua" w:hAnsi="Book Antiqua"/>
          <w:i/>
        </w:rPr>
      </w:pPr>
      <w:r>
        <w:rPr>
          <w:rFonts w:ascii="Book Antiqua" w:hAnsi="Book Antiqua"/>
          <w:i/>
        </w:rPr>
        <w:t>The grounds and submissions</w:t>
      </w:r>
    </w:p>
    <w:p w:rsidR="00830FC5" w:rsidRDefault="00EA460B" w:rsidP="00D0075A">
      <w:pPr>
        <w:numPr>
          <w:ilvl w:val="0"/>
          <w:numId w:val="2"/>
        </w:numPr>
        <w:spacing w:before="240"/>
        <w:jc w:val="both"/>
        <w:rPr>
          <w:rFonts w:ascii="Book Antiqua" w:hAnsi="Book Antiqua"/>
        </w:rPr>
      </w:pPr>
      <w:r>
        <w:rPr>
          <w:rFonts w:ascii="Book Antiqua" w:hAnsi="Book Antiqua"/>
        </w:rPr>
        <w:t xml:space="preserve">The </w:t>
      </w:r>
      <w:r w:rsidR="001D1D34">
        <w:rPr>
          <w:rFonts w:ascii="Book Antiqua" w:hAnsi="Book Antiqua"/>
        </w:rPr>
        <w:t xml:space="preserve">grounds of appeal in relation to the </w:t>
      </w:r>
      <w:proofErr w:type="spellStart"/>
      <w:r w:rsidR="001D1D34">
        <w:rPr>
          <w:rFonts w:ascii="Book Antiqua" w:hAnsi="Book Antiqua"/>
        </w:rPr>
        <w:t>FtJ’s</w:t>
      </w:r>
      <w:proofErr w:type="spellEnd"/>
      <w:r w:rsidR="001D1D34">
        <w:rPr>
          <w:rFonts w:ascii="Book Antiqua" w:hAnsi="Book Antiqua"/>
        </w:rPr>
        <w:t xml:space="preserve"> decision</w:t>
      </w:r>
      <w:r w:rsidR="001D46FF">
        <w:rPr>
          <w:rFonts w:ascii="Book Antiqua" w:hAnsi="Book Antiqua"/>
        </w:rPr>
        <w:t xml:space="preserve">, to summarise, contend that the </w:t>
      </w:r>
      <w:proofErr w:type="spellStart"/>
      <w:r w:rsidR="001D46FF">
        <w:rPr>
          <w:rFonts w:ascii="Book Antiqua" w:hAnsi="Book Antiqua"/>
        </w:rPr>
        <w:t>FtJ</w:t>
      </w:r>
      <w:proofErr w:type="spellEnd"/>
      <w:r w:rsidR="001D46FF">
        <w:rPr>
          <w:rFonts w:ascii="Book Antiqua" w:hAnsi="Book Antiqua"/>
        </w:rPr>
        <w:t xml:space="preserve"> </w:t>
      </w:r>
      <w:r w:rsidR="00BC2366">
        <w:rPr>
          <w:rFonts w:ascii="Book Antiqua" w:hAnsi="Book Antiqua"/>
        </w:rPr>
        <w:t xml:space="preserve">failed to give clear or adequate reasons for rejecting documentary evidence </w:t>
      </w:r>
      <w:r w:rsidR="007A462D">
        <w:rPr>
          <w:rFonts w:ascii="Book Antiqua" w:hAnsi="Book Antiqua"/>
        </w:rPr>
        <w:t xml:space="preserve">including </w:t>
      </w:r>
      <w:proofErr w:type="gramStart"/>
      <w:r w:rsidR="007A462D">
        <w:rPr>
          <w:rFonts w:ascii="Book Antiqua" w:hAnsi="Book Antiqua"/>
        </w:rPr>
        <w:t>an</w:t>
      </w:r>
      <w:proofErr w:type="gramEnd"/>
      <w:r w:rsidR="007A462D">
        <w:rPr>
          <w:rFonts w:ascii="Book Antiqua" w:hAnsi="Book Antiqua"/>
        </w:rPr>
        <w:t xml:space="preserve"> FIR (First Information Report)</w:t>
      </w:r>
      <w:r w:rsidR="0021794A">
        <w:rPr>
          <w:rFonts w:ascii="Book Antiqua" w:hAnsi="Book Antiqua"/>
        </w:rPr>
        <w:t>,</w:t>
      </w:r>
      <w:r w:rsidR="007A462D">
        <w:rPr>
          <w:rFonts w:ascii="Book Antiqua" w:hAnsi="Book Antiqua"/>
        </w:rPr>
        <w:t xml:space="preserve"> charge sheet</w:t>
      </w:r>
      <w:r w:rsidR="0021794A">
        <w:rPr>
          <w:rFonts w:ascii="Book Antiqua" w:hAnsi="Book Antiqua"/>
        </w:rPr>
        <w:t xml:space="preserve"> and arrest warrant. She had said that the documents were not</w:t>
      </w:r>
      <w:r w:rsidR="004200FD">
        <w:rPr>
          <w:rFonts w:ascii="Book Antiqua" w:hAnsi="Book Antiqua"/>
        </w:rPr>
        <w:t xml:space="preserve"> “wholly reliable”, which was not clear</w:t>
      </w:r>
      <w:r w:rsidR="001C4167">
        <w:rPr>
          <w:rFonts w:ascii="Book Antiqua" w:hAnsi="Book Antiqua"/>
        </w:rPr>
        <w:t xml:space="preserve"> as to what was meant</w:t>
      </w:r>
      <w:r w:rsidR="004200FD">
        <w:rPr>
          <w:rFonts w:ascii="Book Antiqua" w:hAnsi="Book Antiqua"/>
        </w:rPr>
        <w:t xml:space="preserve">. </w:t>
      </w:r>
    </w:p>
    <w:p w:rsidR="00D0075A" w:rsidRDefault="00D665AA" w:rsidP="00D0075A">
      <w:pPr>
        <w:numPr>
          <w:ilvl w:val="0"/>
          <w:numId w:val="2"/>
        </w:numPr>
        <w:spacing w:before="240"/>
        <w:jc w:val="both"/>
        <w:rPr>
          <w:rFonts w:ascii="Book Antiqua" w:hAnsi="Book Antiqua"/>
        </w:rPr>
      </w:pPr>
      <w:r>
        <w:rPr>
          <w:rFonts w:ascii="Book Antiqua" w:hAnsi="Book Antiqua"/>
        </w:rPr>
        <w:t xml:space="preserve">Although she had referred to </w:t>
      </w:r>
      <w:r w:rsidR="00584DAE">
        <w:rPr>
          <w:rFonts w:ascii="Book Antiqua" w:hAnsi="Book Antiqua"/>
        </w:rPr>
        <w:t xml:space="preserve">false documents being readily available in Bangladesh, the background report which it appears that the </w:t>
      </w:r>
      <w:proofErr w:type="spellStart"/>
      <w:r w:rsidR="00584DAE">
        <w:rPr>
          <w:rFonts w:ascii="Book Antiqua" w:hAnsi="Book Antiqua"/>
        </w:rPr>
        <w:t>FtJ</w:t>
      </w:r>
      <w:proofErr w:type="spellEnd"/>
      <w:r w:rsidR="00584DAE">
        <w:rPr>
          <w:rFonts w:ascii="Book Antiqua" w:hAnsi="Book Antiqua"/>
        </w:rPr>
        <w:t xml:space="preserve"> was referring to does not itself refer to </w:t>
      </w:r>
      <w:r w:rsidR="00C92C61">
        <w:rPr>
          <w:rFonts w:ascii="Book Antiqua" w:hAnsi="Book Antiqua"/>
        </w:rPr>
        <w:t xml:space="preserve">court documents. The Canadian Immigration Report was not a </w:t>
      </w:r>
      <w:r w:rsidR="0002346A">
        <w:rPr>
          <w:rFonts w:ascii="Book Antiqua" w:hAnsi="Book Antiqua"/>
        </w:rPr>
        <w:t>sufficient</w:t>
      </w:r>
      <w:r w:rsidR="00C92C61">
        <w:rPr>
          <w:rFonts w:ascii="Book Antiqua" w:hAnsi="Book Antiqua"/>
        </w:rPr>
        <w:t xml:space="preserve"> basis for rejecting the documentary evidence</w:t>
      </w:r>
      <w:r w:rsidR="009B6C57">
        <w:rPr>
          <w:rFonts w:ascii="Book Antiqua" w:hAnsi="Book Antiqua"/>
        </w:rPr>
        <w:t xml:space="preserve"> and concern had been expressed in </w:t>
      </w:r>
      <w:r w:rsidR="004E7118">
        <w:rPr>
          <w:rFonts w:ascii="Book Antiqua" w:hAnsi="Book Antiqua"/>
        </w:rPr>
        <w:t xml:space="preserve">a case cited in the grounds as </w:t>
      </w:r>
      <w:proofErr w:type="spellStart"/>
      <w:r w:rsidR="004E7118">
        <w:rPr>
          <w:rFonts w:ascii="Book Antiqua" w:hAnsi="Book Antiqua"/>
          <w:i/>
        </w:rPr>
        <w:t>Chinder</w:t>
      </w:r>
      <w:proofErr w:type="spellEnd"/>
      <w:r w:rsidR="004E7118">
        <w:rPr>
          <w:rFonts w:ascii="Book Antiqua" w:hAnsi="Book Antiqua"/>
          <w:i/>
        </w:rPr>
        <w:t xml:space="preserve"> Singh</w:t>
      </w:r>
      <w:r w:rsidR="004E7118">
        <w:rPr>
          <w:rFonts w:ascii="Book Antiqua" w:hAnsi="Book Antiqua"/>
        </w:rPr>
        <w:t xml:space="preserve"> (G0055) (sic)</w:t>
      </w:r>
      <w:r w:rsidR="001C4167">
        <w:rPr>
          <w:rFonts w:ascii="Book Antiqua" w:hAnsi="Book Antiqua"/>
        </w:rPr>
        <w:t xml:space="preserve"> in relation to </w:t>
      </w:r>
      <w:r w:rsidR="002E1B6F">
        <w:rPr>
          <w:rFonts w:ascii="Book Antiqua" w:hAnsi="Book Antiqua"/>
        </w:rPr>
        <w:t>the partiality of the employees of the Canadian authorities</w:t>
      </w:r>
      <w:r w:rsidR="001C4167">
        <w:rPr>
          <w:rFonts w:ascii="Book Antiqua" w:hAnsi="Book Antiqua"/>
        </w:rPr>
        <w:t>,</w:t>
      </w:r>
      <w:r w:rsidR="002E1B6F">
        <w:rPr>
          <w:rFonts w:ascii="Book Antiqua" w:hAnsi="Book Antiqua"/>
        </w:rPr>
        <w:t xml:space="preserve"> including its immigration service.</w:t>
      </w:r>
      <w:r w:rsidR="00830FC5">
        <w:rPr>
          <w:rFonts w:ascii="Book Antiqua" w:hAnsi="Book Antiqua"/>
        </w:rPr>
        <w:t xml:space="preserve"> It is asserted that the </w:t>
      </w:r>
      <w:proofErr w:type="spellStart"/>
      <w:r w:rsidR="00830FC5">
        <w:rPr>
          <w:rFonts w:ascii="Book Antiqua" w:hAnsi="Book Antiqua"/>
        </w:rPr>
        <w:t>FtJ</w:t>
      </w:r>
      <w:proofErr w:type="spellEnd"/>
      <w:r w:rsidR="00830FC5">
        <w:rPr>
          <w:rFonts w:ascii="Book Antiqua" w:hAnsi="Book Antiqua"/>
        </w:rPr>
        <w:t xml:space="preserve"> had failed to give anxious scrutiny to the appellant’s documents and h</w:t>
      </w:r>
      <w:r w:rsidR="001C41CF">
        <w:rPr>
          <w:rFonts w:ascii="Book Antiqua" w:hAnsi="Book Antiqua"/>
        </w:rPr>
        <w:t xml:space="preserve">er reasoning was based </w:t>
      </w:r>
      <w:r w:rsidR="001C4167">
        <w:rPr>
          <w:rFonts w:ascii="Book Antiqua" w:hAnsi="Book Antiqua"/>
        </w:rPr>
        <w:t>on</w:t>
      </w:r>
      <w:r w:rsidR="001C41CF">
        <w:rPr>
          <w:rFonts w:ascii="Book Antiqua" w:hAnsi="Book Antiqua"/>
        </w:rPr>
        <w:t xml:space="preserve"> “conjecture and speculation”.</w:t>
      </w:r>
    </w:p>
    <w:p w:rsidR="00B87195" w:rsidRDefault="00B27FC2" w:rsidP="00D0075A">
      <w:pPr>
        <w:numPr>
          <w:ilvl w:val="0"/>
          <w:numId w:val="2"/>
        </w:numPr>
        <w:spacing w:before="240"/>
        <w:jc w:val="both"/>
        <w:rPr>
          <w:rFonts w:ascii="Book Antiqua" w:hAnsi="Book Antiqua"/>
        </w:rPr>
      </w:pPr>
      <w:r>
        <w:rPr>
          <w:rFonts w:ascii="Book Antiqua" w:hAnsi="Book Antiqua"/>
        </w:rPr>
        <w:t xml:space="preserve">It is next asserted in the grounds that the </w:t>
      </w:r>
      <w:proofErr w:type="spellStart"/>
      <w:r>
        <w:rPr>
          <w:rFonts w:ascii="Book Antiqua" w:hAnsi="Book Antiqua"/>
        </w:rPr>
        <w:t>FtJ</w:t>
      </w:r>
      <w:proofErr w:type="spellEnd"/>
      <w:r>
        <w:rPr>
          <w:rFonts w:ascii="Book Antiqua" w:hAnsi="Book Antiqua"/>
        </w:rPr>
        <w:t xml:space="preserve"> had failed to give the medical report </w:t>
      </w:r>
      <w:r w:rsidR="006542B1">
        <w:rPr>
          <w:rFonts w:ascii="Book Antiqua" w:hAnsi="Book Antiqua"/>
        </w:rPr>
        <w:t xml:space="preserve">from a consultant psychiatrist adequate weight </w:t>
      </w:r>
      <w:r w:rsidR="00563EA2">
        <w:rPr>
          <w:rFonts w:ascii="Book Antiqua" w:hAnsi="Book Antiqua"/>
        </w:rPr>
        <w:t xml:space="preserve">and failed to provide adequate reasons in relation to her assessment of it. The report by a Dr </w:t>
      </w:r>
      <w:proofErr w:type="spellStart"/>
      <w:r w:rsidR="00563EA2">
        <w:rPr>
          <w:rFonts w:ascii="Book Antiqua" w:hAnsi="Book Antiqua"/>
        </w:rPr>
        <w:t>Srikumar</w:t>
      </w:r>
      <w:proofErr w:type="spellEnd"/>
      <w:r w:rsidR="00563EA2">
        <w:rPr>
          <w:rFonts w:ascii="Book Antiqua" w:hAnsi="Book Antiqua"/>
        </w:rPr>
        <w:t xml:space="preserve"> concluded that the appellant was suffering from, inter alia,</w:t>
      </w:r>
      <w:r w:rsidR="00B87195">
        <w:rPr>
          <w:rFonts w:ascii="Book Antiqua" w:hAnsi="Book Antiqua"/>
        </w:rPr>
        <w:t xml:space="preserve"> severe PTSD, including problems with his memory. It is asserted that the </w:t>
      </w:r>
      <w:proofErr w:type="spellStart"/>
      <w:r w:rsidR="00B87195">
        <w:rPr>
          <w:rFonts w:ascii="Book Antiqua" w:hAnsi="Book Antiqua"/>
        </w:rPr>
        <w:t>FtJ</w:t>
      </w:r>
      <w:proofErr w:type="spellEnd"/>
      <w:r w:rsidR="00B87195">
        <w:rPr>
          <w:rFonts w:ascii="Book Antiqua" w:hAnsi="Book Antiqua"/>
        </w:rPr>
        <w:t xml:space="preserve"> provided “very subjective reasoning” in concluding that the report should not be given very much weight. </w:t>
      </w:r>
    </w:p>
    <w:p w:rsidR="00B87195" w:rsidRDefault="00B87195" w:rsidP="00D0075A">
      <w:pPr>
        <w:numPr>
          <w:ilvl w:val="0"/>
          <w:numId w:val="2"/>
        </w:numPr>
        <w:spacing w:before="240"/>
        <w:jc w:val="both"/>
        <w:rPr>
          <w:rFonts w:ascii="Book Antiqua" w:hAnsi="Book Antiqua"/>
        </w:rPr>
      </w:pPr>
      <w:r>
        <w:rPr>
          <w:rFonts w:ascii="Book Antiqua" w:hAnsi="Book Antiqua"/>
        </w:rPr>
        <w:lastRenderedPageBreak/>
        <w:t xml:space="preserve">In relation to background evidence, the grounds contend that the </w:t>
      </w:r>
      <w:proofErr w:type="spellStart"/>
      <w:r>
        <w:rPr>
          <w:rFonts w:ascii="Book Antiqua" w:hAnsi="Book Antiqua"/>
        </w:rPr>
        <w:t>FtJ</w:t>
      </w:r>
      <w:proofErr w:type="spellEnd"/>
      <w:r>
        <w:rPr>
          <w:rFonts w:ascii="Book Antiqua" w:hAnsi="Book Antiqua"/>
        </w:rPr>
        <w:t xml:space="preserve"> had failed to take it into account. Any references to background conditions were generic. She should have considered the credibility of the claim against that background evidence. </w:t>
      </w:r>
    </w:p>
    <w:p w:rsidR="001C41CF" w:rsidRDefault="00B87195" w:rsidP="00D0075A">
      <w:pPr>
        <w:numPr>
          <w:ilvl w:val="0"/>
          <w:numId w:val="2"/>
        </w:numPr>
        <w:spacing w:before="240"/>
        <w:jc w:val="both"/>
        <w:rPr>
          <w:rFonts w:ascii="Book Antiqua" w:hAnsi="Book Antiqua"/>
        </w:rPr>
      </w:pPr>
      <w:r>
        <w:rPr>
          <w:rFonts w:ascii="Book Antiqua" w:hAnsi="Book Antiqua"/>
        </w:rPr>
        <w:t xml:space="preserve">In her very able submissions Ms </w:t>
      </w:r>
      <w:proofErr w:type="spellStart"/>
      <w:r>
        <w:rPr>
          <w:rFonts w:ascii="Book Antiqua" w:hAnsi="Book Antiqua"/>
        </w:rPr>
        <w:t>Profumo</w:t>
      </w:r>
      <w:proofErr w:type="spellEnd"/>
      <w:r>
        <w:rPr>
          <w:rFonts w:ascii="Book Antiqua" w:hAnsi="Book Antiqua"/>
        </w:rPr>
        <w:t xml:space="preserve"> relied on those grounds. </w:t>
      </w:r>
      <w:r w:rsidR="00B27FC2">
        <w:rPr>
          <w:rFonts w:ascii="Book Antiqua" w:hAnsi="Book Antiqua"/>
        </w:rPr>
        <w:t xml:space="preserve"> </w:t>
      </w:r>
      <w:r>
        <w:rPr>
          <w:rFonts w:ascii="Book Antiqua" w:hAnsi="Book Antiqua"/>
        </w:rPr>
        <w:t>In relation to</w:t>
      </w:r>
      <w:r w:rsidR="001C4167">
        <w:rPr>
          <w:rFonts w:ascii="Book Antiqua" w:hAnsi="Book Antiqua"/>
        </w:rPr>
        <w:t xml:space="preserve"> the</w:t>
      </w:r>
      <w:r>
        <w:rPr>
          <w:rFonts w:ascii="Book Antiqua" w:hAnsi="Book Antiqua"/>
        </w:rPr>
        <w:t xml:space="preserve"> medical</w:t>
      </w:r>
      <w:r w:rsidR="001C4167">
        <w:rPr>
          <w:rFonts w:ascii="Book Antiqua" w:hAnsi="Book Antiqua"/>
        </w:rPr>
        <w:t xml:space="preserve"> (psychiatric)</w:t>
      </w:r>
      <w:r>
        <w:rPr>
          <w:rFonts w:ascii="Book Antiqua" w:hAnsi="Book Antiqua"/>
        </w:rPr>
        <w:t xml:space="preserve"> evidence </w:t>
      </w:r>
      <w:r w:rsidR="001C4167">
        <w:rPr>
          <w:rFonts w:ascii="Book Antiqua" w:hAnsi="Book Antiqua"/>
        </w:rPr>
        <w:t xml:space="preserve">it was submitted that </w:t>
      </w:r>
      <w:r>
        <w:rPr>
          <w:rFonts w:ascii="Book Antiqua" w:hAnsi="Book Antiqua"/>
        </w:rPr>
        <w:t xml:space="preserve">one was able to see in the report the doctor’s methodology and the process by which he arrived at his diagnosis. </w:t>
      </w:r>
    </w:p>
    <w:p w:rsidR="00B87195" w:rsidRDefault="00B87195" w:rsidP="00D0075A">
      <w:pPr>
        <w:numPr>
          <w:ilvl w:val="0"/>
          <w:numId w:val="2"/>
        </w:numPr>
        <w:spacing w:before="240"/>
        <w:jc w:val="both"/>
        <w:rPr>
          <w:rFonts w:ascii="Book Antiqua" w:hAnsi="Book Antiqua"/>
        </w:rPr>
      </w:pPr>
      <w:r>
        <w:rPr>
          <w:rFonts w:ascii="Book Antiqua" w:hAnsi="Book Antiqua"/>
        </w:rPr>
        <w:t>Although the appellant had provided a detailed witness statement, the means by which it was created</w:t>
      </w:r>
      <w:r w:rsidR="0062328F">
        <w:rPr>
          <w:rFonts w:ascii="Book Antiqua" w:hAnsi="Book Antiqua"/>
        </w:rPr>
        <w:t xml:space="preserve">, over 12 or 13 visits to the </w:t>
      </w:r>
      <w:r w:rsidR="001C4167">
        <w:rPr>
          <w:rFonts w:ascii="Book Antiqua" w:hAnsi="Book Antiqua"/>
        </w:rPr>
        <w:t>solicitor</w:t>
      </w:r>
      <w:r w:rsidR="0062328F">
        <w:rPr>
          <w:rFonts w:ascii="Book Antiqua" w:hAnsi="Book Antiqua"/>
        </w:rPr>
        <w:t>,</w:t>
      </w:r>
      <w:r>
        <w:rPr>
          <w:rFonts w:ascii="Book Antiqua" w:hAnsi="Book Antiqua"/>
        </w:rPr>
        <w:t xml:space="preserve"> was explained on behalf of the appellant. The fact of the</w:t>
      </w:r>
      <w:r w:rsidR="001C4167">
        <w:rPr>
          <w:rFonts w:ascii="Book Antiqua" w:hAnsi="Book Antiqua"/>
        </w:rPr>
        <w:t>re</w:t>
      </w:r>
      <w:r>
        <w:rPr>
          <w:rFonts w:ascii="Book Antiqua" w:hAnsi="Book Antiqua"/>
        </w:rPr>
        <w:t xml:space="preserve"> being a detailed witness statement did not therefore undermine that aspect of the claim that relied on the appellant’s memory problems. </w:t>
      </w:r>
      <w:r w:rsidR="0062328F">
        <w:rPr>
          <w:rFonts w:ascii="Book Antiqua" w:hAnsi="Book Antiqua"/>
        </w:rPr>
        <w:t>In his asylum interview he had been unable to remember most things.</w:t>
      </w:r>
    </w:p>
    <w:p w:rsidR="0062328F" w:rsidRDefault="0062328F" w:rsidP="00D0075A">
      <w:pPr>
        <w:numPr>
          <w:ilvl w:val="0"/>
          <w:numId w:val="2"/>
        </w:numPr>
        <w:spacing w:before="240"/>
        <w:jc w:val="both"/>
        <w:rPr>
          <w:rFonts w:ascii="Book Antiqua" w:hAnsi="Book Antiqua"/>
        </w:rPr>
      </w:pPr>
      <w:r>
        <w:rPr>
          <w:rFonts w:ascii="Book Antiqua" w:hAnsi="Book Antiqua"/>
        </w:rPr>
        <w:t xml:space="preserve">In any event, the </w:t>
      </w:r>
      <w:proofErr w:type="spellStart"/>
      <w:r>
        <w:rPr>
          <w:rFonts w:ascii="Book Antiqua" w:hAnsi="Book Antiqua"/>
        </w:rPr>
        <w:t>FtJ</w:t>
      </w:r>
      <w:proofErr w:type="spellEnd"/>
      <w:r>
        <w:rPr>
          <w:rFonts w:ascii="Book Antiqua" w:hAnsi="Book Antiqua"/>
        </w:rPr>
        <w:t xml:space="preserve"> had accepted the fact of the underlying medical condition and the hospital discharge notes. </w:t>
      </w:r>
    </w:p>
    <w:p w:rsidR="0062328F" w:rsidRDefault="0062328F" w:rsidP="00D0075A">
      <w:pPr>
        <w:numPr>
          <w:ilvl w:val="0"/>
          <w:numId w:val="2"/>
        </w:numPr>
        <w:spacing w:before="240"/>
        <w:jc w:val="both"/>
        <w:rPr>
          <w:rFonts w:ascii="Book Antiqua" w:hAnsi="Book Antiqua"/>
        </w:rPr>
      </w:pPr>
      <w:r>
        <w:rPr>
          <w:rFonts w:ascii="Book Antiqua" w:hAnsi="Book Antiqua"/>
        </w:rPr>
        <w:t xml:space="preserve">It was submitted that there was an inadequate consideration of the documentary evidence. At [44] the </w:t>
      </w:r>
      <w:proofErr w:type="spellStart"/>
      <w:r>
        <w:rPr>
          <w:rFonts w:ascii="Book Antiqua" w:hAnsi="Book Antiqua"/>
        </w:rPr>
        <w:t>FtJ</w:t>
      </w:r>
      <w:proofErr w:type="spellEnd"/>
      <w:r>
        <w:rPr>
          <w:rFonts w:ascii="Book Antiqua" w:hAnsi="Book Antiqua"/>
        </w:rPr>
        <w:t xml:space="preserve"> had said that the documentary evidence was not </w:t>
      </w:r>
      <w:r w:rsidR="001C4167">
        <w:rPr>
          <w:rFonts w:ascii="Book Antiqua" w:hAnsi="Book Antiqua"/>
        </w:rPr>
        <w:t>“</w:t>
      </w:r>
      <w:r>
        <w:rPr>
          <w:rFonts w:ascii="Book Antiqua" w:hAnsi="Book Antiqua"/>
        </w:rPr>
        <w:t>wholly reliable</w:t>
      </w:r>
      <w:r w:rsidR="001C4167">
        <w:rPr>
          <w:rFonts w:ascii="Book Antiqua" w:hAnsi="Book Antiqua"/>
        </w:rPr>
        <w:t>”</w:t>
      </w:r>
      <w:r>
        <w:rPr>
          <w:rFonts w:ascii="Book Antiqua" w:hAnsi="Book Antiqua"/>
        </w:rPr>
        <w:t xml:space="preserve"> but that was only based on the background evidence of the availability of false documents. The analysis of the documentary evidence that there was, was insufficient. Further, what the </w:t>
      </w:r>
      <w:proofErr w:type="spellStart"/>
      <w:r>
        <w:rPr>
          <w:rFonts w:ascii="Book Antiqua" w:hAnsi="Book Antiqua"/>
        </w:rPr>
        <w:t>FtJ</w:t>
      </w:r>
      <w:proofErr w:type="spellEnd"/>
      <w:r>
        <w:rPr>
          <w:rFonts w:ascii="Book Antiqua" w:hAnsi="Book Antiqua"/>
        </w:rPr>
        <w:t xml:space="preserve"> said at [44] in terms of the documentary evidence not being reliable was inconsistent with the conclusion at [50] about the documents being unreliable. </w:t>
      </w:r>
    </w:p>
    <w:p w:rsidR="0062328F" w:rsidRDefault="0062328F" w:rsidP="00D0075A">
      <w:pPr>
        <w:numPr>
          <w:ilvl w:val="0"/>
          <w:numId w:val="2"/>
        </w:numPr>
        <w:spacing w:before="240"/>
        <w:jc w:val="both"/>
        <w:rPr>
          <w:rFonts w:ascii="Book Antiqua" w:hAnsi="Book Antiqua"/>
        </w:rPr>
      </w:pPr>
      <w:r>
        <w:rPr>
          <w:rFonts w:ascii="Book Antiqua" w:hAnsi="Book Antiqua"/>
        </w:rPr>
        <w:t xml:space="preserve">As to the background evidence, the </w:t>
      </w:r>
      <w:proofErr w:type="spellStart"/>
      <w:r>
        <w:rPr>
          <w:rFonts w:ascii="Book Antiqua" w:hAnsi="Book Antiqua"/>
        </w:rPr>
        <w:t>FtJ</w:t>
      </w:r>
      <w:proofErr w:type="spellEnd"/>
      <w:r>
        <w:rPr>
          <w:rFonts w:ascii="Book Antiqua" w:hAnsi="Book Antiqua"/>
        </w:rPr>
        <w:t xml:space="preserve"> needed to have considered theoretical credibility against that background evidence which supported the appellant’s claim to fear persecution on return, and his claim of past events.</w:t>
      </w:r>
    </w:p>
    <w:p w:rsidR="0062328F" w:rsidRDefault="0062328F" w:rsidP="00D0075A">
      <w:pPr>
        <w:numPr>
          <w:ilvl w:val="0"/>
          <w:numId w:val="2"/>
        </w:numPr>
        <w:spacing w:before="240"/>
        <w:jc w:val="both"/>
        <w:rPr>
          <w:rFonts w:ascii="Book Antiqua" w:hAnsi="Book Antiqua"/>
        </w:rPr>
      </w:pPr>
      <w:r>
        <w:rPr>
          <w:rFonts w:ascii="Book Antiqua" w:hAnsi="Book Antiqua"/>
        </w:rPr>
        <w:t xml:space="preserve">In his submissions Mr Duffy referred to various aspects of the </w:t>
      </w:r>
      <w:proofErr w:type="spellStart"/>
      <w:r>
        <w:rPr>
          <w:rFonts w:ascii="Book Antiqua" w:hAnsi="Book Antiqua"/>
        </w:rPr>
        <w:t>FtJ’s</w:t>
      </w:r>
      <w:proofErr w:type="spellEnd"/>
      <w:r>
        <w:rPr>
          <w:rFonts w:ascii="Book Antiqua" w:hAnsi="Book Antiqua"/>
        </w:rPr>
        <w:t xml:space="preserve"> decision in support of the contention that </w:t>
      </w:r>
      <w:r w:rsidR="001C4167">
        <w:rPr>
          <w:rFonts w:ascii="Book Antiqua" w:hAnsi="Book Antiqua"/>
        </w:rPr>
        <w:t xml:space="preserve">her </w:t>
      </w:r>
      <w:r>
        <w:rPr>
          <w:rFonts w:ascii="Book Antiqua" w:hAnsi="Book Antiqua"/>
        </w:rPr>
        <w:t xml:space="preserve">reasons were legally adequate. The ground in relation to the medical evidence amounted only to a disagreement with the </w:t>
      </w:r>
      <w:proofErr w:type="spellStart"/>
      <w:r>
        <w:rPr>
          <w:rFonts w:ascii="Book Antiqua" w:hAnsi="Book Antiqua"/>
        </w:rPr>
        <w:t>FtJ’s</w:t>
      </w:r>
      <w:proofErr w:type="spellEnd"/>
      <w:r>
        <w:rPr>
          <w:rFonts w:ascii="Book Antiqua" w:hAnsi="Book Antiqua"/>
        </w:rPr>
        <w:t xml:space="preserve"> decision. </w:t>
      </w:r>
      <w:proofErr w:type="gramStart"/>
      <w:r>
        <w:rPr>
          <w:rFonts w:ascii="Book Antiqua" w:hAnsi="Book Antiqua"/>
        </w:rPr>
        <w:t>Likewise</w:t>
      </w:r>
      <w:proofErr w:type="gramEnd"/>
      <w:r>
        <w:rPr>
          <w:rFonts w:ascii="Book Antiqua" w:hAnsi="Book Antiqua"/>
        </w:rPr>
        <w:t xml:space="preserve"> the second ground in relation to the documentary evidence. Her reasons were not based simply on the fact that false documents can be obtained in Bangladesh but on the various discrepancies in them. There was no inconsistency in her conclusions. </w:t>
      </w:r>
    </w:p>
    <w:p w:rsidR="001E352B" w:rsidRDefault="001E352B" w:rsidP="00D0075A">
      <w:pPr>
        <w:numPr>
          <w:ilvl w:val="0"/>
          <w:numId w:val="2"/>
        </w:numPr>
        <w:spacing w:before="240"/>
        <w:jc w:val="both"/>
        <w:rPr>
          <w:rFonts w:ascii="Book Antiqua" w:hAnsi="Book Antiqua"/>
        </w:rPr>
      </w:pPr>
      <w:r>
        <w:rPr>
          <w:rFonts w:ascii="Book Antiqua" w:hAnsi="Book Antiqua"/>
        </w:rPr>
        <w:t xml:space="preserve">Furthermore, she had been entitled to take into account the appellant’s delay in claiming asylum. In relation to the background evidence, the </w:t>
      </w:r>
      <w:proofErr w:type="spellStart"/>
      <w:r>
        <w:rPr>
          <w:rFonts w:ascii="Book Antiqua" w:hAnsi="Book Antiqua"/>
        </w:rPr>
        <w:t>FtJ</w:t>
      </w:r>
      <w:proofErr w:type="spellEnd"/>
      <w:r>
        <w:rPr>
          <w:rFonts w:ascii="Book Antiqua" w:hAnsi="Book Antiqua"/>
        </w:rPr>
        <w:t xml:space="preserve"> did not say that there was any inherent implausibility in the claim.</w:t>
      </w:r>
    </w:p>
    <w:p w:rsidR="001E352B" w:rsidRDefault="001E352B" w:rsidP="00D0075A">
      <w:pPr>
        <w:numPr>
          <w:ilvl w:val="0"/>
          <w:numId w:val="2"/>
        </w:numPr>
        <w:spacing w:before="240"/>
        <w:jc w:val="both"/>
        <w:rPr>
          <w:rFonts w:ascii="Book Antiqua" w:hAnsi="Book Antiqua"/>
        </w:rPr>
      </w:pPr>
      <w:r>
        <w:rPr>
          <w:rFonts w:ascii="Book Antiqua" w:hAnsi="Book Antiqua"/>
        </w:rPr>
        <w:t xml:space="preserve">In reply, Ms </w:t>
      </w:r>
      <w:proofErr w:type="spellStart"/>
      <w:r>
        <w:rPr>
          <w:rFonts w:ascii="Book Antiqua" w:hAnsi="Book Antiqua"/>
        </w:rPr>
        <w:t>Profumo</w:t>
      </w:r>
      <w:proofErr w:type="spellEnd"/>
      <w:r>
        <w:rPr>
          <w:rFonts w:ascii="Book Antiqua" w:hAnsi="Book Antiqua"/>
        </w:rPr>
        <w:t xml:space="preserve"> said that it was not argued that the </w:t>
      </w:r>
      <w:proofErr w:type="spellStart"/>
      <w:r>
        <w:rPr>
          <w:rFonts w:ascii="Book Antiqua" w:hAnsi="Book Antiqua"/>
        </w:rPr>
        <w:t>FtJ</w:t>
      </w:r>
      <w:proofErr w:type="spellEnd"/>
      <w:r>
        <w:rPr>
          <w:rFonts w:ascii="Book Antiqua" w:hAnsi="Book Antiqua"/>
        </w:rPr>
        <w:t xml:space="preserve"> had not considered the psychiatric report but that her reasons for not attributing any weight to it were not sufficient. It was not open to her to find that the witness statement was inconsistent with the claimed inability to remember. Little consideration was given to the fact that the appellant’s cousin brought the documents from Bangladesh, and the fax from the attorney there. </w:t>
      </w:r>
    </w:p>
    <w:p w:rsidR="001C4167" w:rsidRDefault="001C4167" w:rsidP="001E352B">
      <w:pPr>
        <w:spacing w:before="240"/>
        <w:ind w:left="567"/>
        <w:jc w:val="both"/>
        <w:rPr>
          <w:rFonts w:ascii="Book Antiqua" w:hAnsi="Book Antiqua"/>
          <w:i/>
        </w:rPr>
      </w:pPr>
    </w:p>
    <w:p w:rsidR="001E352B" w:rsidRPr="002F6E39" w:rsidRDefault="002F6E39" w:rsidP="001E352B">
      <w:pPr>
        <w:spacing w:before="240"/>
        <w:ind w:left="567"/>
        <w:jc w:val="both"/>
        <w:rPr>
          <w:rFonts w:ascii="Book Antiqua" w:hAnsi="Book Antiqua"/>
          <w:i/>
        </w:rPr>
      </w:pPr>
      <w:r>
        <w:rPr>
          <w:rFonts w:ascii="Book Antiqua" w:hAnsi="Book Antiqua"/>
          <w:i/>
        </w:rPr>
        <w:lastRenderedPageBreak/>
        <w:t>Assessment and Conclusions</w:t>
      </w:r>
    </w:p>
    <w:p w:rsidR="00F77538" w:rsidRDefault="008076A9" w:rsidP="00D0075A">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gave a comprehensive summary of the respective parties’ cases and identified the </w:t>
      </w:r>
      <w:r w:rsidR="00FC0E56">
        <w:rPr>
          <w:rFonts w:ascii="Book Antiqua" w:hAnsi="Book Antiqua"/>
        </w:rPr>
        <w:t xml:space="preserve">documentary evidence that was before her. It was accepted on behalf of the respondent before her that the appellant </w:t>
      </w:r>
      <w:r w:rsidR="0009082F">
        <w:rPr>
          <w:rFonts w:ascii="Book Antiqua" w:hAnsi="Book Antiqua"/>
        </w:rPr>
        <w:t xml:space="preserve">was suffering from “mental health issues” but the respondent did not </w:t>
      </w:r>
      <w:r w:rsidR="0002346A">
        <w:rPr>
          <w:rFonts w:ascii="Book Antiqua" w:hAnsi="Book Antiqua"/>
        </w:rPr>
        <w:t>concede</w:t>
      </w:r>
      <w:r w:rsidR="0009082F">
        <w:rPr>
          <w:rFonts w:ascii="Book Antiqua" w:hAnsi="Book Antiqua"/>
        </w:rPr>
        <w:t xml:space="preserve"> the causes </w:t>
      </w:r>
      <w:r w:rsidR="005A6FF3">
        <w:rPr>
          <w:rFonts w:ascii="Book Antiqua" w:hAnsi="Book Antiqua"/>
        </w:rPr>
        <w:t xml:space="preserve">or the extent of those conditions. </w:t>
      </w:r>
    </w:p>
    <w:p w:rsidR="001E352B" w:rsidRDefault="005A6FF3" w:rsidP="00D0075A">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referred to the Joint Presidential Guidance Note of 2010 in relation to vulnerable </w:t>
      </w:r>
      <w:r w:rsidR="001F53EA">
        <w:rPr>
          <w:rFonts w:ascii="Book Antiqua" w:hAnsi="Book Antiqua"/>
        </w:rPr>
        <w:t>persons</w:t>
      </w:r>
      <w:r w:rsidR="0047486B">
        <w:rPr>
          <w:rFonts w:ascii="Book Antiqua" w:hAnsi="Book Antiqua"/>
        </w:rPr>
        <w:t>. The appellant did not give</w:t>
      </w:r>
      <w:r w:rsidR="00567BC7">
        <w:rPr>
          <w:rFonts w:ascii="Book Antiqua" w:hAnsi="Book Antiqua"/>
        </w:rPr>
        <w:t xml:space="preserve"> oral</w:t>
      </w:r>
      <w:r w:rsidR="0047486B">
        <w:rPr>
          <w:rFonts w:ascii="Book Antiqua" w:hAnsi="Book Antiqua"/>
        </w:rPr>
        <w:t xml:space="preserve"> evidence</w:t>
      </w:r>
      <w:r w:rsidR="00567BC7">
        <w:rPr>
          <w:rFonts w:ascii="Book Antiqua" w:hAnsi="Book Antiqua"/>
        </w:rPr>
        <w:t xml:space="preserve"> before the </w:t>
      </w:r>
      <w:proofErr w:type="spellStart"/>
      <w:r w:rsidR="00567BC7">
        <w:rPr>
          <w:rFonts w:ascii="Book Antiqua" w:hAnsi="Book Antiqua"/>
        </w:rPr>
        <w:t>FtJ</w:t>
      </w:r>
      <w:proofErr w:type="spellEnd"/>
      <w:r w:rsidR="00EF6753">
        <w:rPr>
          <w:rFonts w:ascii="Book Antiqua" w:hAnsi="Book Antiqua"/>
        </w:rPr>
        <w:t xml:space="preserve"> and at [5] the arrangements for the conduct of the hearing are </w:t>
      </w:r>
      <w:r w:rsidR="00B77787">
        <w:rPr>
          <w:rFonts w:ascii="Book Antiqua" w:hAnsi="Book Antiqua"/>
        </w:rPr>
        <w:t xml:space="preserve">set out. The </w:t>
      </w:r>
      <w:proofErr w:type="spellStart"/>
      <w:r w:rsidR="00B77787">
        <w:rPr>
          <w:rFonts w:ascii="Book Antiqua" w:hAnsi="Book Antiqua"/>
        </w:rPr>
        <w:t>FtJ</w:t>
      </w:r>
      <w:proofErr w:type="spellEnd"/>
      <w:r w:rsidR="00B77787">
        <w:rPr>
          <w:rFonts w:ascii="Book Antiqua" w:hAnsi="Book Antiqua"/>
        </w:rPr>
        <w:t xml:space="preserve"> noted in that paragraph that the appellant did not appear to engage with the </w:t>
      </w:r>
      <w:r w:rsidR="00CD104C">
        <w:rPr>
          <w:rFonts w:ascii="Book Antiqua" w:hAnsi="Book Antiqua"/>
        </w:rPr>
        <w:t xml:space="preserve">hearing at all. She heard oral evidence from a Mr </w:t>
      </w:r>
      <w:proofErr w:type="spellStart"/>
      <w:r w:rsidR="00CD104C">
        <w:rPr>
          <w:rFonts w:ascii="Book Antiqua" w:hAnsi="Book Antiqua"/>
        </w:rPr>
        <w:t>Nozmul</w:t>
      </w:r>
      <w:proofErr w:type="spellEnd"/>
      <w:r w:rsidR="00CD104C">
        <w:rPr>
          <w:rFonts w:ascii="Book Antiqua" w:hAnsi="Book Antiqua"/>
        </w:rPr>
        <w:t xml:space="preserve"> Islam</w:t>
      </w:r>
      <w:r w:rsidR="001E5D6B">
        <w:rPr>
          <w:rFonts w:ascii="Book Antiqua" w:hAnsi="Book Antiqua"/>
        </w:rPr>
        <w:t>, his cousin.</w:t>
      </w:r>
      <w:r w:rsidR="0047486B">
        <w:rPr>
          <w:rFonts w:ascii="Book Antiqua" w:hAnsi="Book Antiqua"/>
        </w:rPr>
        <w:t xml:space="preserve"> </w:t>
      </w:r>
    </w:p>
    <w:p w:rsidR="00146D06" w:rsidRDefault="004460FE" w:rsidP="00146D06">
      <w:pPr>
        <w:numPr>
          <w:ilvl w:val="0"/>
          <w:numId w:val="2"/>
        </w:numPr>
        <w:spacing w:before="240"/>
        <w:jc w:val="both"/>
        <w:rPr>
          <w:rFonts w:ascii="Book Antiqua" w:hAnsi="Book Antiqua"/>
        </w:rPr>
      </w:pPr>
      <w:r>
        <w:rPr>
          <w:rFonts w:ascii="Book Antiqua" w:hAnsi="Book Antiqua"/>
        </w:rPr>
        <w:t xml:space="preserve">Between </w:t>
      </w:r>
      <w:r w:rsidR="00B605D4">
        <w:rPr>
          <w:rFonts w:ascii="Book Antiqua" w:hAnsi="Book Antiqua"/>
        </w:rPr>
        <w:t xml:space="preserve">[25] and </w:t>
      </w:r>
      <w:r w:rsidR="00050FD9">
        <w:rPr>
          <w:rFonts w:ascii="Book Antiqua" w:hAnsi="Book Antiqua"/>
        </w:rPr>
        <w:t xml:space="preserve">[34] there is an appraisal of the medical evidence in the report of Dr </w:t>
      </w:r>
      <w:proofErr w:type="spellStart"/>
      <w:r w:rsidR="004525A3">
        <w:rPr>
          <w:rFonts w:ascii="Book Antiqua" w:hAnsi="Book Antiqua"/>
        </w:rPr>
        <w:t>Srikumar</w:t>
      </w:r>
      <w:proofErr w:type="spellEnd"/>
      <w:r w:rsidR="003F52BF">
        <w:rPr>
          <w:rFonts w:ascii="Book Antiqua" w:hAnsi="Book Antiqua"/>
        </w:rPr>
        <w:t xml:space="preserve">. </w:t>
      </w:r>
      <w:r w:rsidR="0014201C">
        <w:rPr>
          <w:rFonts w:ascii="Book Antiqua" w:hAnsi="Book Antiqua"/>
        </w:rPr>
        <w:t xml:space="preserve">The </w:t>
      </w:r>
      <w:proofErr w:type="spellStart"/>
      <w:r w:rsidR="0014201C">
        <w:rPr>
          <w:rFonts w:ascii="Book Antiqua" w:hAnsi="Book Antiqua"/>
        </w:rPr>
        <w:t>FtJ</w:t>
      </w:r>
      <w:proofErr w:type="spellEnd"/>
      <w:r w:rsidR="0014201C">
        <w:rPr>
          <w:rFonts w:ascii="Book Antiqua" w:hAnsi="Book Antiqua"/>
        </w:rPr>
        <w:t xml:space="preserve"> noted his </w:t>
      </w:r>
      <w:r w:rsidR="00FD0432">
        <w:rPr>
          <w:rFonts w:ascii="Book Antiqua" w:hAnsi="Book Antiqua"/>
        </w:rPr>
        <w:t>background</w:t>
      </w:r>
      <w:r w:rsidR="001C4167">
        <w:rPr>
          <w:rFonts w:ascii="Book Antiqua" w:hAnsi="Book Antiqua"/>
        </w:rPr>
        <w:t xml:space="preserve"> and</w:t>
      </w:r>
      <w:r w:rsidR="00FD0432">
        <w:rPr>
          <w:rFonts w:ascii="Book Antiqua" w:hAnsi="Book Antiqua"/>
        </w:rPr>
        <w:t xml:space="preserve"> </w:t>
      </w:r>
      <w:r w:rsidR="0014201C">
        <w:rPr>
          <w:rFonts w:ascii="Book Antiqua" w:hAnsi="Book Antiqua"/>
        </w:rPr>
        <w:t>expertise</w:t>
      </w:r>
      <w:r w:rsidR="00FD0432">
        <w:rPr>
          <w:rFonts w:ascii="Book Antiqua" w:hAnsi="Book Antiqua"/>
        </w:rPr>
        <w:t xml:space="preserve"> and that he had been treating the appellant since August 2014 following a referral from </w:t>
      </w:r>
      <w:r w:rsidR="001C4167">
        <w:rPr>
          <w:rFonts w:ascii="Book Antiqua" w:hAnsi="Book Antiqua"/>
        </w:rPr>
        <w:t>hi</w:t>
      </w:r>
      <w:r w:rsidR="00FD0432">
        <w:rPr>
          <w:rFonts w:ascii="Book Antiqua" w:hAnsi="Book Antiqua"/>
        </w:rPr>
        <w:t xml:space="preserve">s GP. She also observed however, that </w:t>
      </w:r>
      <w:r w:rsidR="006A0FF8">
        <w:rPr>
          <w:rFonts w:ascii="Book Antiqua" w:hAnsi="Book Antiqua"/>
        </w:rPr>
        <w:t xml:space="preserve">the report does not contain a statement of truth as it should and nor did it contain a statement </w:t>
      </w:r>
      <w:r w:rsidR="0040463C">
        <w:rPr>
          <w:rFonts w:ascii="Book Antiqua" w:hAnsi="Book Antiqua"/>
        </w:rPr>
        <w:t xml:space="preserve">acknowledging the author’s duty to the Tribunal, a matter that the </w:t>
      </w:r>
      <w:proofErr w:type="spellStart"/>
      <w:r w:rsidR="0040463C">
        <w:rPr>
          <w:rFonts w:ascii="Book Antiqua" w:hAnsi="Book Antiqua"/>
        </w:rPr>
        <w:t>FtJ</w:t>
      </w:r>
      <w:proofErr w:type="spellEnd"/>
      <w:r w:rsidR="0040463C">
        <w:rPr>
          <w:rFonts w:ascii="Book Antiqua" w:hAnsi="Book Antiqua"/>
        </w:rPr>
        <w:t xml:space="preserve"> said was particularly relevant given his role as the appellant’s treating </w:t>
      </w:r>
      <w:r w:rsidR="00B46902">
        <w:rPr>
          <w:rFonts w:ascii="Book Antiqua" w:hAnsi="Book Antiqua"/>
        </w:rPr>
        <w:t>psychiatrist. She also concluded that his methodology was not patent on the face of the report</w:t>
      </w:r>
      <w:r w:rsidR="00A83CE4">
        <w:rPr>
          <w:rFonts w:ascii="Book Antiqua" w:hAnsi="Book Antiqua"/>
        </w:rPr>
        <w:t xml:space="preserve">, contrary to </w:t>
      </w:r>
      <w:r w:rsidR="00146D06" w:rsidRPr="00146D06">
        <w:rPr>
          <w:rFonts w:ascii="Book Antiqua" w:hAnsi="Book Antiqua"/>
          <w:i/>
        </w:rPr>
        <w:t>PP (female headed household; expert duties) Sri Lanka</w:t>
      </w:r>
      <w:r w:rsidR="00146D06" w:rsidRPr="00146D06">
        <w:rPr>
          <w:rFonts w:ascii="Book Antiqua" w:hAnsi="Book Antiqua"/>
        </w:rPr>
        <w:t xml:space="preserve"> [2017] UKUT 117 (IAC)</w:t>
      </w:r>
      <w:r w:rsidR="00146D06">
        <w:rPr>
          <w:rFonts w:ascii="Book Antiqua" w:hAnsi="Book Antiqua"/>
        </w:rPr>
        <w:t>.</w:t>
      </w:r>
    </w:p>
    <w:p w:rsidR="00AF729C" w:rsidRDefault="00AF729C" w:rsidP="00146D06">
      <w:pPr>
        <w:numPr>
          <w:ilvl w:val="0"/>
          <w:numId w:val="2"/>
        </w:numPr>
        <w:spacing w:before="240"/>
        <w:jc w:val="both"/>
        <w:rPr>
          <w:rFonts w:ascii="Book Antiqua" w:hAnsi="Book Antiqua"/>
        </w:rPr>
      </w:pPr>
      <w:r>
        <w:rPr>
          <w:rFonts w:ascii="Book Antiqua" w:hAnsi="Book Antiqua"/>
        </w:rPr>
        <w:t xml:space="preserve">In terms of </w:t>
      </w:r>
      <w:r w:rsidR="008D16B6">
        <w:rPr>
          <w:rFonts w:ascii="Book Antiqua" w:hAnsi="Book Antiqua"/>
        </w:rPr>
        <w:t>the</w:t>
      </w:r>
      <w:r w:rsidR="003C0181">
        <w:rPr>
          <w:rFonts w:ascii="Book Antiqua" w:hAnsi="Book Antiqua"/>
        </w:rPr>
        <w:t xml:space="preserve"> </w:t>
      </w:r>
      <w:proofErr w:type="spellStart"/>
      <w:r w:rsidR="0013163A">
        <w:rPr>
          <w:rFonts w:ascii="Book Antiqua" w:hAnsi="Book Antiqua"/>
        </w:rPr>
        <w:t>FtJ’s</w:t>
      </w:r>
      <w:proofErr w:type="spellEnd"/>
      <w:r w:rsidR="0013163A">
        <w:rPr>
          <w:rFonts w:ascii="Book Antiqua" w:hAnsi="Book Antiqua"/>
        </w:rPr>
        <w:t xml:space="preserve"> preliminary observations about the report</w:t>
      </w:r>
      <w:r w:rsidR="008D16B6">
        <w:rPr>
          <w:rFonts w:ascii="Book Antiqua" w:hAnsi="Book Antiqua"/>
        </w:rPr>
        <w:t xml:space="preserve">, the </w:t>
      </w:r>
      <w:proofErr w:type="spellStart"/>
      <w:r w:rsidR="008D16B6">
        <w:rPr>
          <w:rFonts w:ascii="Book Antiqua" w:hAnsi="Book Antiqua"/>
        </w:rPr>
        <w:t>FtJ</w:t>
      </w:r>
      <w:proofErr w:type="spellEnd"/>
      <w:r w:rsidR="008D16B6">
        <w:rPr>
          <w:rFonts w:ascii="Book Antiqua" w:hAnsi="Book Antiqua"/>
        </w:rPr>
        <w:t xml:space="preserve"> was in my view correct to </w:t>
      </w:r>
      <w:r w:rsidR="0013163A">
        <w:rPr>
          <w:rFonts w:ascii="Book Antiqua" w:hAnsi="Book Antiqua"/>
        </w:rPr>
        <w:t xml:space="preserve">point out those deficiencies, </w:t>
      </w:r>
      <w:r w:rsidR="00F97070">
        <w:rPr>
          <w:rFonts w:ascii="Book Antiqua" w:hAnsi="Book Antiqua"/>
        </w:rPr>
        <w:t xml:space="preserve">in particular about the statement of truth and the acknowledgement of the duty to the court. Further </w:t>
      </w:r>
      <w:r w:rsidR="008D16B6">
        <w:rPr>
          <w:rFonts w:ascii="Book Antiqua" w:hAnsi="Book Antiqua"/>
        </w:rPr>
        <w:t>the methodology is not patent on the face of the report</w:t>
      </w:r>
      <w:r w:rsidR="00D7122C">
        <w:rPr>
          <w:rFonts w:ascii="Book Antiqua" w:hAnsi="Book Antiqua"/>
        </w:rPr>
        <w:t xml:space="preserve"> </w:t>
      </w:r>
      <w:r w:rsidR="001861B9">
        <w:rPr>
          <w:rFonts w:ascii="Book Antiqua" w:hAnsi="Book Antiqua"/>
        </w:rPr>
        <w:t>with reference to any diagnostic criteria.</w:t>
      </w:r>
      <w:r w:rsidR="008D16B6">
        <w:rPr>
          <w:rFonts w:ascii="Book Antiqua" w:hAnsi="Book Antiqua"/>
        </w:rPr>
        <w:t xml:space="preserve"> </w:t>
      </w:r>
      <w:r w:rsidR="00B4398F">
        <w:rPr>
          <w:rFonts w:ascii="Book Antiqua" w:hAnsi="Book Antiqua"/>
        </w:rPr>
        <w:t xml:space="preserve">It states that the report is based on </w:t>
      </w:r>
      <w:r w:rsidR="00F303EE">
        <w:rPr>
          <w:rFonts w:ascii="Book Antiqua" w:hAnsi="Book Antiqua"/>
        </w:rPr>
        <w:t xml:space="preserve">his personal knowledge of the appellant since </w:t>
      </w:r>
      <w:r w:rsidR="003C0181">
        <w:rPr>
          <w:rFonts w:ascii="Book Antiqua" w:hAnsi="Book Antiqua"/>
        </w:rPr>
        <w:t>the time that he had seen him, the GP’s notes and a recent assessment with the assistance of an interpreter to prepare the report</w:t>
      </w:r>
      <w:r w:rsidR="001861B9">
        <w:rPr>
          <w:rFonts w:ascii="Book Antiqua" w:hAnsi="Book Antiqua"/>
        </w:rPr>
        <w:t xml:space="preserve"> but the diagnosis of </w:t>
      </w:r>
      <w:r w:rsidR="00692AB0">
        <w:rPr>
          <w:rFonts w:ascii="Book Antiqua" w:hAnsi="Book Antiqua"/>
        </w:rPr>
        <w:t>PTSD with psychotic features is not mad</w:t>
      </w:r>
      <w:r w:rsidR="001C4167">
        <w:rPr>
          <w:rFonts w:ascii="Book Antiqua" w:hAnsi="Book Antiqua"/>
        </w:rPr>
        <w:t>e</w:t>
      </w:r>
      <w:r w:rsidR="00692AB0">
        <w:rPr>
          <w:rFonts w:ascii="Book Antiqua" w:hAnsi="Book Antiqua"/>
        </w:rPr>
        <w:t xml:space="preserve"> with reference to any of the</w:t>
      </w:r>
      <w:r w:rsidR="001C4167">
        <w:rPr>
          <w:rFonts w:ascii="Book Antiqua" w:hAnsi="Book Antiqua"/>
        </w:rPr>
        <w:t xml:space="preserve"> recognised</w:t>
      </w:r>
      <w:r w:rsidR="00692AB0">
        <w:rPr>
          <w:rFonts w:ascii="Book Antiqua" w:hAnsi="Book Antiqua"/>
        </w:rPr>
        <w:t xml:space="preserve"> psychiatric diagnostic criteria. </w:t>
      </w:r>
    </w:p>
    <w:p w:rsidR="00806E6D" w:rsidRDefault="00806E6D" w:rsidP="00146D06">
      <w:pPr>
        <w:numPr>
          <w:ilvl w:val="0"/>
          <w:numId w:val="2"/>
        </w:numPr>
        <w:spacing w:before="240"/>
        <w:jc w:val="both"/>
        <w:rPr>
          <w:rFonts w:ascii="Book Antiqua" w:hAnsi="Book Antiqua"/>
        </w:rPr>
      </w:pPr>
      <w:r>
        <w:rPr>
          <w:rFonts w:ascii="Book Antiqua" w:hAnsi="Book Antiqua"/>
        </w:rPr>
        <w:t xml:space="preserve">Furthermore, as the </w:t>
      </w:r>
      <w:proofErr w:type="spellStart"/>
      <w:r>
        <w:rPr>
          <w:rFonts w:ascii="Book Antiqua" w:hAnsi="Book Antiqua"/>
        </w:rPr>
        <w:t>FtJ</w:t>
      </w:r>
      <w:proofErr w:type="spellEnd"/>
      <w:r>
        <w:rPr>
          <w:rFonts w:ascii="Book Antiqua" w:hAnsi="Book Antiqua"/>
        </w:rPr>
        <w:t xml:space="preserve"> said at </w:t>
      </w:r>
      <w:r w:rsidR="002168BC">
        <w:rPr>
          <w:rFonts w:ascii="Book Antiqua" w:hAnsi="Book Antiqua"/>
        </w:rPr>
        <w:t>[28] after quoting from the report, there is no explanation or reasoning for the diagnosis</w:t>
      </w:r>
      <w:r w:rsidR="001C4167">
        <w:rPr>
          <w:rFonts w:ascii="Book Antiqua" w:hAnsi="Book Antiqua"/>
        </w:rPr>
        <w:t xml:space="preserve"> and</w:t>
      </w:r>
      <w:r w:rsidR="004152FC">
        <w:rPr>
          <w:rFonts w:ascii="Book Antiqua" w:hAnsi="Book Antiqua"/>
        </w:rPr>
        <w:t xml:space="preserve"> that the appellant’s symptoms appear to have been taken at face value</w:t>
      </w:r>
      <w:r w:rsidR="006F5670">
        <w:rPr>
          <w:rFonts w:ascii="Book Antiqua" w:hAnsi="Book Antiqua"/>
        </w:rPr>
        <w:t xml:space="preserve"> as </w:t>
      </w:r>
      <w:r w:rsidR="001C4167">
        <w:rPr>
          <w:rFonts w:ascii="Book Antiqua" w:hAnsi="Book Antiqua"/>
        </w:rPr>
        <w:t>narrated</w:t>
      </w:r>
      <w:r w:rsidR="006F5670">
        <w:rPr>
          <w:rFonts w:ascii="Book Antiqua" w:hAnsi="Book Antiqua"/>
        </w:rPr>
        <w:t xml:space="preserve"> by his cousin</w:t>
      </w:r>
      <w:r w:rsidR="001C4167">
        <w:rPr>
          <w:rFonts w:ascii="Book Antiqua" w:hAnsi="Book Antiqua"/>
        </w:rPr>
        <w:t>,</w:t>
      </w:r>
      <w:r w:rsidR="006F5670">
        <w:rPr>
          <w:rFonts w:ascii="Book Antiqua" w:hAnsi="Book Antiqua"/>
        </w:rPr>
        <w:t xml:space="preserve"> Mr Islam</w:t>
      </w:r>
      <w:r w:rsidR="001C4167">
        <w:rPr>
          <w:rFonts w:ascii="Book Antiqua" w:hAnsi="Book Antiqua"/>
        </w:rPr>
        <w:t>,</w:t>
      </w:r>
      <w:r w:rsidR="006F5670">
        <w:rPr>
          <w:rFonts w:ascii="Book Antiqua" w:hAnsi="Book Antiqua"/>
        </w:rPr>
        <w:t xml:space="preserve"> from whom the history was obtained</w:t>
      </w:r>
      <w:r w:rsidR="001C4167">
        <w:rPr>
          <w:rFonts w:ascii="Book Antiqua" w:hAnsi="Book Antiqua"/>
        </w:rPr>
        <w:t>. She also noted that there</w:t>
      </w:r>
      <w:r w:rsidR="00F96D5D">
        <w:rPr>
          <w:rFonts w:ascii="Book Antiqua" w:hAnsi="Book Antiqua"/>
        </w:rPr>
        <w:t xml:space="preserve"> was no consideration given as to whether the </w:t>
      </w:r>
      <w:r w:rsidR="00BB7F2B">
        <w:rPr>
          <w:rFonts w:ascii="Book Antiqua" w:hAnsi="Book Antiqua"/>
        </w:rPr>
        <w:t>claimed symptoms had been fabricated or embellished.</w:t>
      </w:r>
    </w:p>
    <w:p w:rsidR="00BB7F2B" w:rsidRDefault="008E5014" w:rsidP="00146D06">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had noted at [27] that the source of information as </w:t>
      </w:r>
      <w:r w:rsidR="001C4167">
        <w:rPr>
          <w:rFonts w:ascii="Book Antiqua" w:hAnsi="Book Antiqua"/>
        </w:rPr>
        <w:t xml:space="preserve">to </w:t>
      </w:r>
      <w:r>
        <w:rPr>
          <w:rFonts w:ascii="Book Antiqua" w:hAnsi="Book Antiqua"/>
        </w:rPr>
        <w:t xml:space="preserve">the appellant’s condition was largely provided by the appellant’s cousin </w:t>
      </w:r>
      <w:r w:rsidR="00684385">
        <w:rPr>
          <w:rFonts w:ascii="Book Antiqua" w:hAnsi="Book Antiqua"/>
        </w:rPr>
        <w:t xml:space="preserve">since the appellant hardly responded to questions even with the assistance of his cousin and the interpreter that was present at the examination(s). </w:t>
      </w:r>
      <w:r w:rsidR="007058CE">
        <w:rPr>
          <w:rFonts w:ascii="Book Antiqua" w:hAnsi="Book Antiqua"/>
        </w:rPr>
        <w:t xml:space="preserve">She also noted that there is no reference in the report to the appellant’s medical history in Bangladesh </w:t>
      </w:r>
      <w:r w:rsidR="00C75ABA">
        <w:rPr>
          <w:rFonts w:ascii="Book Antiqua" w:hAnsi="Book Antiqua"/>
        </w:rPr>
        <w:t>or his state of mind in 2009 at the time of his arrest or at the time of his departure for the UK in 2012.</w:t>
      </w:r>
    </w:p>
    <w:p w:rsidR="004E1B77" w:rsidRPr="00146D06" w:rsidRDefault="004E1B77" w:rsidP="00146D06">
      <w:pPr>
        <w:numPr>
          <w:ilvl w:val="0"/>
          <w:numId w:val="2"/>
        </w:numPr>
        <w:spacing w:before="240"/>
        <w:jc w:val="both"/>
        <w:rPr>
          <w:rFonts w:ascii="Book Antiqua" w:hAnsi="Book Antiqua"/>
        </w:rPr>
      </w:pPr>
      <w:r>
        <w:rPr>
          <w:rFonts w:ascii="Book Antiqua" w:hAnsi="Book Antiqua"/>
        </w:rPr>
        <w:t xml:space="preserve">In the same paragraph the </w:t>
      </w:r>
      <w:proofErr w:type="spellStart"/>
      <w:r>
        <w:rPr>
          <w:rFonts w:ascii="Book Antiqua" w:hAnsi="Book Antiqua"/>
        </w:rPr>
        <w:t>FtJ</w:t>
      </w:r>
      <w:proofErr w:type="spellEnd"/>
      <w:r>
        <w:rPr>
          <w:rFonts w:ascii="Book Antiqua" w:hAnsi="Book Antiqua"/>
        </w:rPr>
        <w:t xml:space="preserve"> observed that </w:t>
      </w:r>
      <w:r w:rsidR="00383552">
        <w:rPr>
          <w:rFonts w:ascii="Book Antiqua" w:hAnsi="Book Antiqua"/>
        </w:rPr>
        <w:t>the</w:t>
      </w:r>
      <w:r w:rsidR="00E87959">
        <w:rPr>
          <w:rFonts w:ascii="Book Antiqua" w:hAnsi="Book Antiqua"/>
        </w:rPr>
        <w:t xml:space="preserve"> psychiatrist said that the</w:t>
      </w:r>
      <w:r w:rsidR="00383552">
        <w:rPr>
          <w:rFonts w:ascii="Book Antiqua" w:hAnsi="Book Antiqua"/>
        </w:rPr>
        <w:t xml:space="preserve"> psychological </w:t>
      </w:r>
      <w:r w:rsidR="00E87959">
        <w:rPr>
          <w:rFonts w:ascii="Book Antiqua" w:hAnsi="Book Antiqua"/>
        </w:rPr>
        <w:t xml:space="preserve">treatment </w:t>
      </w:r>
      <w:r w:rsidR="00383552">
        <w:rPr>
          <w:rFonts w:ascii="Book Antiqua" w:hAnsi="Book Antiqua"/>
        </w:rPr>
        <w:t>approach</w:t>
      </w:r>
      <w:r w:rsidR="00E87959">
        <w:rPr>
          <w:rFonts w:ascii="Book Antiqua" w:hAnsi="Book Antiqua"/>
        </w:rPr>
        <w:t xml:space="preserve"> was not possible due to the appellant’s lack of engagement, but he </w:t>
      </w:r>
      <w:r w:rsidR="00E87959">
        <w:rPr>
          <w:rFonts w:ascii="Book Antiqua" w:hAnsi="Book Antiqua"/>
        </w:rPr>
        <w:lastRenderedPageBreak/>
        <w:t xml:space="preserve">had not said what approach was taken instead. Noting that Dr </w:t>
      </w:r>
      <w:proofErr w:type="spellStart"/>
      <w:r w:rsidR="00E87959">
        <w:rPr>
          <w:rFonts w:ascii="Book Antiqua" w:hAnsi="Book Antiqua"/>
        </w:rPr>
        <w:t>Srikumar</w:t>
      </w:r>
      <w:proofErr w:type="spellEnd"/>
      <w:r w:rsidR="00E87959">
        <w:rPr>
          <w:rFonts w:ascii="Book Antiqua" w:hAnsi="Book Antiqua"/>
        </w:rPr>
        <w:t xml:space="preserve"> appeared to rely principally on his observation of the appellant and what he had been told by the appellant (limited though that may have been) and by Mr Islam, she said by way of example as to those facts being relevant, that none of the medical evidence (GP’s records or Dr </w:t>
      </w:r>
      <w:proofErr w:type="spellStart"/>
      <w:r w:rsidR="00E87959">
        <w:rPr>
          <w:rFonts w:ascii="Book Antiqua" w:hAnsi="Book Antiqua"/>
        </w:rPr>
        <w:t>Srikumar</w:t>
      </w:r>
      <w:proofErr w:type="spellEnd"/>
      <w:r w:rsidR="00E87959">
        <w:rPr>
          <w:rFonts w:ascii="Book Antiqua" w:hAnsi="Book Antiqua"/>
        </w:rPr>
        <w:t xml:space="preserve"> himself) referred to having seen the appellant shouting as narrated by Mr Islam.</w:t>
      </w:r>
      <w:r w:rsidR="00383552">
        <w:rPr>
          <w:rFonts w:ascii="Book Antiqua" w:hAnsi="Book Antiqua"/>
        </w:rPr>
        <w:t xml:space="preserve"> </w:t>
      </w:r>
    </w:p>
    <w:p w:rsidR="00F77538" w:rsidRDefault="00E87959" w:rsidP="00D0075A">
      <w:pPr>
        <w:numPr>
          <w:ilvl w:val="0"/>
          <w:numId w:val="2"/>
        </w:numPr>
        <w:spacing w:before="240"/>
        <w:jc w:val="both"/>
        <w:rPr>
          <w:rFonts w:ascii="Book Antiqua" w:hAnsi="Book Antiqua"/>
        </w:rPr>
      </w:pPr>
      <w:r>
        <w:rPr>
          <w:rFonts w:ascii="Book Antiqua" w:hAnsi="Book Antiqua"/>
        </w:rPr>
        <w:t xml:space="preserve">At [29] she said that the conclusion of Dr </w:t>
      </w:r>
      <w:proofErr w:type="spellStart"/>
      <w:r>
        <w:rPr>
          <w:rFonts w:ascii="Book Antiqua" w:hAnsi="Book Antiqua"/>
        </w:rPr>
        <w:t>Srikumar</w:t>
      </w:r>
      <w:proofErr w:type="spellEnd"/>
      <w:r>
        <w:rPr>
          <w:rFonts w:ascii="Book Antiqua" w:hAnsi="Book Antiqua"/>
        </w:rPr>
        <w:t xml:space="preserve"> as to the cause, effect and existence of poor memory does not “sit well” with the ability of the appellant to provide a detailed statement in support of the claim which he signed on 12 August 2015. Similarly, that it did not sit well with his ability to have provided an even more detailed statement (unsigned), much of it in the form of submissions</w:t>
      </w:r>
      <w:r w:rsidR="00F022C9">
        <w:rPr>
          <w:rFonts w:ascii="Book Antiqua" w:hAnsi="Book Antiqua"/>
        </w:rPr>
        <w:t>, and according to the evidence of Mr Islam prepared over 12-14 visits to his solicitors.</w:t>
      </w:r>
    </w:p>
    <w:p w:rsidR="00F022C9" w:rsidRDefault="00F022C9" w:rsidP="00D0075A">
      <w:pPr>
        <w:numPr>
          <w:ilvl w:val="0"/>
          <w:numId w:val="2"/>
        </w:numPr>
        <w:spacing w:before="240"/>
        <w:jc w:val="both"/>
        <w:rPr>
          <w:rFonts w:ascii="Book Antiqua" w:hAnsi="Book Antiqua"/>
        </w:rPr>
      </w:pPr>
      <w:r>
        <w:rPr>
          <w:rFonts w:ascii="Book Antiqua" w:hAnsi="Book Antiqua"/>
        </w:rPr>
        <w:t xml:space="preserve">It is not the case, as impliedly suggested on behalf of the appellant in submissions, that the </w:t>
      </w:r>
      <w:proofErr w:type="spellStart"/>
      <w:r>
        <w:rPr>
          <w:rFonts w:ascii="Book Antiqua" w:hAnsi="Book Antiqua"/>
        </w:rPr>
        <w:t>FtJ</w:t>
      </w:r>
      <w:proofErr w:type="spellEnd"/>
      <w:r>
        <w:rPr>
          <w:rFonts w:ascii="Book Antiqua" w:hAnsi="Book Antiqua"/>
        </w:rPr>
        <w:t xml:space="preserve"> did not take into account the evidence as to how the statement was obtained in terms of the number of visits to the solicitors. She did take it into account but obviously did not find it persuasive</w:t>
      </w:r>
      <w:r w:rsidR="00364230">
        <w:rPr>
          <w:rFonts w:ascii="Book Antiqua" w:hAnsi="Book Antiqua"/>
        </w:rPr>
        <w:t xml:space="preserve"> for the </w:t>
      </w:r>
      <w:r w:rsidR="00845519">
        <w:rPr>
          <w:rFonts w:ascii="Book Antiqua" w:hAnsi="Book Antiqua"/>
        </w:rPr>
        <w:t xml:space="preserve">reasons that she gave at </w:t>
      </w:r>
      <w:r w:rsidR="00AF1054">
        <w:rPr>
          <w:rFonts w:ascii="Book Antiqua" w:hAnsi="Book Antiqua"/>
        </w:rPr>
        <w:t>[47] and [48]</w:t>
      </w:r>
      <w:r w:rsidR="00225B5D">
        <w:rPr>
          <w:rFonts w:ascii="Book Antiqua" w:hAnsi="Book Antiqua"/>
        </w:rPr>
        <w:t xml:space="preserve"> and to which I make further reference below</w:t>
      </w:r>
      <w:r w:rsidR="00AF1054">
        <w:rPr>
          <w:rFonts w:ascii="Book Antiqua" w:hAnsi="Book Antiqua"/>
        </w:rPr>
        <w:t>.</w:t>
      </w:r>
    </w:p>
    <w:p w:rsidR="00F022C9" w:rsidRDefault="00F022C9" w:rsidP="00D0075A">
      <w:pPr>
        <w:numPr>
          <w:ilvl w:val="0"/>
          <w:numId w:val="2"/>
        </w:numPr>
        <w:spacing w:before="240"/>
        <w:jc w:val="both"/>
        <w:rPr>
          <w:rFonts w:ascii="Book Antiqua" w:hAnsi="Book Antiqua"/>
        </w:rPr>
      </w:pPr>
      <w:r>
        <w:rPr>
          <w:rFonts w:ascii="Book Antiqua" w:hAnsi="Book Antiqua"/>
        </w:rPr>
        <w:t xml:space="preserve">Next the </w:t>
      </w:r>
      <w:proofErr w:type="spellStart"/>
      <w:r>
        <w:rPr>
          <w:rFonts w:ascii="Book Antiqua" w:hAnsi="Book Antiqua"/>
        </w:rPr>
        <w:t>FtJ</w:t>
      </w:r>
      <w:proofErr w:type="spellEnd"/>
      <w:r>
        <w:rPr>
          <w:rFonts w:ascii="Book Antiqua" w:hAnsi="Book Antiqua"/>
        </w:rPr>
        <w:t xml:space="preserve"> noted that it was said in the psychiatric report that the appellant lacked the capacity to understand court proceedings, including the process of</w:t>
      </w:r>
      <w:r w:rsidR="001C4167">
        <w:rPr>
          <w:rFonts w:ascii="Book Antiqua" w:hAnsi="Book Antiqua"/>
        </w:rPr>
        <w:t xml:space="preserve"> the</w:t>
      </w:r>
      <w:r>
        <w:rPr>
          <w:rFonts w:ascii="Book Antiqua" w:hAnsi="Book Antiqua"/>
        </w:rPr>
        <w:t xml:space="preserve"> asylum interview due to his abnormal mental state. However, she said that there was no indication from the asylum interview record that the appellant did not understand or participate in the asylum interview. She said that he appear</w:t>
      </w:r>
      <w:r w:rsidR="00AF23B0">
        <w:rPr>
          <w:rFonts w:ascii="Book Antiqua" w:hAnsi="Book Antiqua"/>
        </w:rPr>
        <w:t>ed</w:t>
      </w:r>
      <w:r>
        <w:rPr>
          <w:rFonts w:ascii="Book Antiqua" w:hAnsi="Book Antiqua"/>
        </w:rPr>
        <w:t xml:space="preserve"> both to have understand and responded but said that he could not recall certain matters which showed that he was participating in the interview and understand what was expected of him.</w:t>
      </w:r>
    </w:p>
    <w:p w:rsidR="00F022C9" w:rsidRDefault="00F022C9" w:rsidP="00F022C9">
      <w:pPr>
        <w:numPr>
          <w:ilvl w:val="0"/>
          <w:numId w:val="2"/>
        </w:numPr>
        <w:spacing w:before="240"/>
        <w:jc w:val="both"/>
        <w:rPr>
          <w:rFonts w:ascii="Book Antiqua" w:hAnsi="Book Antiqua"/>
        </w:rPr>
      </w:pPr>
      <w:r>
        <w:rPr>
          <w:rFonts w:ascii="Book Antiqua" w:hAnsi="Book Antiqua"/>
        </w:rPr>
        <w:t xml:space="preserve">In the light of that </w:t>
      </w:r>
      <w:r w:rsidR="001C4167">
        <w:rPr>
          <w:rFonts w:ascii="Book Antiqua" w:hAnsi="Book Antiqua"/>
        </w:rPr>
        <w:t xml:space="preserve">comprehensive </w:t>
      </w:r>
      <w:r>
        <w:rPr>
          <w:rFonts w:ascii="Book Antiqua" w:hAnsi="Book Antiqua"/>
        </w:rPr>
        <w:t xml:space="preserve">assessment of the report by the </w:t>
      </w:r>
      <w:proofErr w:type="spellStart"/>
      <w:r>
        <w:rPr>
          <w:rFonts w:ascii="Book Antiqua" w:hAnsi="Book Antiqua"/>
        </w:rPr>
        <w:t>FtJ</w:t>
      </w:r>
      <w:proofErr w:type="spellEnd"/>
      <w:r>
        <w:rPr>
          <w:rFonts w:ascii="Book Antiqua" w:hAnsi="Book Antiqua"/>
        </w:rPr>
        <w:t xml:space="preserve">, set within the context of the appellant’s claim, I am satisfied that she was entitled to find that the report was “not helpful”, for the reasons she summarised at [31]. </w:t>
      </w:r>
    </w:p>
    <w:p w:rsidR="00F022C9" w:rsidRDefault="00F022C9" w:rsidP="00F022C9">
      <w:pPr>
        <w:numPr>
          <w:ilvl w:val="0"/>
          <w:numId w:val="2"/>
        </w:numPr>
        <w:spacing w:before="240"/>
        <w:jc w:val="both"/>
        <w:rPr>
          <w:rFonts w:ascii="Book Antiqua" w:hAnsi="Book Antiqua"/>
        </w:rPr>
      </w:pPr>
      <w:r>
        <w:rPr>
          <w:rFonts w:ascii="Book Antiqua" w:hAnsi="Book Antiqua"/>
        </w:rPr>
        <w:t xml:space="preserve">That conclusion in relation to Dr </w:t>
      </w:r>
      <w:proofErr w:type="spellStart"/>
      <w:r>
        <w:rPr>
          <w:rFonts w:ascii="Book Antiqua" w:hAnsi="Book Antiqua"/>
        </w:rPr>
        <w:t>Srikumar’s</w:t>
      </w:r>
      <w:proofErr w:type="spellEnd"/>
      <w:r>
        <w:rPr>
          <w:rFonts w:ascii="Book Antiqua" w:hAnsi="Book Antiqua"/>
        </w:rPr>
        <w:t xml:space="preserve"> report is reinforced by what the </w:t>
      </w:r>
      <w:proofErr w:type="spellStart"/>
      <w:r>
        <w:rPr>
          <w:rFonts w:ascii="Book Antiqua" w:hAnsi="Book Antiqua"/>
        </w:rPr>
        <w:t>FtJ</w:t>
      </w:r>
      <w:proofErr w:type="spellEnd"/>
      <w:r>
        <w:rPr>
          <w:rFonts w:ascii="Book Antiqua" w:hAnsi="Book Antiqua"/>
        </w:rPr>
        <w:t xml:space="preserve"> said at [32] in relation to the report not addressing the fact of a lack of </w:t>
      </w:r>
      <w:r w:rsidR="003D0CFF">
        <w:rPr>
          <w:rFonts w:ascii="Book Antiqua" w:hAnsi="Book Antiqua"/>
        </w:rPr>
        <w:t>(</w:t>
      </w:r>
      <w:r>
        <w:rPr>
          <w:rFonts w:ascii="Book Antiqua" w:hAnsi="Book Antiqua"/>
        </w:rPr>
        <w:t>adverse</w:t>
      </w:r>
      <w:r w:rsidR="003D0CFF">
        <w:rPr>
          <w:rFonts w:ascii="Book Antiqua" w:hAnsi="Book Antiqua"/>
        </w:rPr>
        <w:t>)</w:t>
      </w:r>
      <w:r>
        <w:rPr>
          <w:rFonts w:ascii="Book Antiqua" w:hAnsi="Book Antiqua"/>
        </w:rPr>
        <w:t xml:space="preserve"> mental health symptoms in 2013 </w:t>
      </w:r>
      <w:r w:rsidR="003D0CFF">
        <w:rPr>
          <w:rFonts w:ascii="Book Antiqua" w:hAnsi="Book Antiqua"/>
        </w:rPr>
        <w:t xml:space="preserve">when the appellant consulted his GP (the background of his visits having been summarised by the </w:t>
      </w:r>
      <w:proofErr w:type="spellStart"/>
      <w:r w:rsidR="003D0CFF">
        <w:rPr>
          <w:rFonts w:ascii="Book Antiqua" w:hAnsi="Book Antiqua"/>
        </w:rPr>
        <w:t>FtJ</w:t>
      </w:r>
      <w:proofErr w:type="spellEnd"/>
      <w:r w:rsidR="003D0CFF">
        <w:rPr>
          <w:rFonts w:ascii="Book Antiqua" w:hAnsi="Book Antiqua"/>
        </w:rPr>
        <w:t>).</w:t>
      </w:r>
    </w:p>
    <w:p w:rsidR="003D0CFF" w:rsidRDefault="003D0CFF" w:rsidP="00F022C9">
      <w:pPr>
        <w:numPr>
          <w:ilvl w:val="0"/>
          <w:numId w:val="2"/>
        </w:numPr>
        <w:spacing w:before="240"/>
        <w:jc w:val="both"/>
        <w:rPr>
          <w:rFonts w:ascii="Book Antiqua" w:hAnsi="Book Antiqua"/>
        </w:rPr>
      </w:pPr>
      <w:r>
        <w:rPr>
          <w:rFonts w:ascii="Book Antiqua" w:hAnsi="Book Antiqua"/>
        </w:rPr>
        <w:t xml:space="preserve">Further, in relation to the involvement of Mr Islam and his evidence, the </w:t>
      </w:r>
      <w:proofErr w:type="spellStart"/>
      <w:r>
        <w:rPr>
          <w:rFonts w:ascii="Book Antiqua" w:hAnsi="Book Antiqua"/>
        </w:rPr>
        <w:t>FtJ</w:t>
      </w:r>
      <w:proofErr w:type="spellEnd"/>
      <w:r>
        <w:rPr>
          <w:rFonts w:ascii="Book Antiqua" w:hAnsi="Book Antiqua"/>
        </w:rPr>
        <w:t xml:space="preserve"> noted again that it was he who gave Dr </w:t>
      </w:r>
      <w:proofErr w:type="spellStart"/>
      <w:r>
        <w:rPr>
          <w:rFonts w:ascii="Book Antiqua" w:hAnsi="Book Antiqua"/>
        </w:rPr>
        <w:t>Srikumar</w:t>
      </w:r>
      <w:proofErr w:type="spellEnd"/>
      <w:r>
        <w:rPr>
          <w:rFonts w:ascii="Book Antiqua" w:hAnsi="Book Antiqua"/>
        </w:rPr>
        <w:t xml:space="preserve"> a description of the appellant’s background at the first consultation in August 2014. </w:t>
      </w:r>
      <w:r w:rsidR="001C4167">
        <w:rPr>
          <w:rFonts w:ascii="Book Antiqua" w:hAnsi="Book Antiqua"/>
        </w:rPr>
        <w:t>Mr Islam</w:t>
      </w:r>
      <w:r>
        <w:rPr>
          <w:rFonts w:ascii="Book Antiqua" w:hAnsi="Book Antiqua"/>
        </w:rPr>
        <w:t xml:space="preserve"> said in evidence that he gave snippets of information given by the appellant, to the appellant’s solicitors to enable a detailed appeal statement to be prepared and </w:t>
      </w:r>
      <w:r w:rsidR="001C4167">
        <w:rPr>
          <w:rFonts w:ascii="Book Antiqua" w:hAnsi="Book Antiqua"/>
        </w:rPr>
        <w:t xml:space="preserve">he </w:t>
      </w:r>
      <w:r>
        <w:rPr>
          <w:rFonts w:ascii="Book Antiqua" w:hAnsi="Book Antiqua"/>
        </w:rPr>
        <w:t xml:space="preserve">was present at some meetings between the appellant and the solicitors. He also accompanied the appellant to his GP. </w:t>
      </w:r>
      <w:proofErr w:type="gramStart"/>
      <w:r>
        <w:rPr>
          <w:rFonts w:ascii="Book Antiqua" w:hAnsi="Book Antiqua"/>
        </w:rPr>
        <w:t>Thus</w:t>
      </w:r>
      <w:proofErr w:type="gramEnd"/>
      <w:r>
        <w:rPr>
          <w:rFonts w:ascii="Book Antiqua" w:hAnsi="Book Antiqua"/>
        </w:rPr>
        <w:t xml:space="preserve"> it was clear that he has had considerable involvement in the appellant’s asylum claim and appeal. She accepted that a degree of involvement is appropriate given the support he had provided to the appellant since his arrival and because the appellant does not speak English, but the level of Mr Islam’s input was, she said, relevant to her </w:t>
      </w:r>
      <w:r>
        <w:rPr>
          <w:rFonts w:ascii="Book Antiqua" w:hAnsi="Book Antiqua"/>
        </w:rPr>
        <w:lastRenderedPageBreak/>
        <w:t xml:space="preserve">assessment of his evidence. She was entitled to take those matters into account, and indeed the grounds do not take issue with that </w:t>
      </w:r>
      <w:r w:rsidR="001C4167">
        <w:rPr>
          <w:rFonts w:ascii="Book Antiqua" w:hAnsi="Book Antiqua"/>
        </w:rPr>
        <w:t xml:space="preserve">distinct </w:t>
      </w:r>
      <w:r>
        <w:rPr>
          <w:rFonts w:ascii="Book Antiqua" w:hAnsi="Book Antiqua"/>
        </w:rPr>
        <w:t xml:space="preserve">aspect of the </w:t>
      </w:r>
      <w:proofErr w:type="spellStart"/>
      <w:r>
        <w:rPr>
          <w:rFonts w:ascii="Book Antiqua" w:hAnsi="Book Antiqua"/>
        </w:rPr>
        <w:t>FtJ’s</w:t>
      </w:r>
      <w:proofErr w:type="spellEnd"/>
      <w:r>
        <w:rPr>
          <w:rFonts w:ascii="Book Antiqua" w:hAnsi="Book Antiqua"/>
        </w:rPr>
        <w:t xml:space="preserve"> decision.</w:t>
      </w:r>
    </w:p>
    <w:p w:rsidR="00EB3C84" w:rsidRDefault="003D0CFF" w:rsidP="00F022C9">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went on to refer to matters that are in the GP’s records but which do not feature in the appellant’s asylum claim, for example </w:t>
      </w:r>
      <w:r w:rsidR="001C4167">
        <w:rPr>
          <w:rFonts w:ascii="Book Antiqua" w:hAnsi="Book Antiqua"/>
        </w:rPr>
        <w:t xml:space="preserve">claims of </w:t>
      </w:r>
      <w:r>
        <w:rPr>
          <w:rFonts w:ascii="Book Antiqua" w:hAnsi="Book Antiqua"/>
        </w:rPr>
        <w:t xml:space="preserve">being a supporter </w:t>
      </w:r>
      <w:r w:rsidR="00CA46BD">
        <w:rPr>
          <w:rFonts w:ascii="Book Antiqua" w:hAnsi="Book Antiqua"/>
        </w:rPr>
        <w:t>of the opposition party and hence possibly having sustained a politically-related beating</w:t>
      </w:r>
      <w:r w:rsidR="001C4167">
        <w:rPr>
          <w:rFonts w:ascii="Book Antiqua" w:hAnsi="Book Antiqua"/>
        </w:rPr>
        <w:t>;</w:t>
      </w:r>
      <w:r w:rsidR="00077E60">
        <w:rPr>
          <w:rFonts w:ascii="Book Antiqua" w:hAnsi="Book Antiqua"/>
        </w:rPr>
        <w:t xml:space="preserve"> and that a case is still pending in the courts in Bangladesh. However, the </w:t>
      </w:r>
      <w:proofErr w:type="spellStart"/>
      <w:r w:rsidR="00077E60">
        <w:rPr>
          <w:rFonts w:ascii="Book Antiqua" w:hAnsi="Book Antiqua"/>
        </w:rPr>
        <w:t>FtJ</w:t>
      </w:r>
      <w:proofErr w:type="spellEnd"/>
      <w:r w:rsidR="00077E60">
        <w:rPr>
          <w:rFonts w:ascii="Book Antiqua" w:hAnsi="Book Antiqua"/>
        </w:rPr>
        <w:t xml:space="preserve"> pointed out that the appellant’s claim </w:t>
      </w:r>
      <w:r w:rsidR="00690A76">
        <w:rPr>
          <w:rFonts w:ascii="Book Antiqua" w:hAnsi="Book Antiqua"/>
        </w:rPr>
        <w:t>in the screening and asylum interviews was</w:t>
      </w:r>
      <w:r w:rsidR="00077E60">
        <w:rPr>
          <w:rFonts w:ascii="Book Antiqua" w:hAnsi="Book Antiqua"/>
        </w:rPr>
        <w:t xml:space="preserve"> that</w:t>
      </w:r>
      <w:r w:rsidR="00690A76">
        <w:rPr>
          <w:rFonts w:ascii="Book Antiqua" w:hAnsi="Book Antiqua"/>
        </w:rPr>
        <w:t xml:space="preserve"> he was beaten by the police for his Ahmadi faith. </w:t>
      </w:r>
      <w:r w:rsidR="00717D4A">
        <w:rPr>
          <w:rFonts w:ascii="Book Antiqua" w:hAnsi="Book Antiqua"/>
        </w:rPr>
        <w:t xml:space="preserve">The </w:t>
      </w:r>
      <w:proofErr w:type="spellStart"/>
      <w:r w:rsidR="00717D4A">
        <w:rPr>
          <w:rFonts w:ascii="Book Antiqua" w:hAnsi="Book Antiqua"/>
        </w:rPr>
        <w:t>FtJ</w:t>
      </w:r>
      <w:proofErr w:type="spellEnd"/>
      <w:r w:rsidR="00717D4A">
        <w:rPr>
          <w:rFonts w:ascii="Book Antiqua" w:hAnsi="Book Antiqua"/>
        </w:rPr>
        <w:t xml:space="preserve"> then quoted in detail from a GP’s note of 11 August 2014</w:t>
      </w:r>
      <w:r w:rsidR="00A34E2A">
        <w:rPr>
          <w:rFonts w:ascii="Book Antiqua" w:hAnsi="Book Antiqua"/>
        </w:rPr>
        <w:t xml:space="preserve">, noting that it stated that the appellant has clear memories of his time in Bangladesh </w:t>
      </w:r>
      <w:r w:rsidR="00C277D2">
        <w:rPr>
          <w:rFonts w:ascii="Book Antiqua" w:hAnsi="Book Antiqua"/>
        </w:rPr>
        <w:t>in terms of the problems he experienced</w:t>
      </w:r>
      <w:r w:rsidR="00A410CC">
        <w:rPr>
          <w:rFonts w:ascii="Book Antiqua" w:hAnsi="Book Antiqua"/>
        </w:rPr>
        <w:t xml:space="preserve">, which was inconsistent with what he said in interview about </w:t>
      </w:r>
      <w:r w:rsidR="000427C5">
        <w:rPr>
          <w:rFonts w:ascii="Book Antiqua" w:hAnsi="Book Antiqua"/>
        </w:rPr>
        <w:t xml:space="preserve">difficulty remembering. The </w:t>
      </w:r>
      <w:proofErr w:type="spellStart"/>
      <w:r w:rsidR="000427C5">
        <w:rPr>
          <w:rFonts w:ascii="Book Antiqua" w:hAnsi="Book Antiqua"/>
        </w:rPr>
        <w:t>FtJ</w:t>
      </w:r>
      <w:proofErr w:type="spellEnd"/>
      <w:r w:rsidR="000427C5">
        <w:rPr>
          <w:rFonts w:ascii="Book Antiqua" w:hAnsi="Book Antiqua"/>
        </w:rPr>
        <w:t xml:space="preserve"> again referred here to Dr </w:t>
      </w:r>
      <w:proofErr w:type="spellStart"/>
      <w:r w:rsidR="000427C5">
        <w:rPr>
          <w:rFonts w:ascii="Book Antiqua" w:hAnsi="Book Antiqua"/>
        </w:rPr>
        <w:t>Srikumar’s</w:t>
      </w:r>
      <w:proofErr w:type="spellEnd"/>
      <w:r w:rsidR="000427C5">
        <w:rPr>
          <w:rFonts w:ascii="Book Antiqua" w:hAnsi="Book Antiqua"/>
        </w:rPr>
        <w:t xml:space="preserve"> report </w:t>
      </w:r>
      <w:r w:rsidR="00781809">
        <w:rPr>
          <w:rFonts w:ascii="Book Antiqua" w:hAnsi="Book Antiqua"/>
        </w:rPr>
        <w:t xml:space="preserve">giving no indication as to when the memory </w:t>
      </w:r>
      <w:r w:rsidR="00EB3C84">
        <w:rPr>
          <w:rFonts w:ascii="Book Antiqua" w:hAnsi="Book Antiqua"/>
        </w:rPr>
        <w:t xml:space="preserve">loss became apparent. </w:t>
      </w:r>
    </w:p>
    <w:p w:rsidR="00E668D6" w:rsidRDefault="00EB3C84" w:rsidP="00F022C9">
      <w:pPr>
        <w:numPr>
          <w:ilvl w:val="0"/>
          <w:numId w:val="2"/>
        </w:numPr>
        <w:spacing w:before="240"/>
        <w:jc w:val="both"/>
        <w:rPr>
          <w:rFonts w:ascii="Book Antiqua" w:hAnsi="Book Antiqua"/>
        </w:rPr>
      </w:pPr>
      <w:r>
        <w:rPr>
          <w:rFonts w:ascii="Book Antiqua" w:hAnsi="Book Antiqua"/>
        </w:rPr>
        <w:t xml:space="preserve">Likewise, the </w:t>
      </w:r>
      <w:proofErr w:type="spellStart"/>
      <w:r>
        <w:rPr>
          <w:rFonts w:ascii="Book Antiqua" w:hAnsi="Book Antiqua"/>
        </w:rPr>
        <w:t>FtJ</w:t>
      </w:r>
      <w:proofErr w:type="spellEnd"/>
      <w:r>
        <w:rPr>
          <w:rFonts w:ascii="Book Antiqua" w:hAnsi="Book Antiqua"/>
        </w:rPr>
        <w:t xml:space="preserve"> said that there was no explanation in the report of Dr </w:t>
      </w:r>
      <w:proofErr w:type="spellStart"/>
      <w:r w:rsidR="005B4EEC">
        <w:rPr>
          <w:rFonts w:ascii="Book Antiqua" w:hAnsi="Book Antiqua"/>
        </w:rPr>
        <w:t>Srikumar</w:t>
      </w:r>
      <w:proofErr w:type="spellEnd"/>
      <w:r w:rsidR="005B4EEC">
        <w:rPr>
          <w:rFonts w:ascii="Book Antiqua" w:hAnsi="Book Antiqua"/>
        </w:rPr>
        <w:t xml:space="preserve"> for the fact that the appellant was apparently behaving normally in 2013</w:t>
      </w:r>
      <w:r w:rsidR="00671A73">
        <w:rPr>
          <w:rFonts w:ascii="Book Antiqua" w:hAnsi="Book Antiqua"/>
        </w:rPr>
        <w:t xml:space="preserve">, and even able to work as a chef, yet started behaving irrationally the following year such that he was diagnosed with PTSD. </w:t>
      </w:r>
    </w:p>
    <w:p w:rsidR="002A01DC" w:rsidRDefault="002B7834" w:rsidP="00F022C9">
      <w:pPr>
        <w:numPr>
          <w:ilvl w:val="0"/>
          <w:numId w:val="2"/>
        </w:numPr>
        <w:spacing w:before="240"/>
        <w:jc w:val="both"/>
        <w:rPr>
          <w:rFonts w:ascii="Book Antiqua" w:hAnsi="Book Antiqua"/>
        </w:rPr>
      </w:pPr>
      <w:r>
        <w:rPr>
          <w:rFonts w:ascii="Book Antiqua" w:hAnsi="Book Antiqua"/>
        </w:rPr>
        <w:t xml:space="preserve">That further analysis of the </w:t>
      </w:r>
      <w:r w:rsidR="002E4216">
        <w:rPr>
          <w:rFonts w:ascii="Book Antiqua" w:hAnsi="Book Antiqua"/>
        </w:rPr>
        <w:t xml:space="preserve">medical evidence, and with further reference to the report of Dr </w:t>
      </w:r>
      <w:proofErr w:type="spellStart"/>
      <w:r w:rsidR="002E4216">
        <w:rPr>
          <w:rFonts w:ascii="Book Antiqua" w:hAnsi="Book Antiqua"/>
        </w:rPr>
        <w:t>Srikumar</w:t>
      </w:r>
      <w:proofErr w:type="spellEnd"/>
      <w:r w:rsidR="002E4216">
        <w:rPr>
          <w:rFonts w:ascii="Book Antiqua" w:hAnsi="Book Antiqua"/>
        </w:rPr>
        <w:t xml:space="preserve">, </w:t>
      </w:r>
      <w:r w:rsidR="00657428">
        <w:rPr>
          <w:rFonts w:ascii="Book Antiqua" w:hAnsi="Book Antiqua"/>
        </w:rPr>
        <w:t xml:space="preserve">provided additional reasons for the </w:t>
      </w:r>
      <w:proofErr w:type="spellStart"/>
      <w:r w:rsidR="00657428">
        <w:rPr>
          <w:rFonts w:ascii="Book Antiqua" w:hAnsi="Book Antiqua"/>
        </w:rPr>
        <w:t>FtJ’s</w:t>
      </w:r>
      <w:proofErr w:type="spellEnd"/>
      <w:r w:rsidR="00657428">
        <w:rPr>
          <w:rFonts w:ascii="Book Antiqua" w:hAnsi="Book Antiqua"/>
        </w:rPr>
        <w:t xml:space="preserve"> </w:t>
      </w:r>
      <w:r w:rsidR="006E183F">
        <w:rPr>
          <w:rFonts w:ascii="Book Antiqua" w:hAnsi="Book Antiqua"/>
        </w:rPr>
        <w:t xml:space="preserve">conclusion that his report was to be afforded little weight. </w:t>
      </w:r>
    </w:p>
    <w:p w:rsidR="00231B5A" w:rsidRDefault="00E61D7A" w:rsidP="00F022C9">
      <w:pPr>
        <w:numPr>
          <w:ilvl w:val="0"/>
          <w:numId w:val="2"/>
        </w:numPr>
        <w:spacing w:before="240"/>
        <w:jc w:val="both"/>
        <w:rPr>
          <w:rFonts w:ascii="Book Antiqua" w:hAnsi="Book Antiqua"/>
        </w:rPr>
      </w:pPr>
      <w:r>
        <w:rPr>
          <w:rFonts w:ascii="Book Antiqua" w:hAnsi="Book Antiqua"/>
        </w:rPr>
        <w:t xml:space="preserve">From [44] the </w:t>
      </w:r>
      <w:proofErr w:type="spellStart"/>
      <w:r>
        <w:rPr>
          <w:rFonts w:ascii="Book Antiqua" w:hAnsi="Book Antiqua"/>
        </w:rPr>
        <w:t>FtJ</w:t>
      </w:r>
      <w:proofErr w:type="spellEnd"/>
      <w:r>
        <w:rPr>
          <w:rFonts w:ascii="Book Antiqua" w:hAnsi="Book Antiqua"/>
        </w:rPr>
        <w:t xml:space="preserve"> </w:t>
      </w:r>
      <w:r w:rsidR="007F428E">
        <w:rPr>
          <w:rFonts w:ascii="Book Antiqua" w:hAnsi="Book Antiqua"/>
        </w:rPr>
        <w:t>considered what she described as “the police and court documents”</w:t>
      </w:r>
      <w:r w:rsidR="00CF7659">
        <w:rPr>
          <w:rFonts w:ascii="Book Antiqua" w:hAnsi="Book Antiqua"/>
        </w:rPr>
        <w:t xml:space="preserve">.  It is not the case that she rejected those documents simply on the basis of what was said in background evidence about the </w:t>
      </w:r>
      <w:r w:rsidR="00231B5A">
        <w:rPr>
          <w:rFonts w:ascii="Book Antiqua" w:hAnsi="Book Antiqua"/>
        </w:rPr>
        <w:t xml:space="preserve">ready </w:t>
      </w:r>
      <w:r w:rsidR="00CF7659">
        <w:rPr>
          <w:rFonts w:ascii="Book Antiqua" w:hAnsi="Book Antiqua"/>
        </w:rPr>
        <w:t>availability of</w:t>
      </w:r>
      <w:r w:rsidR="00231B5A">
        <w:rPr>
          <w:rFonts w:ascii="Book Antiqua" w:hAnsi="Book Antiqua"/>
        </w:rPr>
        <w:t xml:space="preserve"> false documents in Bangladesh, although that was a matter that she referred to. </w:t>
      </w:r>
    </w:p>
    <w:p w:rsidR="00CF7659" w:rsidRDefault="00C03F8E" w:rsidP="00F022C9">
      <w:pPr>
        <w:numPr>
          <w:ilvl w:val="0"/>
          <w:numId w:val="2"/>
        </w:numPr>
        <w:spacing w:before="240"/>
        <w:jc w:val="both"/>
        <w:rPr>
          <w:rFonts w:ascii="Book Antiqua" w:hAnsi="Book Antiqua"/>
        </w:rPr>
      </w:pPr>
      <w:r>
        <w:rPr>
          <w:rFonts w:ascii="Book Antiqua" w:hAnsi="Book Antiqua"/>
        </w:rPr>
        <w:t>She noted at [44] that the documents were adduced to support the asylum claim and that most of them would have been available to him</w:t>
      </w:r>
      <w:r w:rsidR="0008428B">
        <w:rPr>
          <w:rFonts w:ascii="Book Antiqua" w:hAnsi="Book Antiqua"/>
        </w:rPr>
        <w:t xml:space="preserve"> when he left, noting also that he claims to have come to the UK to flee persecution</w:t>
      </w:r>
      <w:r w:rsidR="0014632D">
        <w:rPr>
          <w:rFonts w:ascii="Book Antiqua" w:hAnsi="Book Antiqua"/>
        </w:rPr>
        <w:t>. She said that he had instructed an advocate in Bangladesh when he was there but it was not clear as to why he did not bring the documents with him</w:t>
      </w:r>
      <w:r w:rsidR="009A5B6C">
        <w:rPr>
          <w:rFonts w:ascii="Book Antiqua" w:hAnsi="Book Antiqua"/>
        </w:rPr>
        <w:t xml:space="preserve"> if they existed at that time. </w:t>
      </w:r>
      <w:r w:rsidR="001F1113">
        <w:rPr>
          <w:rFonts w:ascii="Book Antiqua" w:hAnsi="Book Antiqua"/>
        </w:rPr>
        <w:t>She pointed out that the documents would have</w:t>
      </w:r>
      <w:r w:rsidR="00CF7659">
        <w:rPr>
          <w:rFonts w:ascii="Book Antiqua" w:hAnsi="Book Antiqua"/>
        </w:rPr>
        <w:t xml:space="preserve"> </w:t>
      </w:r>
      <w:r w:rsidR="001F1113">
        <w:rPr>
          <w:rFonts w:ascii="Book Antiqua" w:hAnsi="Book Antiqua"/>
        </w:rPr>
        <w:t xml:space="preserve">demonstrated that he was wanted by the police </w:t>
      </w:r>
      <w:r w:rsidR="00803272">
        <w:rPr>
          <w:rFonts w:ascii="Book Antiqua" w:hAnsi="Book Antiqua"/>
        </w:rPr>
        <w:t>and she explained why he would have had time to have obtained them</w:t>
      </w:r>
      <w:r w:rsidR="00B01BBD">
        <w:rPr>
          <w:rFonts w:ascii="Book Antiqua" w:hAnsi="Book Antiqua"/>
        </w:rPr>
        <w:t>, not having left Bangladesh until a month after his visa was issued.</w:t>
      </w:r>
    </w:p>
    <w:p w:rsidR="00FE68E4" w:rsidRDefault="007A7168" w:rsidP="00F022C9">
      <w:pPr>
        <w:numPr>
          <w:ilvl w:val="0"/>
          <w:numId w:val="2"/>
        </w:numPr>
        <w:spacing w:before="240"/>
        <w:jc w:val="both"/>
        <w:rPr>
          <w:rFonts w:ascii="Book Antiqua" w:hAnsi="Book Antiqua"/>
        </w:rPr>
      </w:pPr>
      <w:r>
        <w:rPr>
          <w:rFonts w:ascii="Book Antiqua" w:hAnsi="Book Antiqua"/>
        </w:rPr>
        <w:t xml:space="preserve">She noted discrepancies in the </w:t>
      </w:r>
      <w:r w:rsidR="001679ED">
        <w:rPr>
          <w:rFonts w:ascii="Book Antiqua" w:hAnsi="Book Antiqua"/>
        </w:rPr>
        <w:t>documents, including in relation to the appellant being said to have been present in Bangladesh on certain</w:t>
      </w:r>
      <w:r w:rsidR="00335F60">
        <w:rPr>
          <w:rFonts w:ascii="Book Antiqua" w:hAnsi="Book Antiqua"/>
        </w:rPr>
        <w:t xml:space="preserve"> dates but by which time he was in the UK. </w:t>
      </w:r>
      <w:r w:rsidR="001035D1">
        <w:rPr>
          <w:rFonts w:ascii="Book Antiqua" w:hAnsi="Book Antiqua"/>
        </w:rPr>
        <w:t xml:space="preserve">A document described as the </w:t>
      </w:r>
      <w:proofErr w:type="spellStart"/>
      <w:r w:rsidR="001035D1">
        <w:rPr>
          <w:rFonts w:ascii="Book Antiqua" w:hAnsi="Book Antiqua"/>
        </w:rPr>
        <w:t>Ehajar</w:t>
      </w:r>
      <w:proofErr w:type="spellEnd"/>
      <w:r w:rsidR="001035D1">
        <w:rPr>
          <w:rFonts w:ascii="Book Antiqua" w:hAnsi="Book Antiqua"/>
        </w:rPr>
        <w:t xml:space="preserve"> referred to the appellant being the leader</w:t>
      </w:r>
      <w:r w:rsidR="008A0AB3">
        <w:rPr>
          <w:rFonts w:ascii="Book Antiqua" w:hAnsi="Book Antiqua"/>
        </w:rPr>
        <w:t xml:space="preserve"> in the commission of the offence yet that was not the appellant’</w:t>
      </w:r>
      <w:r w:rsidR="00D02270">
        <w:rPr>
          <w:rFonts w:ascii="Book Antiqua" w:hAnsi="Book Antiqua"/>
        </w:rPr>
        <w:t xml:space="preserve">s evidence. The appellant said that he was charged on 19 June </w:t>
      </w:r>
      <w:r w:rsidR="001C4167">
        <w:rPr>
          <w:rFonts w:ascii="Book Antiqua" w:hAnsi="Book Antiqua"/>
        </w:rPr>
        <w:t>200</w:t>
      </w:r>
      <w:r w:rsidR="00D02270">
        <w:rPr>
          <w:rFonts w:ascii="Book Antiqua" w:hAnsi="Book Antiqua"/>
        </w:rPr>
        <w:t>9 but the charge sheet was not signed by the officer</w:t>
      </w:r>
      <w:r w:rsidR="00697E5E">
        <w:rPr>
          <w:rFonts w:ascii="Book Antiqua" w:hAnsi="Book Antiqua"/>
        </w:rPr>
        <w:t xml:space="preserve"> in charge until 20 September 2009. </w:t>
      </w:r>
      <w:r w:rsidR="003A0F44">
        <w:rPr>
          <w:rFonts w:ascii="Book Antiqua" w:hAnsi="Book Antiqua"/>
        </w:rPr>
        <w:t xml:space="preserve">She noted that this was not a situation where the appellant’s </w:t>
      </w:r>
      <w:r w:rsidR="00926762">
        <w:rPr>
          <w:rFonts w:ascii="Book Antiqua" w:hAnsi="Book Antiqua"/>
        </w:rPr>
        <w:t>solicitors had corresponded with the advocate in Bangladesh</w:t>
      </w:r>
      <w:r w:rsidR="00D3073F">
        <w:rPr>
          <w:rFonts w:ascii="Book Antiqua" w:hAnsi="Book Antiqua"/>
        </w:rPr>
        <w:t xml:space="preserve"> in order to obtain the documents.</w:t>
      </w:r>
    </w:p>
    <w:p w:rsidR="00FE68E4" w:rsidRDefault="003E5F8D" w:rsidP="00F022C9">
      <w:pPr>
        <w:numPr>
          <w:ilvl w:val="0"/>
          <w:numId w:val="2"/>
        </w:numPr>
        <w:spacing w:before="240"/>
        <w:jc w:val="both"/>
        <w:rPr>
          <w:rFonts w:ascii="Book Antiqua" w:hAnsi="Book Antiqua"/>
        </w:rPr>
      </w:pPr>
      <w:r>
        <w:rPr>
          <w:rFonts w:ascii="Book Antiqua" w:hAnsi="Book Antiqua"/>
        </w:rPr>
        <w:lastRenderedPageBreak/>
        <w:t xml:space="preserve">In concluding </w:t>
      </w:r>
      <w:r w:rsidR="001C4167">
        <w:rPr>
          <w:rFonts w:ascii="Book Antiqua" w:hAnsi="Book Antiqua"/>
        </w:rPr>
        <w:t xml:space="preserve">at </w:t>
      </w:r>
      <w:r>
        <w:rPr>
          <w:rFonts w:ascii="Book Antiqua" w:hAnsi="Book Antiqua"/>
        </w:rPr>
        <w:t xml:space="preserve">[44] the </w:t>
      </w:r>
      <w:proofErr w:type="spellStart"/>
      <w:r>
        <w:rPr>
          <w:rFonts w:ascii="Book Antiqua" w:hAnsi="Book Antiqua"/>
        </w:rPr>
        <w:t>FtJ</w:t>
      </w:r>
      <w:proofErr w:type="spellEnd"/>
      <w:r>
        <w:rPr>
          <w:rFonts w:ascii="Book Antiqua" w:hAnsi="Book Antiqua"/>
        </w:rPr>
        <w:t xml:space="preserve"> said that she was not satisfied that the </w:t>
      </w:r>
      <w:r w:rsidR="00EE43C1">
        <w:rPr>
          <w:rFonts w:ascii="Book Antiqua" w:hAnsi="Book Antiqua"/>
        </w:rPr>
        <w:t xml:space="preserve">documents were “wholly reliable” but that she took them into account “in the round with the remaining evidence”. </w:t>
      </w:r>
    </w:p>
    <w:p w:rsidR="003B6C0B" w:rsidRDefault="003B6C0B" w:rsidP="00F022C9">
      <w:pPr>
        <w:numPr>
          <w:ilvl w:val="0"/>
          <w:numId w:val="2"/>
        </w:numPr>
        <w:spacing w:before="240"/>
        <w:jc w:val="both"/>
        <w:rPr>
          <w:rFonts w:ascii="Book Antiqua" w:hAnsi="Book Antiqua"/>
        </w:rPr>
      </w:pPr>
      <w:r>
        <w:rPr>
          <w:rFonts w:ascii="Book Antiqua" w:hAnsi="Book Antiqua"/>
        </w:rPr>
        <w:t xml:space="preserve">An aspect of that other evidence was </w:t>
      </w:r>
      <w:r w:rsidR="00962497">
        <w:rPr>
          <w:rFonts w:ascii="Book Antiqua" w:hAnsi="Book Antiqua"/>
        </w:rPr>
        <w:t xml:space="preserve">Mr Islam’s evidence that during his visit to Bangladesh the police visited the appellant’s home to get information </w:t>
      </w:r>
      <w:r w:rsidR="005405E2">
        <w:rPr>
          <w:rFonts w:ascii="Book Antiqua" w:hAnsi="Book Antiqua"/>
        </w:rPr>
        <w:t>on his whereabouts and threatened his family to persuade him to surrender</w:t>
      </w:r>
      <w:r w:rsidR="003C122A">
        <w:rPr>
          <w:rFonts w:ascii="Book Antiqua" w:hAnsi="Book Antiqua"/>
        </w:rPr>
        <w:t xml:space="preserve">. The </w:t>
      </w:r>
      <w:proofErr w:type="spellStart"/>
      <w:r w:rsidR="003C122A">
        <w:rPr>
          <w:rFonts w:ascii="Book Antiqua" w:hAnsi="Book Antiqua"/>
        </w:rPr>
        <w:t>FtJ</w:t>
      </w:r>
      <w:proofErr w:type="spellEnd"/>
      <w:r w:rsidR="003C122A">
        <w:rPr>
          <w:rFonts w:ascii="Book Antiqua" w:hAnsi="Book Antiqua"/>
        </w:rPr>
        <w:t xml:space="preserve"> noted that there was no evidence from members of the appellant’s household to support that aspect of the claim</w:t>
      </w:r>
      <w:r w:rsidR="003C0DA8">
        <w:rPr>
          <w:rFonts w:ascii="Book Antiqua" w:hAnsi="Book Antiqua"/>
        </w:rPr>
        <w:t xml:space="preserve">, and nor was it clear that Mr Islam was actually present during what are said to have been visits by the police. </w:t>
      </w:r>
    </w:p>
    <w:p w:rsidR="00B01BBD" w:rsidRDefault="005F0B87" w:rsidP="00F022C9">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also referred to</w:t>
      </w:r>
      <w:r w:rsidR="00C36F5E">
        <w:rPr>
          <w:rFonts w:ascii="Book Antiqua" w:hAnsi="Book Antiqua"/>
        </w:rPr>
        <w:t xml:space="preserve"> inconsistency in relation to the name of the advocate in Bangladesh as between the evidence of the appellant’s cousin and the </w:t>
      </w:r>
      <w:r w:rsidR="00D756DD">
        <w:rPr>
          <w:rFonts w:ascii="Book Antiqua" w:hAnsi="Book Antiqua"/>
        </w:rPr>
        <w:t xml:space="preserve">documentary evidence. </w:t>
      </w:r>
    </w:p>
    <w:p w:rsidR="00745133" w:rsidRDefault="00745133" w:rsidP="00F022C9">
      <w:pPr>
        <w:numPr>
          <w:ilvl w:val="0"/>
          <w:numId w:val="2"/>
        </w:numPr>
        <w:spacing w:before="240"/>
        <w:jc w:val="both"/>
        <w:rPr>
          <w:rFonts w:ascii="Book Antiqua" w:hAnsi="Book Antiqua"/>
        </w:rPr>
      </w:pPr>
      <w:r>
        <w:rPr>
          <w:rFonts w:ascii="Book Antiqua" w:hAnsi="Book Antiqua"/>
        </w:rPr>
        <w:t xml:space="preserve">She had already referred at </w:t>
      </w:r>
      <w:r w:rsidR="00D67B9D">
        <w:rPr>
          <w:rFonts w:ascii="Book Antiqua" w:hAnsi="Book Antiqua"/>
        </w:rPr>
        <w:t xml:space="preserve">[44] to the timing of the appellant’s asylum claim, noting that he claimed asylum after having been in the UK for </w:t>
      </w:r>
      <w:r w:rsidR="000F0622">
        <w:rPr>
          <w:rFonts w:ascii="Book Antiqua" w:hAnsi="Book Antiqua"/>
        </w:rPr>
        <w:t xml:space="preserve">some </w:t>
      </w:r>
      <w:r w:rsidR="00D67B9D">
        <w:rPr>
          <w:rFonts w:ascii="Book Antiqua" w:hAnsi="Book Antiqua"/>
        </w:rPr>
        <w:t>three years</w:t>
      </w:r>
      <w:r w:rsidR="000F0622">
        <w:rPr>
          <w:rFonts w:ascii="Book Antiqua" w:hAnsi="Book Antiqua"/>
        </w:rPr>
        <w:t xml:space="preserve"> and having worked as a chef without permission. </w:t>
      </w:r>
    </w:p>
    <w:p w:rsidR="008F1226" w:rsidRDefault="00D3073F" w:rsidP="00F022C9">
      <w:pPr>
        <w:numPr>
          <w:ilvl w:val="0"/>
          <w:numId w:val="2"/>
        </w:numPr>
        <w:spacing w:before="240"/>
        <w:jc w:val="both"/>
        <w:rPr>
          <w:rFonts w:ascii="Book Antiqua" w:hAnsi="Book Antiqua"/>
        </w:rPr>
      </w:pPr>
      <w:r>
        <w:rPr>
          <w:rFonts w:ascii="Book Antiqua" w:hAnsi="Book Antiqua"/>
        </w:rPr>
        <w:t xml:space="preserve">There was then </w:t>
      </w:r>
      <w:r w:rsidR="003053B3">
        <w:rPr>
          <w:rFonts w:ascii="Book Antiqua" w:hAnsi="Book Antiqua"/>
        </w:rPr>
        <w:t>further consideration of other aspects of the evidence in terms of how the appellant’s witness statement was taken</w:t>
      </w:r>
      <w:r w:rsidR="003B2ACD">
        <w:rPr>
          <w:rFonts w:ascii="Book Antiqua" w:hAnsi="Book Antiqua"/>
        </w:rPr>
        <w:t xml:space="preserve"> and the appellant’s </w:t>
      </w:r>
      <w:r w:rsidR="00745133">
        <w:rPr>
          <w:rFonts w:ascii="Book Antiqua" w:hAnsi="Book Antiqua"/>
        </w:rPr>
        <w:t xml:space="preserve">observance of his faith in the </w:t>
      </w:r>
      <w:r w:rsidR="00EE519C">
        <w:rPr>
          <w:rFonts w:ascii="Book Antiqua" w:hAnsi="Book Antiqua"/>
        </w:rPr>
        <w:t xml:space="preserve">UK. At [50] the </w:t>
      </w:r>
      <w:proofErr w:type="spellStart"/>
      <w:r w:rsidR="00EE519C">
        <w:rPr>
          <w:rFonts w:ascii="Book Antiqua" w:hAnsi="Book Antiqua"/>
        </w:rPr>
        <w:t>FtJ</w:t>
      </w:r>
      <w:proofErr w:type="spellEnd"/>
      <w:r w:rsidR="001C2305">
        <w:rPr>
          <w:rFonts w:ascii="Book Antiqua" w:hAnsi="Book Antiqua"/>
        </w:rPr>
        <w:t xml:space="preserve"> stated that she took into account the appellant’s mental health when assessing his evidence</w:t>
      </w:r>
      <w:r w:rsidR="003A75BE">
        <w:rPr>
          <w:rFonts w:ascii="Book Antiqua" w:hAnsi="Book Antiqua"/>
        </w:rPr>
        <w:t>, made reference to the discrepancies she found in the documentary evidence</w:t>
      </w:r>
      <w:r w:rsidR="002338CB">
        <w:rPr>
          <w:rFonts w:ascii="Book Antiqua" w:hAnsi="Book Antiqua"/>
        </w:rPr>
        <w:t>, in the evidence of Mr Islam and the timing of the asylum claim. She conclude</w:t>
      </w:r>
      <w:r w:rsidR="001C4167">
        <w:rPr>
          <w:rFonts w:ascii="Book Antiqua" w:hAnsi="Book Antiqua"/>
        </w:rPr>
        <w:t>d</w:t>
      </w:r>
      <w:r w:rsidR="002338CB">
        <w:rPr>
          <w:rFonts w:ascii="Book Antiqua" w:hAnsi="Book Antiqua"/>
        </w:rPr>
        <w:t xml:space="preserve"> that part of her decision by stating that </w:t>
      </w:r>
      <w:r w:rsidR="00CE6EF5">
        <w:rPr>
          <w:rFonts w:ascii="Book Antiqua" w:hAnsi="Book Antiqua"/>
        </w:rPr>
        <w:t>with the exception of the handwritten hospital discharge notes</w:t>
      </w:r>
      <w:r w:rsidR="008F1226">
        <w:rPr>
          <w:rFonts w:ascii="Book Antiqua" w:hAnsi="Book Antiqua"/>
        </w:rPr>
        <w:t xml:space="preserve"> she was satisfied that the documents provided by the appellant were unreliable.</w:t>
      </w:r>
    </w:p>
    <w:p w:rsidR="0005433E" w:rsidRDefault="00655B4C" w:rsidP="00F022C9">
      <w:pPr>
        <w:numPr>
          <w:ilvl w:val="0"/>
          <w:numId w:val="2"/>
        </w:numPr>
        <w:spacing w:before="240"/>
        <w:jc w:val="both"/>
        <w:rPr>
          <w:rFonts w:ascii="Book Antiqua" w:hAnsi="Book Antiqua"/>
        </w:rPr>
      </w:pPr>
      <w:r>
        <w:rPr>
          <w:rFonts w:ascii="Book Antiqua" w:hAnsi="Book Antiqua"/>
        </w:rPr>
        <w:t xml:space="preserve">I am not satisfied that there is any inconsistency between what the </w:t>
      </w:r>
      <w:proofErr w:type="spellStart"/>
      <w:r>
        <w:rPr>
          <w:rFonts w:ascii="Book Antiqua" w:hAnsi="Book Antiqua"/>
        </w:rPr>
        <w:t>FtJ</w:t>
      </w:r>
      <w:proofErr w:type="spellEnd"/>
      <w:r>
        <w:rPr>
          <w:rFonts w:ascii="Book Antiqua" w:hAnsi="Book Antiqua"/>
        </w:rPr>
        <w:t xml:space="preserve"> said at [44] about the </w:t>
      </w:r>
      <w:r w:rsidR="00175BE3">
        <w:rPr>
          <w:rFonts w:ascii="Book Antiqua" w:hAnsi="Book Antiqua"/>
        </w:rPr>
        <w:t xml:space="preserve">documents not being “wholly reliable” and </w:t>
      </w:r>
      <w:r w:rsidR="007025D8">
        <w:rPr>
          <w:rFonts w:ascii="Book Antiqua" w:hAnsi="Book Antiqua"/>
        </w:rPr>
        <w:t>her conclusion at [50] that they were unreliable.</w:t>
      </w:r>
      <w:r w:rsidR="00130505">
        <w:rPr>
          <w:rFonts w:ascii="Book Antiqua" w:hAnsi="Book Antiqua"/>
        </w:rPr>
        <w:t xml:space="preserve"> T</w:t>
      </w:r>
      <w:r w:rsidR="00BE3F7A">
        <w:rPr>
          <w:rFonts w:ascii="Book Antiqua" w:hAnsi="Book Antiqua"/>
        </w:rPr>
        <w:t>he assessment at [44] was seemingly in the way of a preliminary assessment pending further consideration of the evidence, and the evidence in the round</w:t>
      </w:r>
      <w:r w:rsidR="002A1F76">
        <w:rPr>
          <w:rFonts w:ascii="Book Antiqua" w:hAnsi="Book Antiqua"/>
        </w:rPr>
        <w:t xml:space="preserve">, with the </w:t>
      </w:r>
      <w:proofErr w:type="spellStart"/>
      <w:r w:rsidR="002A1F76">
        <w:rPr>
          <w:rFonts w:ascii="Book Antiqua" w:hAnsi="Book Antiqua"/>
        </w:rPr>
        <w:t>FtJ</w:t>
      </w:r>
      <w:proofErr w:type="spellEnd"/>
      <w:r w:rsidR="002A1F76">
        <w:rPr>
          <w:rFonts w:ascii="Book Antiqua" w:hAnsi="Book Antiqua"/>
        </w:rPr>
        <w:t xml:space="preserve"> expressly referring to the need to appraise the documents in that context.</w:t>
      </w:r>
    </w:p>
    <w:p w:rsidR="00B00C0B" w:rsidRDefault="00330544" w:rsidP="00F022C9">
      <w:pPr>
        <w:numPr>
          <w:ilvl w:val="0"/>
          <w:numId w:val="2"/>
        </w:numPr>
        <w:spacing w:before="240"/>
        <w:jc w:val="both"/>
        <w:rPr>
          <w:rFonts w:ascii="Book Antiqua" w:hAnsi="Book Antiqua"/>
        </w:rPr>
      </w:pPr>
      <w:r>
        <w:rPr>
          <w:rFonts w:ascii="Book Antiqua" w:hAnsi="Book Antiqua"/>
        </w:rPr>
        <w:t xml:space="preserve">As to the </w:t>
      </w:r>
      <w:r w:rsidR="0005433E">
        <w:rPr>
          <w:rFonts w:ascii="Book Antiqua" w:hAnsi="Book Antiqua"/>
        </w:rPr>
        <w:t xml:space="preserve">reasons for considering that </w:t>
      </w:r>
      <w:r w:rsidR="0085528A">
        <w:rPr>
          <w:rFonts w:ascii="Book Antiqua" w:hAnsi="Book Antiqua"/>
        </w:rPr>
        <w:t xml:space="preserve">the evidence in relation to how the appellant’s appeal statement was obtained was </w:t>
      </w:r>
      <w:r w:rsidR="00732D2C">
        <w:rPr>
          <w:rFonts w:ascii="Book Antiqua" w:hAnsi="Book Antiqua"/>
        </w:rPr>
        <w:t>lacking in credibility</w:t>
      </w:r>
      <w:r>
        <w:rPr>
          <w:rFonts w:ascii="Book Antiqua" w:hAnsi="Book Antiqua"/>
        </w:rPr>
        <w:t>, a</w:t>
      </w:r>
      <w:r w:rsidR="00732D2C">
        <w:rPr>
          <w:rFonts w:ascii="Book Antiqua" w:hAnsi="Book Antiqua"/>
        </w:rPr>
        <w:t xml:space="preserve">t [47] </w:t>
      </w:r>
      <w:r>
        <w:rPr>
          <w:rFonts w:ascii="Book Antiqua" w:hAnsi="Book Antiqua"/>
        </w:rPr>
        <w:t xml:space="preserve">the </w:t>
      </w:r>
      <w:proofErr w:type="spellStart"/>
      <w:r>
        <w:rPr>
          <w:rFonts w:ascii="Book Antiqua" w:hAnsi="Book Antiqua"/>
        </w:rPr>
        <w:t>FtJ</w:t>
      </w:r>
      <w:proofErr w:type="spellEnd"/>
      <w:r w:rsidR="00732D2C">
        <w:rPr>
          <w:rFonts w:ascii="Book Antiqua" w:hAnsi="Book Antiqua"/>
        </w:rPr>
        <w:t xml:space="preserve"> described the evidence </w:t>
      </w:r>
      <w:r>
        <w:rPr>
          <w:rFonts w:ascii="Book Antiqua" w:hAnsi="Book Antiqua"/>
        </w:rPr>
        <w:t>on that issue</w:t>
      </w:r>
      <w:r w:rsidR="00732D2C">
        <w:rPr>
          <w:rFonts w:ascii="Book Antiqua" w:hAnsi="Book Antiqua"/>
        </w:rPr>
        <w:t xml:space="preserve"> as </w:t>
      </w:r>
      <w:r w:rsidR="008857D4">
        <w:rPr>
          <w:rFonts w:ascii="Book Antiqua" w:hAnsi="Book Antiqua"/>
        </w:rPr>
        <w:t>“vague and implausible”.</w:t>
      </w:r>
      <w:r w:rsidR="00EE519C">
        <w:rPr>
          <w:rFonts w:ascii="Book Antiqua" w:hAnsi="Book Antiqua"/>
        </w:rPr>
        <w:t xml:space="preserve"> </w:t>
      </w:r>
      <w:r w:rsidR="000F743E">
        <w:rPr>
          <w:rFonts w:ascii="Book Antiqua" w:hAnsi="Book Antiqua"/>
        </w:rPr>
        <w:t>She set out the evidence that she was given in that respect</w:t>
      </w:r>
      <w:r w:rsidR="00B11901">
        <w:rPr>
          <w:rFonts w:ascii="Book Antiqua" w:hAnsi="Book Antiqua"/>
        </w:rPr>
        <w:t xml:space="preserve">. She referred to Mr Islam’s denial that the </w:t>
      </w:r>
      <w:r w:rsidR="00DC35AF">
        <w:rPr>
          <w:rFonts w:ascii="Book Antiqua" w:hAnsi="Book Antiqua"/>
        </w:rPr>
        <w:t xml:space="preserve">statement had been put together for the appellant and that he was asked about the fact that the </w:t>
      </w:r>
      <w:r w:rsidR="00921C91">
        <w:rPr>
          <w:rFonts w:ascii="Book Antiqua" w:hAnsi="Book Antiqua"/>
        </w:rPr>
        <w:t>statement is written in English but there was no evidence that it was read back to the appellant in Bengali</w:t>
      </w:r>
      <w:r w:rsidR="00130505">
        <w:rPr>
          <w:rFonts w:ascii="Book Antiqua" w:hAnsi="Book Antiqua"/>
        </w:rPr>
        <w:t xml:space="preserve">. She noted </w:t>
      </w:r>
      <w:r w:rsidR="007E57E3">
        <w:rPr>
          <w:rFonts w:ascii="Book Antiqua" w:hAnsi="Book Antiqua"/>
        </w:rPr>
        <w:t>Mr Islam’s answer</w:t>
      </w:r>
      <w:r w:rsidR="00130505">
        <w:rPr>
          <w:rFonts w:ascii="Book Antiqua" w:hAnsi="Book Antiqua"/>
        </w:rPr>
        <w:t xml:space="preserve"> to that point in terms of the</w:t>
      </w:r>
      <w:r w:rsidR="007E57E3">
        <w:rPr>
          <w:rFonts w:ascii="Book Antiqua" w:hAnsi="Book Antiqua"/>
        </w:rPr>
        <w:t xml:space="preserve"> solicitor who spoke Bengali telling the </w:t>
      </w:r>
      <w:r w:rsidR="00B00C0B">
        <w:rPr>
          <w:rFonts w:ascii="Book Antiqua" w:hAnsi="Book Antiqua"/>
        </w:rPr>
        <w:t xml:space="preserve">appellant what the statement </w:t>
      </w:r>
      <w:r w:rsidR="00130505">
        <w:rPr>
          <w:rFonts w:ascii="Book Antiqua" w:hAnsi="Book Antiqua"/>
        </w:rPr>
        <w:t>“</w:t>
      </w:r>
      <w:r w:rsidR="00B00C0B">
        <w:rPr>
          <w:rFonts w:ascii="Book Antiqua" w:hAnsi="Book Antiqua"/>
        </w:rPr>
        <w:t>was about</w:t>
      </w:r>
      <w:r w:rsidR="00130505">
        <w:rPr>
          <w:rFonts w:ascii="Book Antiqua" w:hAnsi="Book Antiqua"/>
        </w:rPr>
        <w:t>”</w:t>
      </w:r>
      <w:r w:rsidR="00921C91">
        <w:rPr>
          <w:rFonts w:ascii="Book Antiqua" w:hAnsi="Book Antiqua"/>
        </w:rPr>
        <w:t>.</w:t>
      </w:r>
    </w:p>
    <w:p w:rsidR="00014651" w:rsidRDefault="00921C91" w:rsidP="00A238DF">
      <w:pPr>
        <w:numPr>
          <w:ilvl w:val="0"/>
          <w:numId w:val="2"/>
        </w:numPr>
        <w:spacing w:before="240"/>
        <w:jc w:val="both"/>
        <w:rPr>
          <w:rFonts w:ascii="Book Antiqua" w:hAnsi="Book Antiqua"/>
        </w:rPr>
      </w:pPr>
      <w:r>
        <w:rPr>
          <w:rFonts w:ascii="Book Antiqua" w:hAnsi="Book Antiqua"/>
        </w:rPr>
        <w:t>She</w:t>
      </w:r>
      <w:r w:rsidR="00B00C0B">
        <w:rPr>
          <w:rFonts w:ascii="Book Antiqua" w:hAnsi="Book Antiqua"/>
        </w:rPr>
        <w:t xml:space="preserve"> referred to the</w:t>
      </w:r>
      <w:r w:rsidR="00130505">
        <w:rPr>
          <w:rFonts w:ascii="Book Antiqua" w:hAnsi="Book Antiqua"/>
        </w:rPr>
        <w:t xml:space="preserve"> appellant’s</w:t>
      </w:r>
      <w:r w:rsidR="00B00C0B">
        <w:rPr>
          <w:rFonts w:ascii="Book Antiqua" w:hAnsi="Book Antiqua"/>
        </w:rPr>
        <w:t xml:space="preserve"> statement as being extremely detailed</w:t>
      </w:r>
      <w:r w:rsidR="00A4551B">
        <w:rPr>
          <w:rFonts w:ascii="Book Antiqua" w:hAnsi="Book Antiqua"/>
        </w:rPr>
        <w:t>, even including dates and other details relating to events over five years ago</w:t>
      </w:r>
      <w:r w:rsidR="00B54C4C">
        <w:rPr>
          <w:rFonts w:ascii="Book Antiqua" w:hAnsi="Book Antiqua"/>
        </w:rPr>
        <w:t xml:space="preserve">, and that it amounted to submissions in parts in response to the refusal </w:t>
      </w:r>
      <w:proofErr w:type="gramStart"/>
      <w:r w:rsidR="00B54C4C">
        <w:rPr>
          <w:rFonts w:ascii="Book Antiqua" w:hAnsi="Book Antiqua"/>
        </w:rPr>
        <w:t>letter, and</w:t>
      </w:r>
      <w:proofErr w:type="gramEnd"/>
      <w:r w:rsidR="00B54C4C">
        <w:rPr>
          <w:rFonts w:ascii="Book Antiqua" w:hAnsi="Book Antiqua"/>
        </w:rPr>
        <w:t xml:space="preserve"> referring to background </w:t>
      </w:r>
      <w:r w:rsidR="00B54C4C">
        <w:rPr>
          <w:rFonts w:ascii="Book Antiqua" w:hAnsi="Book Antiqua"/>
        </w:rPr>
        <w:lastRenderedPageBreak/>
        <w:t>evidence in detail</w:t>
      </w:r>
      <w:r w:rsidR="00D41837">
        <w:rPr>
          <w:rFonts w:ascii="Book Antiqua" w:hAnsi="Book Antiqua"/>
        </w:rPr>
        <w:t xml:space="preserve">. She </w:t>
      </w:r>
      <w:r w:rsidR="00127CE8">
        <w:rPr>
          <w:rFonts w:ascii="Book Antiqua" w:hAnsi="Book Antiqua"/>
        </w:rPr>
        <w:t xml:space="preserve">concluded that its quality and content </w:t>
      </w:r>
      <w:r w:rsidR="00650DE0">
        <w:rPr>
          <w:rFonts w:ascii="Book Antiqua" w:hAnsi="Book Antiqua"/>
        </w:rPr>
        <w:t>was</w:t>
      </w:r>
      <w:r w:rsidR="00127CE8">
        <w:rPr>
          <w:rFonts w:ascii="Book Antiqua" w:hAnsi="Book Antiqua"/>
        </w:rPr>
        <w:t xml:space="preserve"> not compatible with the opinion of Dr </w:t>
      </w:r>
      <w:proofErr w:type="spellStart"/>
      <w:r w:rsidR="00127CE8">
        <w:rPr>
          <w:rFonts w:ascii="Book Antiqua" w:hAnsi="Book Antiqua"/>
        </w:rPr>
        <w:t>Srikumar</w:t>
      </w:r>
      <w:proofErr w:type="spellEnd"/>
      <w:r w:rsidR="00127CE8">
        <w:rPr>
          <w:rFonts w:ascii="Book Antiqua" w:hAnsi="Book Antiqua"/>
        </w:rPr>
        <w:t xml:space="preserve"> </w:t>
      </w:r>
      <w:r w:rsidR="00823985">
        <w:rPr>
          <w:rFonts w:ascii="Book Antiqua" w:hAnsi="Book Antiqua"/>
        </w:rPr>
        <w:t>that the appellant was not able to give oral evidence or to participate in the proceedings</w:t>
      </w:r>
      <w:r w:rsidR="00411868">
        <w:rPr>
          <w:rFonts w:ascii="Book Antiqua" w:hAnsi="Book Antiqua"/>
        </w:rPr>
        <w:t xml:space="preserve">, stating that she questioned the extent to which “this evidence” (the appellant’s evidence) </w:t>
      </w:r>
      <w:r w:rsidR="00A238DF">
        <w:rPr>
          <w:rFonts w:ascii="Book Antiqua" w:hAnsi="Book Antiqua"/>
        </w:rPr>
        <w:t>can be relied on and indeed who drafted the statement.</w:t>
      </w:r>
    </w:p>
    <w:p w:rsidR="009A45AD" w:rsidRDefault="00014651" w:rsidP="00A238DF">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then </w:t>
      </w:r>
      <w:r w:rsidR="00F8539F">
        <w:rPr>
          <w:rFonts w:ascii="Book Antiqua" w:hAnsi="Book Antiqua"/>
        </w:rPr>
        <w:t>referred to the lack of supporting evidence in relation to the appellant’s claimed Ahmadi faith</w:t>
      </w:r>
      <w:r w:rsidR="009A45AD">
        <w:rPr>
          <w:rFonts w:ascii="Book Antiqua" w:hAnsi="Book Antiqua"/>
        </w:rPr>
        <w:t>, later concluding that he had not established that he was of that faith.</w:t>
      </w:r>
    </w:p>
    <w:p w:rsidR="003053B3" w:rsidRDefault="00A06D5C" w:rsidP="00A238DF">
      <w:pPr>
        <w:numPr>
          <w:ilvl w:val="0"/>
          <w:numId w:val="2"/>
        </w:numPr>
        <w:spacing w:before="240"/>
        <w:jc w:val="both"/>
        <w:rPr>
          <w:rFonts w:ascii="Book Antiqua" w:hAnsi="Book Antiqua"/>
        </w:rPr>
      </w:pPr>
      <w:r>
        <w:rPr>
          <w:rFonts w:ascii="Book Antiqua" w:hAnsi="Book Antiqua"/>
        </w:rPr>
        <w:t>It is true that she did not refer in detail to the background evidence that was before her, although as I have indicated</w:t>
      </w:r>
      <w:r w:rsidR="00130505">
        <w:rPr>
          <w:rFonts w:ascii="Book Antiqua" w:hAnsi="Book Antiqua"/>
        </w:rPr>
        <w:t xml:space="preserve"> </w:t>
      </w:r>
      <w:r>
        <w:rPr>
          <w:rFonts w:ascii="Book Antiqua" w:hAnsi="Book Antiqua"/>
        </w:rPr>
        <w:t xml:space="preserve">she did cite it as part of the evidence </w:t>
      </w:r>
      <w:r w:rsidR="0024093D">
        <w:rPr>
          <w:rFonts w:ascii="Book Antiqua" w:hAnsi="Book Antiqua"/>
        </w:rPr>
        <w:t xml:space="preserve">provided in support of the appeal. She also noted at [8] the respondent’s country information </w:t>
      </w:r>
      <w:r w:rsidR="00C17103">
        <w:rPr>
          <w:rFonts w:ascii="Book Antiqua" w:hAnsi="Book Antiqua"/>
        </w:rPr>
        <w:t xml:space="preserve">in relation to minority religious groups in Bangladesh. </w:t>
      </w:r>
      <w:r w:rsidR="00ED5F3C">
        <w:rPr>
          <w:rFonts w:ascii="Book Antiqua" w:hAnsi="Book Antiqua"/>
        </w:rPr>
        <w:t xml:space="preserve">She </w:t>
      </w:r>
      <w:r w:rsidR="00753336">
        <w:rPr>
          <w:rFonts w:ascii="Book Antiqua" w:hAnsi="Book Antiqua"/>
        </w:rPr>
        <w:t xml:space="preserve">referred at [20] to the grounds of appeal which </w:t>
      </w:r>
      <w:r w:rsidR="00D90E74">
        <w:rPr>
          <w:rFonts w:ascii="Book Antiqua" w:hAnsi="Book Antiqua"/>
        </w:rPr>
        <w:t>themselves said</w:t>
      </w:r>
      <w:r w:rsidR="00DE042A">
        <w:rPr>
          <w:rFonts w:ascii="Book Antiqua" w:hAnsi="Book Antiqua"/>
        </w:rPr>
        <w:t xml:space="preserve"> that the background material did </w:t>
      </w:r>
      <w:r w:rsidR="00DE042A" w:rsidRPr="00130505">
        <w:rPr>
          <w:rFonts w:ascii="Book Antiqua" w:hAnsi="Book Antiqua"/>
          <w:u w:val="single"/>
        </w:rPr>
        <w:t>not</w:t>
      </w:r>
      <w:r w:rsidR="00DE042A">
        <w:rPr>
          <w:rFonts w:ascii="Book Antiqua" w:hAnsi="Book Antiqua"/>
        </w:rPr>
        <w:t xml:space="preserve"> suggest that there was persecution </w:t>
      </w:r>
      <w:r w:rsidR="00DE042A">
        <w:rPr>
          <w:rFonts w:ascii="Book Antiqua" w:hAnsi="Book Antiqua"/>
          <w:i/>
        </w:rPr>
        <w:t>per se</w:t>
      </w:r>
      <w:r w:rsidR="00DE042A">
        <w:rPr>
          <w:rFonts w:ascii="Book Antiqua" w:hAnsi="Book Antiqua"/>
        </w:rPr>
        <w:t xml:space="preserve"> of Ahmadis</w:t>
      </w:r>
      <w:r w:rsidR="0003447F">
        <w:rPr>
          <w:rFonts w:ascii="Book Antiqua" w:hAnsi="Book Antiqua"/>
        </w:rPr>
        <w:t>.</w:t>
      </w:r>
    </w:p>
    <w:p w:rsidR="0003447F" w:rsidRDefault="0003447F" w:rsidP="00A238DF">
      <w:pPr>
        <w:numPr>
          <w:ilvl w:val="0"/>
          <w:numId w:val="2"/>
        </w:numPr>
        <w:spacing w:before="240"/>
        <w:jc w:val="both"/>
        <w:rPr>
          <w:rFonts w:ascii="Book Antiqua" w:hAnsi="Book Antiqua"/>
        </w:rPr>
      </w:pPr>
      <w:r>
        <w:rPr>
          <w:rFonts w:ascii="Book Antiqua" w:hAnsi="Book Antiqua"/>
        </w:rPr>
        <w:t xml:space="preserve">The </w:t>
      </w:r>
      <w:proofErr w:type="spellStart"/>
      <w:r>
        <w:rPr>
          <w:rFonts w:ascii="Book Antiqua" w:hAnsi="Book Antiqua"/>
        </w:rPr>
        <w:t>FtJ</w:t>
      </w:r>
      <w:proofErr w:type="spellEnd"/>
      <w:r>
        <w:rPr>
          <w:rFonts w:ascii="Book Antiqua" w:hAnsi="Book Antiqua"/>
        </w:rPr>
        <w:t xml:space="preserve"> did not reject the appellant’s claim because of any finding that it was not a claim that was consistent with country background material. </w:t>
      </w:r>
      <w:r w:rsidR="00CD2260">
        <w:rPr>
          <w:rFonts w:ascii="Book Antiqua" w:hAnsi="Book Antiqua"/>
        </w:rPr>
        <w:t xml:space="preserve">Nothing in her decision </w:t>
      </w:r>
      <w:r w:rsidR="00C804DC">
        <w:rPr>
          <w:rFonts w:ascii="Book Antiqua" w:hAnsi="Book Antiqua"/>
        </w:rPr>
        <w:t xml:space="preserve">suggests that she considered his account of past persecution or claimed fear or persecution on return to be inconsistent with </w:t>
      </w:r>
      <w:r w:rsidR="00DF4376">
        <w:rPr>
          <w:rFonts w:ascii="Book Antiqua" w:hAnsi="Book Antiqua"/>
        </w:rPr>
        <w:t>the situation for Ahmadis in Bangladesh. I accept that</w:t>
      </w:r>
      <w:r w:rsidR="00E00A13">
        <w:rPr>
          <w:rFonts w:ascii="Book Antiqua" w:hAnsi="Book Antiqua"/>
        </w:rPr>
        <w:t xml:space="preserve"> the </w:t>
      </w:r>
      <w:proofErr w:type="spellStart"/>
      <w:r w:rsidR="00E00A13">
        <w:rPr>
          <w:rFonts w:ascii="Book Antiqua" w:hAnsi="Book Antiqua"/>
        </w:rPr>
        <w:t>FtJ’s</w:t>
      </w:r>
      <w:proofErr w:type="spellEnd"/>
      <w:r w:rsidR="00E00A13">
        <w:rPr>
          <w:rFonts w:ascii="Book Antiqua" w:hAnsi="Book Antiqua"/>
        </w:rPr>
        <w:t xml:space="preserve"> decision would have benefited from</w:t>
      </w:r>
      <w:r w:rsidR="00DF4376">
        <w:rPr>
          <w:rFonts w:ascii="Book Antiqua" w:hAnsi="Book Antiqua"/>
        </w:rPr>
        <w:t xml:space="preserve"> </w:t>
      </w:r>
      <w:r w:rsidR="00E00A13">
        <w:rPr>
          <w:rFonts w:ascii="Book Antiqua" w:hAnsi="Book Antiqua"/>
        </w:rPr>
        <w:t>a</w:t>
      </w:r>
      <w:r w:rsidR="00130505">
        <w:rPr>
          <w:rFonts w:ascii="Book Antiqua" w:hAnsi="Book Antiqua"/>
        </w:rPr>
        <w:t>t least a</w:t>
      </w:r>
      <w:r w:rsidR="00E00A13">
        <w:rPr>
          <w:rFonts w:ascii="Book Antiqua" w:hAnsi="Book Antiqua"/>
        </w:rPr>
        <w:t xml:space="preserve"> summary of the background evidence </w:t>
      </w:r>
      <w:r w:rsidR="00175D5B">
        <w:rPr>
          <w:rFonts w:ascii="Book Antiqua" w:hAnsi="Book Antiqua"/>
        </w:rPr>
        <w:t>that was relied on but I am not satisfied that</w:t>
      </w:r>
      <w:r w:rsidR="00D90E74">
        <w:rPr>
          <w:rFonts w:ascii="Book Antiqua" w:hAnsi="Book Antiqua"/>
        </w:rPr>
        <w:t xml:space="preserve"> there is any error of law in her having</w:t>
      </w:r>
      <w:r w:rsidR="00163B72">
        <w:rPr>
          <w:rFonts w:ascii="Book Antiqua" w:hAnsi="Book Antiqua"/>
        </w:rPr>
        <w:t xml:space="preserve"> failed</w:t>
      </w:r>
      <w:r w:rsidR="00D90E74">
        <w:rPr>
          <w:rFonts w:ascii="Book Antiqua" w:hAnsi="Book Antiqua"/>
        </w:rPr>
        <w:t xml:space="preserve"> </w:t>
      </w:r>
      <w:r w:rsidR="00163B72">
        <w:rPr>
          <w:rFonts w:ascii="Book Antiqua" w:hAnsi="Book Antiqua"/>
        </w:rPr>
        <w:t>to have done so</w:t>
      </w:r>
      <w:r w:rsidR="00D90E74">
        <w:rPr>
          <w:rFonts w:ascii="Book Antiqua" w:hAnsi="Book Antiqua"/>
        </w:rPr>
        <w:t>, or that</w:t>
      </w:r>
      <w:r w:rsidR="00175D5B">
        <w:rPr>
          <w:rFonts w:ascii="Book Antiqua" w:hAnsi="Book Antiqua"/>
        </w:rPr>
        <w:t xml:space="preserve"> any error of law </w:t>
      </w:r>
      <w:r w:rsidR="00D90E74">
        <w:rPr>
          <w:rFonts w:ascii="Book Antiqua" w:hAnsi="Book Antiqua"/>
        </w:rPr>
        <w:t xml:space="preserve">that there is </w:t>
      </w:r>
      <w:r w:rsidR="00175D5B">
        <w:rPr>
          <w:rFonts w:ascii="Book Antiqua" w:hAnsi="Book Antiqua"/>
        </w:rPr>
        <w:t xml:space="preserve">in </w:t>
      </w:r>
      <w:r w:rsidR="00D90E74">
        <w:rPr>
          <w:rFonts w:ascii="Book Antiqua" w:hAnsi="Book Antiqua"/>
        </w:rPr>
        <w:t xml:space="preserve">that respect </w:t>
      </w:r>
      <w:r w:rsidR="00175D5B">
        <w:rPr>
          <w:rFonts w:ascii="Book Antiqua" w:hAnsi="Book Antiqua"/>
        </w:rPr>
        <w:t>is material</w:t>
      </w:r>
      <w:r w:rsidR="00CB77CC">
        <w:rPr>
          <w:rFonts w:ascii="Book Antiqua" w:hAnsi="Book Antiqua"/>
        </w:rPr>
        <w:t>.</w:t>
      </w:r>
    </w:p>
    <w:p w:rsidR="003D0CFF" w:rsidRPr="00CB77CC" w:rsidRDefault="00CB77CC" w:rsidP="00CB77CC">
      <w:pPr>
        <w:numPr>
          <w:ilvl w:val="0"/>
          <w:numId w:val="2"/>
        </w:numPr>
        <w:spacing w:before="240"/>
        <w:jc w:val="both"/>
        <w:rPr>
          <w:rFonts w:ascii="Book Antiqua" w:hAnsi="Book Antiqua"/>
        </w:rPr>
      </w:pPr>
      <w:r>
        <w:rPr>
          <w:rFonts w:ascii="Book Antiqua" w:hAnsi="Book Antiqua"/>
        </w:rPr>
        <w:t xml:space="preserve">To summarise, I am not satisfied that there is any error of law in the </w:t>
      </w:r>
      <w:proofErr w:type="spellStart"/>
      <w:r>
        <w:rPr>
          <w:rFonts w:ascii="Book Antiqua" w:hAnsi="Book Antiqua"/>
        </w:rPr>
        <w:t>FtJ’s</w:t>
      </w:r>
      <w:proofErr w:type="spellEnd"/>
      <w:r>
        <w:rPr>
          <w:rFonts w:ascii="Book Antiqua" w:hAnsi="Book Antiqua"/>
        </w:rPr>
        <w:t xml:space="preserve"> decision in any of the respects contended for, or that any error of law that there is in terms of a lack of express reference to background evidence is material. Accordingly, the decision to dismiss the appeal is to stand.</w:t>
      </w:r>
    </w:p>
    <w:p w:rsidR="000700DA" w:rsidRPr="009B1526" w:rsidRDefault="0008428B" w:rsidP="00D0075A">
      <w:pPr>
        <w:spacing w:before="240"/>
        <w:ind w:left="567"/>
        <w:jc w:val="both"/>
        <w:rPr>
          <w:rFonts w:ascii="Book Antiqua" w:hAnsi="Book Antiqua"/>
        </w:rPr>
      </w:pPr>
      <w:r>
        <w:rPr>
          <w:rFonts w:ascii="Book Antiqua" w:hAnsi="Book Antiqua"/>
          <w:i/>
          <w:noProof/>
        </w:rPr>
        <mc:AlternateContent>
          <mc:Choice Requires="wpi">
            <w:drawing>
              <wp:anchor distT="0" distB="0" distL="114300" distR="114300" simplePos="0" relativeHeight="251659264" behindDoc="0" locked="0" layoutInCell="1" allowOverlap="1" wp14:anchorId="1966A0E7" wp14:editId="42E23BCA">
                <wp:simplePos x="0" y="0"/>
                <wp:positionH relativeFrom="column">
                  <wp:posOffset>-2093890</wp:posOffset>
                </wp:positionH>
                <wp:positionV relativeFrom="paragraph">
                  <wp:posOffset>250850</wp:posOffset>
                </wp:positionV>
                <wp:extent cx="204480" cy="138600"/>
                <wp:effectExtent l="57150" t="38100" r="43180" b="5207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04480" cy="138600"/>
                      </w14:xfrm>
                    </w14:contentPart>
                  </a:graphicData>
                </a:graphic>
              </wp:anchor>
            </w:drawing>
          </mc:Choice>
          <mc:Fallback>
            <w:pict>
              <v:shapetype w14:anchorId="5726F9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5.55pt;margin-top:19.05pt;width:17.5pt;height:1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">
                <v:imagedata r:id="rId9" o:title=""/>
              </v:shape>
            </w:pict>
          </mc:Fallback>
        </mc:AlternateContent>
      </w:r>
      <w:r w:rsidR="00412E73">
        <w:rPr>
          <w:rFonts w:ascii="Book Antiqua" w:hAnsi="Book Antiqua"/>
          <w:i/>
        </w:rPr>
        <w:t>Decision</w:t>
      </w:r>
      <w:r w:rsidR="009B1526">
        <w:rPr>
          <w:rFonts w:ascii="Book Antiqua" w:hAnsi="Book Antiqua"/>
        </w:rPr>
        <w:t xml:space="preserve"> </w:t>
      </w:r>
      <w:r w:rsidR="004636E8" w:rsidRPr="009B1526">
        <w:rPr>
          <w:rFonts w:ascii="Book Antiqua" w:eastAsia="Book Antiqua" w:hAnsi="Book Antiqua" w:cs="Book Antiqua"/>
        </w:rPr>
        <w:t xml:space="preserve"> </w:t>
      </w:r>
      <w:r w:rsidR="00706EF9" w:rsidRPr="009B1526">
        <w:rPr>
          <w:rFonts w:ascii="Book Antiqua" w:eastAsia="Book Antiqua" w:hAnsi="Book Antiqua" w:cs="Book Antiqua"/>
        </w:rPr>
        <w:t xml:space="preserve"> </w:t>
      </w:r>
    </w:p>
    <w:p w:rsidR="00CB77CC" w:rsidRDefault="00412E73" w:rsidP="00AF23B0">
      <w:pPr>
        <w:spacing w:before="240"/>
        <w:ind w:left="567"/>
        <w:jc w:val="both"/>
        <w:rPr>
          <w:rFonts w:ascii="Book Antiqua" w:eastAsia="Book Antiqua" w:hAnsi="Book Antiqua" w:cs="Book Antiqua"/>
        </w:rPr>
      </w:pPr>
      <w:r>
        <w:rPr>
          <w:rFonts w:ascii="Book Antiqua" w:eastAsia="Book Antiqua" w:hAnsi="Book Antiqua" w:cs="Book Antiqua"/>
        </w:rPr>
        <w:t>The decision of the First-tier Tribunal</w:t>
      </w:r>
      <w:r w:rsidR="00384A1E">
        <w:rPr>
          <w:rFonts w:ascii="Book Antiqua" w:eastAsia="Book Antiqua" w:hAnsi="Book Antiqua" w:cs="Book Antiqua"/>
        </w:rPr>
        <w:t xml:space="preserve"> </w:t>
      </w:r>
      <w:r w:rsidR="00CB77CC">
        <w:rPr>
          <w:rFonts w:ascii="Book Antiqua" w:eastAsia="Book Antiqua" w:hAnsi="Book Antiqua" w:cs="Book Antiqua"/>
        </w:rPr>
        <w:t>did</w:t>
      </w:r>
      <w:r w:rsidR="00CB008B">
        <w:rPr>
          <w:rFonts w:ascii="Book Antiqua" w:eastAsia="Book Antiqua" w:hAnsi="Book Antiqua" w:cs="Book Antiqua"/>
        </w:rPr>
        <w:t xml:space="preserve"> not</w:t>
      </w:r>
      <w:r w:rsidR="00CB77CC">
        <w:rPr>
          <w:rFonts w:ascii="Book Antiqua" w:eastAsia="Book Antiqua" w:hAnsi="Book Antiqua" w:cs="Book Antiqua"/>
        </w:rPr>
        <w:t xml:space="preserve"> involve </w:t>
      </w:r>
      <w:r>
        <w:rPr>
          <w:rFonts w:ascii="Book Antiqua" w:eastAsia="Book Antiqua" w:hAnsi="Book Antiqua" w:cs="Book Antiqua"/>
        </w:rPr>
        <w:t xml:space="preserve">the making of an error on a point of law. </w:t>
      </w:r>
      <w:r w:rsidR="00384A1E">
        <w:rPr>
          <w:rFonts w:ascii="Book Antiqua" w:eastAsia="Book Antiqua" w:hAnsi="Book Antiqua" w:cs="Book Antiqua"/>
        </w:rPr>
        <w:t xml:space="preserve">Its decision </w:t>
      </w:r>
      <w:r w:rsidR="00CB77CC">
        <w:rPr>
          <w:rFonts w:ascii="Book Antiqua" w:eastAsia="Book Antiqua" w:hAnsi="Book Antiqua" w:cs="Book Antiqua"/>
        </w:rPr>
        <w:t>to dismiss the appeal therefore stands.</w:t>
      </w:r>
    </w:p>
    <w:p w:rsidR="00AF23B0" w:rsidRDefault="00AF23B0" w:rsidP="00AF23B0">
      <w:pPr>
        <w:spacing w:before="240"/>
        <w:ind w:left="567"/>
        <w:jc w:val="both"/>
        <w:rPr>
          <w:rFonts w:ascii="Book Antiqua" w:eastAsia="Book Antiqua" w:hAnsi="Book Antiqua" w:cs="Book Antiqua"/>
        </w:rPr>
      </w:pPr>
    </w:p>
    <w:p w:rsidR="00AF23B0" w:rsidRDefault="00AF23B0" w:rsidP="00AF23B0">
      <w:pPr>
        <w:spacing w:before="240"/>
        <w:ind w:left="567"/>
        <w:jc w:val="both"/>
        <w:rPr>
          <w:rFonts w:ascii="Book Antiqua" w:eastAsia="Book Antiqua" w:hAnsi="Book Antiqua" w:cs="Book Antiqua"/>
        </w:rPr>
      </w:pPr>
    </w:p>
    <w:p w:rsidR="00AF23B0" w:rsidRDefault="00AF23B0" w:rsidP="00AF23B0">
      <w:pPr>
        <w:spacing w:before="240"/>
        <w:ind w:left="567"/>
        <w:jc w:val="both"/>
        <w:rPr>
          <w:rFonts w:ascii="Book Antiqua" w:eastAsia="Book Antiqua" w:hAnsi="Book Antiqua" w:cs="Book Antiqua"/>
        </w:rPr>
      </w:pPr>
    </w:p>
    <w:p w:rsidR="00CB77CC" w:rsidRDefault="00CB77CC">
      <w:pPr>
        <w:tabs>
          <w:tab w:val="left" w:pos="2520"/>
        </w:tabs>
        <w:ind w:left="540" w:hanging="540"/>
        <w:jc w:val="both"/>
        <w:rPr>
          <w:rFonts w:ascii="Book Antiqua" w:eastAsia="Book Antiqua" w:hAnsi="Book Antiqua" w:cs="Book Antiqua"/>
        </w:rPr>
      </w:pPr>
    </w:p>
    <w:p w:rsidR="000700DA" w:rsidRDefault="000700DA">
      <w:pPr>
        <w:tabs>
          <w:tab w:val="left" w:pos="2520"/>
        </w:tabs>
        <w:ind w:left="540" w:hanging="540"/>
        <w:jc w:val="both"/>
        <w:rPr>
          <w:rFonts w:ascii="Book Antiqua" w:eastAsia="Book Antiqua" w:hAnsi="Book Antiqua" w:cs="Book Antiqua"/>
        </w:rPr>
      </w:pPr>
    </w:p>
    <w:p w:rsidR="000700DA" w:rsidRDefault="00706EF9">
      <w:pPr>
        <w:tabs>
          <w:tab w:val="left" w:pos="2520"/>
        </w:tabs>
        <w:ind w:left="540" w:hanging="540"/>
        <w:jc w:val="both"/>
        <w:rPr>
          <w:rFonts w:ascii="Book Antiqua" w:eastAsia="Book Antiqua" w:hAnsi="Book Antiqua" w:cs="Book Antiqua"/>
          <w:color w:val="000000"/>
        </w:rPr>
      </w:pPr>
      <w:r>
        <w:rPr>
          <w:rFonts w:ascii="Book Antiqua" w:eastAsia="Book Antiqua" w:hAnsi="Book Antiqua" w:cs="Book Antiqua"/>
          <w:color w:val="000000"/>
        </w:rPr>
        <w:t xml:space="preserve">Upper Tribunal Judge </w:t>
      </w:r>
      <w:proofErr w:type="spellStart"/>
      <w:r>
        <w:rPr>
          <w:rFonts w:ascii="Book Antiqua" w:eastAsia="Book Antiqua" w:hAnsi="Book Antiqua" w:cs="Book Antiqua"/>
          <w:color w:val="000000"/>
        </w:rPr>
        <w:t>Kopieczek</w:t>
      </w:r>
      <w:proofErr w:type="spellEnd"/>
      <w:r w:rsidR="00B44356">
        <w:rPr>
          <w:rFonts w:ascii="Book Antiqua" w:eastAsia="Book Antiqua" w:hAnsi="Book Antiqua" w:cs="Book Antiqua"/>
          <w:color w:val="000000"/>
        </w:rPr>
        <w:t xml:space="preserve">                                  </w:t>
      </w:r>
    </w:p>
    <w:p w:rsidR="00040F35" w:rsidRDefault="00040F35">
      <w:pPr>
        <w:tabs>
          <w:tab w:val="left" w:pos="2520"/>
        </w:tabs>
        <w:ind w:left="540" w:hanging="540"/>
        <w:jc w:val="both"/>
        <w:rPr>
          <w:rFonts w:ascii="Book Antiqua" w:eastAsia="Book Antiqua" w:hAnsi="Book Antiqua" w:cs="Book Antiqua"/>
          <w:color w:val="000000"/>
        </w:rPr>
      </w:pPr>
    </w:p>
    <w:p w:rsidR="000700DA" w:rsidRDefault="000700DA">
      <w:pPr>
        <w:tabs>
          <w:tab w:val="left" w:pos="2520"/>
        </w:tabs>
        <w:ind w:left="540" w:hanging="540"/>
        <w:jc w:val="both"/>
        <w:rPr>
          <w:rFonts w:ascii="Book Antiqua" w:eastAsia="Book Antiqua" w:hAnsi="Book Antiqua" w:cs="Book Antiqua"/>
          <w:color w:val="000000"/>
        </w:rPr>
      </w:pPr>
    </w:p>
    <w:p w:rsidR="00C82F70" w:rsidRDefault="00040F35">
      <w:pPr>
        <w:tabs>
          <w:tab w:val="left" w:pos="2520"/>
        </w:tabs>
        <w:ind w:left="540" w:hanging="540"/>
        <w:jc w:val="both"/>
        <w:rPr>
          <w:rFonts w:ascii="Book Antiqua" w:eastAsia="Book Antiqua" w:hAnsi="Book Antiqua" w:cs="Book Antiqua"/>
          <w:color w:val="000000"/>
        </w:rPr>
      </w:pPr>
      <w:r>
        <w:rPr>
          <w:rFonts w:ascii="Book Antiqua" w:eastAsia="Book Antiqua" w:hAnsi="Book Antiqua" w:cs="Book Antiqua"/>
          <w:color w:val="000000"/>
        </w:rPr>
        <w:t>22/06/2018</w:t>
      </w:r>
    </w:p>
    <w:p w:rsidR="000700DA" w:rsidRPr="00F833AC" w:rsidRDefault="000700DA" w:rsidP="00F833AC">
      <w:pPr>
        <w:tabs>
          <w:tab w:val="left" w:pos="2520"/>
        </w:tabs>
        <w:jc w:val="both"/>
        <w:rPr>
          <w:rFonts w:ascii="Book Antiqua" w:hAnsi="Book Antiqua" w:cs="Arial"/>
          <w:color w:val="000000"/>
        </w:rPr>
      </w:pPr>
    </w:p>
    <w:sectPr w:rsidR="000700DA" w:rsidRPr="00F833AC">
      <w:headerReference w:type="default" r:id="rId10"/>
      <w:footerReference w:type="default" r:id="rId11"/>
      <w:headerReference w:type="first" r:id="rId12"/>
      <w:footerReference w:type="first" r:id="rId13"/>
      <w:pgSz w:w="11906" w:h="16838"/>
      <w:pgMar w:top="1440" w:right="1134" w:bottom="1440"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466" w:rsidRDefault="00B60466">
      <w:r>
        <w:separator/>
      </w:r>
    </w:p>
  </w:endnote>
  <w:endnote w:type="continuationSeparator" w:id="0">
    <w:p w:rsidR="00B60466" w:rsidRDefault="00B6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52" w:rsidRDefault="00383552">
    <w:pPr>
      <w:pBdr>
        <w:top w:val="nil"/>
        <w:left w:val="nil"/>
        <w:bottom w:val="nil"/>
        <w:right w:val="nil"/>
        <w:between w:val="nil"/>
      </w:pBdr>
      <w:tabs>
        <w:tab w:val="center" w:pos="4153"/>
        <w:tab w:val="right" w:pos="8306"/>
      </w:tabs>
      <w:jc w:val="center"/>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fldChar w:fldCharType="begin"/>
    </w:r>
    <w:r>
      <w:rPr>
        <w:rFonts w:ascii="Book Antiqua" w:eastAsia="Book Antiqua" w:hAnsi="Book Antiqua" w:cs="Book Antiqua"/>
        <w:color w:val="000000"/>
        <w:sz w:val="16"/>
        <w:szCs w:val="16"/>
      </w:rPr>
      <w:instrText>PAGE</w:instrText>
    </w:r>
    <w:r>
      <w:rPr>
        <w:rFonts w:ascii="Book Antiqua" w:eastAsia="Book Antiqua" w:hAnsi="Book Antiqua" w:cs="Book Antiqua"/>
        <w:color w:val="000000"/>
        <w:sz w:val="16"/>
        <w:szCs w:val="16"/>
      </w:rPr>
      <w:fldChar w:fldCharType="separate"/>
    </w:r>
    <w:r w:rsidR="00C66E24">
      <w:rPr>
        <w:rFonts w:ascii="Book Antiqua" w:eastAsia="Book Antiqua" w:hAnsi="Book Antiqua" w:cs="Book Antiqua"/>
        <w:noProof/>
        <w:color w:val="000000"/>
        <w:sz w:val="16"/>
        <w:szCs w:val="16"/>
      </w:rPr>
      <w:t>8</w:t>
    </w:r>
    <w:r>
      <w:rPr>
        <w:rFonts w:ascii="Book Antiqua" w:eastAsia="Book Antiqua" w:hAnsi="Book Antiqua" w:cs="Book Antiqua"/>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52" w:rsidRDefault="00383552">
    <w:pPr>
      <w:jc w:val="center"/>
      <w:rPr>
        <w:rFonts w:ascii="Book Antiqua" w:eastAsia="Book Antiqua" w:hAnsi="Book Antiqua" w:cs="Book Antiqua"/>
        <w:b/>
      </w:rPr>
    </w:pPr>
    <w:r>
      <w:rPr>
        <w:rFonts w:ascii="Book Antiqua" w:eastAsia="Book Antiqua" w:hAnsi="Book Antiqua" w:cs="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466" w:rsidRDefault="00B60466">
      <w:r>
        <w:separator/>
      </w:r>
    </w:p>
  </w:footnote>
  <w:footnote w:type="continuationSeparator" w:id="0">
    <w:p w:rsidR="00B60466" w:rsidRDefault="00B60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52" w:rsidRPr="00223EE8" w:rsidRDefault="00383552" w:rsidP="00223EE8">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t xml:space="preserve">Appeal Number: </w:t>
    </w:r>
    <w:r w:rsidR="00C34C90" w:rsidRPr="00C34C90">
      <w:rPr>
        <w:rFonts w:ascii="Book Antiqua" w:eastAsia="Book Antiqua" w:hAnsi="Book Antiqua" w:cs="Book Antiqua"/>
        <w:color w:val="000000"/>
        <w:sz w:val="16"/>
        <w:szCs w:val="16"/>
      </w:rPr>
      <w:t>PA/01263/2016</w:t>
    </w:r>
  </w:p>
  <w:p w:rsidR="00383552" w:rsidRPr="001F5F66" w:rsidRDefault="00383552" w:rsidP="001F5F66">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p>
  <w:p w:rsidR="00383552" w:rsidRPr="001F5F66" w:rsidRDefault="00383552" w:rsidP="001F5F66">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sidRPr="001F5F66">
      <w:rPr>
        <w:rFonts w:ascii="Book Antiqua" w:eastAsia="Book Antiqua" w:hAnsi="Book Antiqua" w:cs="Book Antiqua"/>
        <w:color w:val="000000"/>
        <w:sz w:val="16"/>
        <w:szCs w:val="16"/>
      </w:rPr>
      <w:tab/>
    </w:r>
  </w:p>
  <w:p w:rsidR="00383552" w:rsidRDefault="00383552">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552" w:rsidRDefault="00383552">
    <w:pPr>
      <w:pBdr>
        <w:top w:val="nil"/>
        <w:left w:val="nil"/>
        <w:bottom w:val="nil"/>
        <w:right w:val="nil"/>
        <w:between w:val="nil"/>
      </w:pBdr>
      <w:tabs>
        <w:tab w:val="center" w:pos="4153"/>
        <w:tab w:val="right" w:pos="8306"/>
      </w:tabs>
      <w:rPr>
        <w:rFonts w:ascii="Book Antiqua" w:eastAsia="Book Antiqua" w:hAnsi="Book Antiqua" w:cs="Book Antiqua"/>
        <w:color w:val="000000"/>
      </w:rPr>
    </w:pPr>
    <w:r>
      <w:rPr>
        <w:rFonts w:ascii="Book Antiqua" w:eastAsia="Book Antiqua" w:hAnsi="Book Antiqua" w:cs="Book Antiqua"/>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218"/>
    <w:multiLevelType w:val="hybridMultilevel"/>
    <w:tmpl w:val="D268878A"/>
    <w:lvl w:ilvl="0" w:tplc="4A3E9DA4">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7E348B4"/>
    <w:multiLevelType w:val="multilevel"/>
    <w:tmpl w:val="7EDAD29A"/>
    <w:lvl w:ilvl="0">
      <w:start w:val="1"/>
      <w:numFmt w:val="decimal"/>
      <w:lvlText w:val="%1."/>
      <w:lvlJc w:val="left"/>
      <w:pPr>
        <w:ind w:left="567" w:hanging="567"/>
      </w:pPr>
      <w:rPr>
        <w:rFonts w:ascii="Book Antiqua" w:hAnsi="Book Antiqua" w:hint="default"/>
        <w:sz w:val="24"/>
        <w:szCs w:val="24"/>
      </w:rPr>
    </w:lvl>
    <w:lvl w:ilvl="1">
      <w:start w:val="1"/>
      <w:numFmt w:val="lowerLetter"/>
      <w:lvlText w:val="(%2)"/>
      <w:lvlJc w:val="left"/>
      <w:pPr>
        <w:ind w:left="1134" w:hanging="567"/>
      </w:pPr>
      <w:rPr>
        <w:b w:val="0"/>
        <w:i w:val="0"/>
        <w:sz w:val="24"/>
        <w:szCs w:val="24"/>
      </w:rPr>
    </w:lvl>
    <w:lvl w:ilvl="2">
      <w:start w:val="1"/>
      <w:numFmt w:val="lowerRoman"/>
      <w:lvlText w:val="(%3)"/>
      <w:lvlJc w:val="left"/>
      <w:pPr>
        <w:ind w:left="1701" w:hanging="567"/>
      </w:pPr>
      <w:rPr>
        <w:b w:val="0"/>
        <w:i w:val="0"/>
        <w:sz w:val="24"/>
        <w:szCs w:val="24"/>
      </w:rPr>
    </w:lvl>
    <w:lvl w:ilvl="3">
      <w:start w:val="1"/>
      <w:numFmt w:val="lowerLetter"/>
      <w:lvlText w:val="%1.%2.%3 %4)"/>
      <w:lvlJc w:val="left"/>
      <w:pPr>
        <w:ind w:left="2835" w:hanging="709"/>
      </w:pPr>
      <w:rPr>
        <w:b w:val="0"/>
        <w:i w:val="0"/>
        <w:sz w:val="24"/>
        <w:szCs w:val="24"/>
      </w:rPr>
    </w:lvl>
    <w:lvl w:ilvl="4">
      <w:start w:val="1"/>
      <w:numFmt w:val="lowerLetter"/>
      <w:lvlText w:val="(%5)"/>
      <w:lvlJc w:val="left"/>
      <w:pPr>
        <w:ind w:left="2835"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5BA0517C"/>
    <w:multiLevelType w:val="multilevel"/>
    <w:tmpl w:val="7352B0FE"/>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4"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DA"/>
    <w:rsid w:val="00004B27"/>
    <w:rsid w:val="000072FC"/>
    <w:rsid w:val="00014651"/>
    <w:rsid w:val="0002346A"/>
    <w:rsid w:val="0003447F"/>
    <w:rsid w:val="00040F35"/>
    <w:rsid w:val="000427C5"/>
    <w:rsid w:val="00047765"/>
    <w:rsid w:val="0005066B"/>
    <w:rsid w:val="00050FD9"/>
    <w:rsid w:val="00051716"/>
    <w:rsid w:val="0005433E"/>
    <w:rsid w:val="000562D0"/>
    <w:rsid w:val="00063779"/>
    <w:rsid w:val="000659D0"/>
    <w:rsid w:val="00066CE5"/>
    <w:rsid w:val="000700DA"/>
    <w:rsid w:val="000755DB"/>
    <w:rsid w:val="0007639D"/>
    <w:rsid w:val="00077E60"/>
    <w:rsid w:val="00081734"/>
    <w:rsid w:val="00082CF2"/>
    <w:rsid w:val="0008428B"/>
    <w:rsid w:val="00087081"/>
    <w:rsid w:val="0009082F"/>
    <w:rsid w:val="0009661E"/>
    <w:rsid w:val="000A1414"/>
    <w:rsid w:val="000C10C9"/>
    <w:rsid w:val="000D4531"/>
    <w:rsid w:val="000D713B"/>
    <w:rsid w:val="000E7A5B"/>
    <w:rsid w:val="000E7DCB"/>
    <w:rsid w:val="000E7F63"/>
    <w:rsid w:val="000F0622"/>
    <w:rsid w:val="000F0C76"/>
    <w:rsid w:val="000F743E"/>
    <w:rsid w:val="001035D1"/>
    <w:rsid w:val="00111FB1"/>
    <w:rsid w:val="00125E9C"/>
    <w:rsid w:val="00127CE8"/>
    <w:rsid w:val="00130505"/>
    <w:rsid w:val="0013163A"/>
    <w:rsid w:val="0014201C"/>
    <w:rsid w:val="0014632D"/>
    <w:rsid w:val="00146D06"/>
    <w:rsid w:val="00151BB3"/>
    <w:rsid w:val="00153492"/>
    <w:rsid w:val="00153806"/>
    <w:rsid w:val="00163B72"/>
    <w:rsid w:val="001679ED"/>
    <w:rsid w:val="001702C3"/>
    <w:rsid w:val="00175BE3"/>
    <w:rsid w:val="00175D5B"/>
    <w:rsid w:val="001771A1"/>
    <w:rsid w:val="00180B05"/>
    <w:rsid w:val="00185EA9"/>
    <w:rsid w:val="001861B9"/>
    <w:rsid w:val="0019188D"/>
    <w:rsid w:val="001A4EF3"/>
    <w:rsid w:val="001C1A6A"/>
    <w:rsid w:val="001C2305"/>
    <w:rsid w:val="001C4167"/>
    <w:rsid w:val="001C41CF"/>
    <w:rsid w:val="001D1D34"/>
    <w:rsid w:val="001D4369"/>
    <w:rsid w:val="001D46FF"/>
    <w:rsid w:val="001D4CA5"/>
    <w:rsid w:val="001D53AA"/>
    <w:rsid w:val="001E2079"/>
    <w:rsid w:val="001E352B"/>
    <w:rsid w:val="001E5D6B"/>
    <w:rsid w:val="001F1113"/>
    <w:rsid w:val="001F1D91"/>
    <w:rsid w:val="001F31A4"/>
    <w:rsid w:val="001F384F"/>
    <w:rsid w:val="001F4A21"/>
    <w:rsid w:val="001F53EA"/>
    <w:rsid w:val="001F5F66"/>
    <w:rsid w:val="002067CC"/>
    <w:rsid w:val="002127A9"/>
    <w:rsid w:val="002131D6"/>
    <w:rsid w:val="002145E8"/>
    <w:rsid w:val="002168BC"/>
    <w:rsid w:val="0021794A"/>
    <w:rsid w:val="00223EE8"/>
    <w:rsid w:val="00225B5D"/>
    <w:rsid w:val="00231B5A"/>
    <w:rsid w:val="002338CB"/>
    <w:rsid w:val="0024093D"/>
    <w:rsid w:val="002623D4"/>
    <w:rsid w:val="002639DD"/>
    <w:rsid w:val="002655CA"/>
    <w:rsid w:val="00266F4B"/>
    <w:rsid w:val="00273E01"/>
    <w:rsid w:val="00276F07"/>
    <w:rsid w:val="00282F1F"/>
    <w:rsid w:val="00291E12"/>
    <w:rsid w:val="0029302A"/>
    <w:rsid w:val="002968A8"/>
    <w:rsid w:val="002A01DC"/>
    <w:rsid w:val="002A1F76"/>
    <w:rsid w:val="002A7822"/>
    <w:rsid w:val="002B3C03"/>
    <w:rsid w:val="002B7834"/>
    <w:rsid w:val="002E0CF0"/>
    <w:rsid w:val="002E1B6F"/>
    <w:rsid w:val="002E4216"/>
    <w:rsid w:val="002E7DC8"/>
    <w:rsid w:val="002F6E39"/>
    <w:rsid w:val="003053B3"/>
    <w:rsid w:val="00306B58"/>
    <w:rsid w:val="0031773E"/>
    <w:rsid w:val="0032220D"/>
    <w:rsid w:val="00327805"/>
    <w:rsid w:val="00327E8A"/>
    <w:rsid w:val="00330544"/>
    <w:rsid w:val="0033262F"/>
    <w:rsid w:val="0033282A"/>
    <w:rsid w:val="003344D5"/>
    <w:rsid w:val="00335F60"/>
    <w:rsid w:val="00336132"/>
    <w:rsid w:val="003435E7"/>
    <w:rsid w:val="00350C9C"/>
    <w:rsid w:val="00362E24"/>
    <w:rsid w:val="00364230"/>
    <w:rsid w:val="00372219"/>
    <w:rsid w:val="00374F2E"/>
    <w:rsid w:val="0038029A"/>
    <w:rsid w:val="00383552"/>
    <w:rsid w:val="00384A1E"/>
    <w:rsid w:val="00384B7C"/>
    <w:rsid w:val="003944C7"/>
    <w:rsid w:val="00395738"/>
    <w:rsid w:val="003A0182"/>
    <w:rsid w:val="003A0F44"/>
    <w:rsid w:val="003A75BE"/>
    <w:rsid w:val="003B2ACD"/>
    <w:rsid w:val="003B6C0B"/>
    <w:rsid w:val="003C0181"/>
    <w:rsid w:val="003C0DA8"/>
    <w:rsid w:val="003C122A"/>
    <w:rsid w:val="003C21B1"/>
    <w:rsid w:val="003C6538"/>
    <w:rsid w:val="003D0484"/>
    <w:rsid w:val="003D0CFF"/>
    <w:rsid w:val="003D347F"/>
    <w:rsid w:val="003D7681"/>
    <w:rsid w:val="003E2D13"/>
    <w:rsid w:val="003E40B3"/>
    <w:rsid w:val="003E5F8D"/>
    <w:rsid w:val="003E7E57"/>
    <w:rsid w:val="003F01A8"/>
    <w:rsid w:val="003F52BF"/>
    <w:rsid w:val="00402A8C"/>
    <w:rsid w:val="0040463C"/>
    <w:rsid w:val="00410499"/>
    <w:rsid w:val="00411868"/>
    <w:rsid w:val="00412E73"/>
    <w:rsid w:val="004152FC"/>
    <w:rsid w:val="004200FD"/>
    <w:rsid w:val="00422292"/>
    <w:rsid w:val="00441F69"/>
    <w:rsid w:val="00444D9C"/>
    <w:rsid w:val="004460FE"/>
    <w:rsid w:val="004463CA"/>
    <w:rsid w:val="004525A3"/>
    <w:rsid w:val="00457AF7"/>
    <w:rsid w:val="004636E8"/>
    <w:rsid w:val="0047486B"/>
    <w:rsid w:val="004806D7"/>
    <w:rsid w:val="004976BE"/>
    <w:rsid w:val="004A5C7E"/>
    <w:rsid w:val="004B182D"/>
    <w:rsid w:val="004B4494"/>
    <w:rsid w:val="004B5059"/>
    <w:rsid w:val="004B671E"/>
    <w:rsid w:val="004B71DD"/>
    <w:rsid w:val="004C0EE5"/>
    <w:rsid w:val="004C38E5"/>
    <w:rsid w:val="004C77DB"/>
    <w:rsid w:val="004D1F44"/>
    <w:rsid w:val="004D4AE4"/>
    <w:rsid w:val="004E0E74"/>
    <w:rsid w:val="004E1B77"/>
    <w:rsid w:val="004E6D76"/>
    <w:rsid w:val="004E7118"/>
    <w:rsid w:val="004F1958"/>
    <w:rsid w:val="004F468C"/>
    <w:rsid w:val="00510913"/>
    <w:rsid w:val="00511ADB"/>
    <w:rsid w:val="00512C99"/>
    <w:rsid w:val="005163F1"/>
    <w:rsid w:val="005242B0"/>
    <w:rsid w:val="00531DF9"/>
    <w:rsid w:val="00536FC4"/>
    <w:rsid w:val="005405E2"/>
    <w:rsid w:val="00551803"/>
    <w:rsid w:val="00552A2A"/>
    <w:rsid w:val="00557D18"/>
    <w:rsid w:val="00560C00"/>
    <w:rsid w:val="00563EA2"/>
    <w:rsid w:val="00565706"/>
    <w:rsid w:val="00567BC7"/>
    <w:rsid w:val="00581673"/>
    <w:rsid w:val="00581C08"/>
    <w:rsid w:val="00582D77"/>
    <w:rsid w:val="00584DAE"/>
    <w:rsid w:val="00586E7F"/>
    <w:rsid w:val="005907FD"/>
    <w:rsid w:val="00590FED"/>
    <w:rsid w:val="00592375"/>
    <w:rsid w:val="005A084E"/>
    <w:rsid w:val="005A2850"/>
    <w:rsid w:val="005A6FF3"/>
    <w:rsid w:val="005B4EEC"/>
    <w:rsid w:val="005C2B5E"/>
    <w:rsid w:val="005D057C"/>
    <w:rsid w:val="005D409B"/>
    <w:rsid w:val="005D4B6D"/>
    <w:rsid w:val="005E01F3"/>
    <w:rsid w:val="005E5C33"/>
    <w:rsid w:val="005F0B87"/>
    <w:rsid w:val="005F0C77"/>
    <w:rsid w:val="006055DA"/>
    <w:rsid w:val="00606009"/>
    <w:rsid w:val="0062166F"/>
    <w:rsid w:val="0062328F"/>
    <w:rsid w:val="00626E29"/>
    <w:rsid w:val="0064122D"/>
    <w:rsid w:val="0065077C"/>
    <w:rsid w:val="00650DE0"/>
    <w:rsid w:val="006514B0"/>
    <w:rsid w:val="006542B1"/>
    <w:rsid w:val="00655B4C"/>
    <w:rsid w:val="00657428"/>
    <w:rsid w:val="0066339D"/>
    <w:rsid w:val="00671A73"/>
    <w:rsid w:val="00681409"/>
    <w:rsid w:val="00684385"/>
    <w:rsid w:val="00690A76"/>
    <w:rsid w:val="00692AB0"/>
    <w:rsid w:val="00697E5E"/>
    <w:rsid w:val="006A0FF8"/>
    <w:rsid w:val="006A6EB7"/>
    <w:rsid w:val="006B436F"/>
    <w:rsid w:val="006D297F"/>
    <w:rsid w:val="006D2D82"/>
    <w:rsid w:val="006E183F"/>
    <w:rsid w:val="006E1ED9"/>
    <w:rsid w:val="006E48ED"/>
    <w:rsid w:val="006E6423"/>
    <w:rsid w:val="006E6963"/>
    <w:rsid w:val="006F52D3"/>
    <w:rsid w:val="006F5670"/>
    <w:rsid w:val="00701600"/>
    <w:rsid w:val="007025D8"/>
    <w:rsid w:val="007058CE"/>
    <w:rsid w:val="00706EF9"/>
    <w:rsid w:val="00717D4A"/>
    <w:rsid w:val="00732D2C"/>
    <w:rsid w:val="00745133"/>
    <w:rsid w:val="00750ECD"/>
    <w:rsid w:val="00753336"/>
    <w:rsid w:val="007658E1"/>
    <w:rsid w:val="00771FAA"/>
    <w:rsid w:val="00775186"/>
    <w:rsid w:val="00776308"/>
    <w:rsid w:val="00781809"/>
    <w:rsid w:val="00790769"/>
    <w:rsid w:val="00792A68"/>
    <w:rsid w:val="007938B7"/>
    <w:rsid w:val="007A10AE"/>
    <w:rsid w:val="007A27A1"/>
    <w:rsid w:val="007A462D"/>
    <w:rsid w:val="007A7168"/>
    <w:rsid w:val="007C7564"/>
    <w:rsid w:val="007E0791"/>
    <w:rsid w:val="007E3A04"/>
    <w:rsid w:val="007E57E3"/>
    <w:rsid w:val="007F226D"/>
    <w:rsid w:val="007F428E"/>
    <w:rsid w:val="007F551F"/>
    <w:rsid w:val="00803272"/>
    <w:rsid w:val="00804684"/>
    <w:rsid w:val="00805DFA"/>
    <w:rsid w:val="00806E6D"/>
    <w:rsid w:val="008076A9"/>
    <w:rsid w:val="00810B14"/>
    <w:rsid w:val="00817836"/>
    <w:rsid w:val="008211C9"/>
    <w:rsid w:val="00823985"/>
    <w:rsid w:val="00824E72"/>
    <w:rsid w:val="00830FC5"/>
    <w:rsid w:val="008333C3"/>
    <w:rsid w:val="00845519"/>
    <w:rsid w:val="0084671E"/>
    <w:rsid w:val="0085528A"/>
    <w:rsid w:val="00857134"/>
    <w:rsid w:val="0085741C"/>
    <w:rsid w:val="00860EA8"/>
    <w:rsid w:val="00866398"/>
    <w:rsid w:val="008717E5"/>
    <w:rsid w:val="008738DD"/>
    <w:rsid w:val="0088342D"/>
    <w:rsid w:val="0088452B"/>
    <w:rsid w:val="008849D1"/>
    <w:rsid w:val="00884ED2"/>
    <w:rsid w:val="008857D4"/>
    <w:rsid w:val="00893883"/>
    <w:rsid w:val="008A0AB3"/>
    <w:rsid w:val="008A3F7F"/>
    <w:rsid w:val="008A463F"/>
    <w:rsid w:val="008B1189"/>
    <w:rsid w:val="008B3758"/>
    <w:rsid w:val="008B784E"/>
    <w:rsid w:val="008D16B6"/>
    <w:rsid w:val="008D7A1C"/>
    <w:rsid w:val="008E0652"/>
    <w:rsid w:val="008E5014"/>
    <w:rsid w:val="008F0DAA"/>
    <w:rsid w:val="008F1226"/>
    <w:rsid w:val="008F59ED"/>
    <w:rsid w:val="008F757A"/>
    <w:rsid w:val="009069DF"/>
    <w:rsid w:val="00921C91"/>
    <w:rsid w:val="00926762"/>
    <w:rsid w:val="009267B0"/>
    <w:rsid w:val="00933670"/>
    <w:rsid w:val="00943540"/>
    <w:rsid w:val="00951CE5"/>
    <w:rsid w:val="009550B3"/>
    <w:rsid w:val="00962497"/>
    <w:rsid w:val="00977A79"/>
    <w:rsid w:val="009828CD"/>
    <w:rsid w:val="00993704"/>
    <w:rsid w:val="009A027C"/>
    <w:rsid w:val="009A45AD"/>
    <w:rsid w:val="009A4A19"/>
    <w:rsid w:val="009A54F3"/>
    <w:rsid w:val="009A5B6C"/>
    <w:rsid w:val="009B05CA"/>
    <w:rsid w:val="009B1526"/>
    <w:rsid w:val="009B5710"/>
    <w:rsid w:val="009B6C57"/>
    <w:rsid w:val="009C32A5"/>
    <w:rsid w:val="009D2D7D"/>
    <w:rsid w:val="009E146F"/>
    <w:rsid w:val="009F1644"/>
    <w:rsid w:val="009F28E1"/>
    <w:rsid w:val="009F3853"/>
    <w:rsid w:val="00A04E97"/>
    <w:rsid w:val="00A06D5C"/>
    <w:rsid w:val="00A13403"/>
    <w:rsid w:val="00A155A8"/>
    <w:rsid w:val="00A15BA8"/>
    <w:rsid w:val="00A17525"/>
    <w:rsid w:val="00A23089"/>
    <w:rsid w:val="00A238DF"/>
    <w:rsid w:val="00A34E2A"/>
    <w:rsid w:val="00A35477"/>
    <w:rsid w:val="00A35D9F"/>
    <w:rsid w:val="00A410CC"/>
    <w:rsid w:val="00A4551B"/>
    <w:rsid w:val="00A46F26"/>
    <w:rsid w:val="00A50671"/>
    <w:rsid w:val="00A74559"/>
    <w:rsid w:val="00A8197F"/>
    <w:rsid w:val="00A82238"/>
    <w:rsid w:val="00A83CE4"/>
    <w:rsid w:val="00A851D2"/>
    <w:rsid w:val="00A9263C"/>
    <w:rsid w:val="00A97998"/>
    <w:rsid w:val="00AA36DA"/>
    <w:rsid w:val="00AA4852"/>
    <w:rsid w:val="00AB13DF"/>
    <w:rsid w:val="00AB223B"/>
    <w:rsid w:val="00AB288F"/>
    <w:rsid w:val="00AB3C04"/>
    <w:rsid w:val="00AB7834"/>
    <w:rsid w:val="00AC3686"/>
    <w:rsid w:val="00AC4421"/>
    <w:rsid w:val="00AC553B"/>
    <w:rsid w:val="00AD3413"/>
    <w:rsid w:val="00AD6A84"/>
    <w:rsid w:val="00AD7DBE"/>
    <w:rsid w:val="00AF1054"/>
    <w:rsid w:val="00AF23B0"/>
    <w:rsid w:val="00AF729C"/>
    <w:rsid w:val="00B00C0B"/>
    <w:rsid w:val="00B01BBD"/>
    <w:rsid w:val="00B0636B"/>
    <w:rsid w:val="00B0711D"/>
    <w:rsid w:val="00B11901"/>
    <w:rsid w:val="00B11AAB"/>
    <w:rsid w:val="00B27FC2"/>
    <w:rsid w:val="00B31781"/>
    <w:rsid w:val="00B3329E"/>
    <w:rsid w:val="00B35168"/>
    <w:rsid w:val="00B37660"/>
    <w:rsid w:val="00B4398F"/>
    <w:rsid w:val="00B44356"/>
    <w:rsid w:val="00B46902"/>
    <w:rsid w:val="00B46E57"/>
    <w:rsid w:val="00B51BB2"/>
    <w:rsid w:val="00B54C4C"/>
    <w:rsid w:val="00B55316"/>
    <w:rsid w:val="00B60466"/>
    <w:rsid w:val="00B605D4"/>
    <w:rsid w:val="00B76860"/>
    <w:rsid w:val="00B77787"/>
    <w:rsid w:val="00B830A3"/>
    <w:rsid w:val="00B87195"/>
    <w:rsid w:val="00B92731"/>
    <w:rsid w:val="00B943AD"/>
    <w:rsid w:val="00BA6403"/>
    <w:rsid w:val="00BB7F2B"/>
    <w:rsid w:val="00BC2366"/>
    <w:rsid w:val="00BC37B6"/>
    <w:rsid w:val="00BD3098"/>
    <w:rsid w:val="00BE3F7A"/>
    <w:rsid w:val="00BF53CE"/>
    <w:rsid w:val="00C00386"/>
    <w:rsid w:val="00C03F8E"/>
    <w:rsid w:val="00C17103"/>
    <w:rsid w:val="00C23FF5"/>
    <w:rsid w:val="00C277D2"/>
    <w:rsid w:val="00C33705"/>
    <w:rsid w:val="00C34A8C"/>
    <w:rsid w:val="00C34C90"/>
    <w:rsid w:val="00C36F5E"/>
    <w:rsid w:val="00C4561E"/>
    <w:rsid w:val="00C5549A"/>
    <w:rsid w:val="00C66E24"/>
    <w:rsid w:val="00C74C70"/>
    <w:rsid w:val="00C75ABA"/>
    <w:rsid w:val="00C769AB"/>
    <w:rsid w:val="00C804DC"/>
    <w:rsid w:val="00C82F70"/>
    <w:rsid w:val="00C860F2"/>
    <w:rsid w:val="00C8719E"/>
    <w:rsid w:val="00C9069E"/>
    <w:rsid w:val="00C910BE"/>
    <w:rsid w:val="00C92C61"/>
    <w:rsid w:val="00C958E4"/>
    <w:rsid w:val="00CA21F8"/>
    <w:rsid w:val="00CA46BD"/>
    <w:rsid w:val="00CB008B"/>
    <w:rsid w:val="00CB6398"/>
    <w:rsid w:val="00CB70EB"/>
    <w:rsid w:val="00CB77CC"/>
    <w:rsid w:val="00CC1904"/>
    <w:rsid w:val="00CC6678"/>
    <w:rsid w:val="00CD104C"/>
    <w:rsid w:val="00CD19F0"/>
    <w:rsid w:val="00CD2260"/>
    <w:rsid w:val="00CE334E"/>
    <w:rsid w:val="00CE6EF5"/>
    <w:rsid w:val="00CF325B"/>
    <w:rsid w:val="00CF7659"/>
    <w:rsid w:val="00D0075A"/>
    <w:rsid w:val="00D02270"/>
    <w:rsid w:val="00D022DC"/>
    <w:rsid w:val="00D3073F"/>
    <w:rsid w:val="00D33879"/>
    <w:rsid w:val="00D35D63"/>
    <w:rsid w:val="00D37FEB"/>
    <w:rsid w:val="00D41837"/>
    <w:rsid w:val="00D50CD0"/>
    <w:rsid w:val="00D629E7"/>
    <w:rsid w:val="00D665AA"/>
    <w:rsid w:val="00D67B9D"/>
    <w:rsid w:val="00D7122C"/>
    <w:rsid w:val="00D756DD"/>
    <w:rsid w:val="00D8173E"/>
    <w:rsid w:val="00D82202"/>
    <w:rsid w:val="00D829A8"/>
    <w:rsid w:val="00D90BB3"/>
    <w:rsid w:val="00D90E74"/>
    <w:rsid w:val="00D92309"/>
    <w:rsid w:val="00D94252"/>
    <w:rsid w:val="00DA2797"/>
    <w:rsid w:val="00DA3104"/>
    <w:rsid w:val="00DB0ACF"/>
    <w:rsid w:val="00DB1A48"/>
    <w:rsid w:val="00DC3131"/>
    <w:rsid w:val="00DC3414"/>
    <w:rsid w:val="00DC35AF"/>
    <w:rsid w:val="00DC3757"/>
    <w:rsid w:val="00DD5CFC"/>
    <w:rsid w:val="00DE042A"/>
    <w:rsid w:val="00DE1061"/>
    <w:rsid w:val="00DE363F"/>
    <w:rsid w:val="00DF1BF3"/>
    <w:rsid w:val="00DF4376"/>
    <w:rsid w:val="00E00A13"/>
    <w:rsid w:val="00E14557"/>
    <w:rsid w:val="00E15B5D"/>
    <w:rsid w:val="00E20005"/>
    <w:rsid w:val="00E20BA1"/>
    <w:rsid w:val="00E23EE7"/>
    <w:rsid w:val="00E247F9"/>
    <w:rsid w:val="00E2729C"/>
    <w:rsid w:val="00E34425"/>
    <w:rsid w:val="00E35142"/>
    <w:rsid w:val="00E4010E"/>
    <w:rsid w:val="00E419AB"/>
    <w:rsid w:val="00E42A63"/>
    <w:rsid w:val="00E43002"/>
    <w:rsid w:val="00E43B21"/>
    <w:rsid w:val="00E46176"/>
    <w:rsid w:val="00E474DA"/>
    <w:rsid w:val="00E50AC1"/>
    <w:rsid w:val="00E51AF7"/>
    <w:rsid w:val="00E5549B"/>
    <w:rsid w:val="00E561EB"/>
    <w:rsid w:val="00E57E66"/>
    <w:rsid w:val="00E61545"/>
    <w:rsid w:val="00E61D7A"/>
    <w:rsid w:val="00E668D6"/>
    <w:rsid w:val="00E7033A"/>
    <w:rsid w:val="00E71321"/>
    <w:rsid w:val="00E71C97"/>
    <w:rsid w:val="00E739A4"/>
    <w:rsid w:val="00E76E10"/>
    <w:rsid w:val="00E869B6"/>
    <w:rsid w:val="00E87959"/>
    <w:rsid w:val="00EA2D80"/>
    <w:rsid w:val="00EA3183"/>
    <w:rsid w:val="00EA460B"/>
    <w:rsid w:val="00EA6B77"/>
    <w:rsid w:val="00EB2454"/>
    <w:rsid w:val="00EB3C84"/>
    <w:rsid w:val="00EC0533"/>
    <w:rsid w:val="00EC1C11"/>
    <w:rsid w:val="00EC396B"/>
    <w:rsid w:val="00ED5F3C"/>
    <w:rsid w:val="00ED7214"/>
    <w:rsid w:val="00EE2D80"/>
    <w:rsid w:val="00EE43C1"/>
    <w:rsid w:val="00EE519C"/>
    <w:rsid w:val="00EF00EA"/>
    <w:rsid w:val="00EF6753"/>
    <w:rsid w:val="00F01592"/>
    <w:rsid w:val="00F022C9"/>
    <w:rsid w:val="00F16BED"/>
    <w:rsid w:val="00F303EE"/>
    <w:rsid w:val="00F41EB7"/>
    <w:rsid w:val="00F4686B"/>
    <w:rsid w:val="00F50143"/>
    <w:rsid w:val="00F55F47"/>
    <w:rsid w:val="00F569EA"/>
    <w:rsid w:val="00F71DB9"/>
    <w:rsid w:val="00F77538"/>
    <w:rsid w:val="00F77552"/>
    <w:rsid w:val="00F77A10"/>
    <w:rsid w:val="00F81886"/>
    <w:rsid w:val="00F833AC"/>
    <w:rsid w:val="00F8539F"/>
    <w:rsid w:val="00F94C94"/>
    <w:rsid w:val="00F96D5D"/>
    <w:rsid w:val="00F97070"/>
    <w:rsid w:val="00F97C79"/>
    <w:rsid w:val="00FA7E1B"/>
    <w:rsid w:val="00FB60CE"/>
    <w:rsid w:val="00FB6440"/>
    <w:rsid w:val="00FC0E56"/>
    <w:rsid w:val="00FC1C3A"/>
    <w:rsid w:val="00FD0432"/>
    <w:rsid w:val="00FD0EC5"/>
    <w:rsid w:val="00FE6736"/>
    <w:rsid w:val="00FE68E4"/>
    <w:rsid w:val="00FF5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57D18"/>
    <w:pPr>
      <w:ind w:left="720"/>
      <w:contextualSpacing/>
    </w:pPr>
  </w:style>
  <w:style w:type="paragraph" w:styleId="Header">
    <w:name w:val="header"/>
    <w:basedOn w:val="Normal"/>
    <w:link w:val="HeaderChar"/>
    <w:uiPriority w:val="99"/>
    <w:unhideWhenUsed/>
    <w:rsid w:val="00C8719E"/>
    <w:pPr>
      <w:tabs>
        <w:tab w:val="center" w:pos="4513"/>
        <w:tab w:val="right" w:pos="9026"/>
      </w:tabs>
    </w:pPr>
  </w:style>
  <w:style w:type="character" w:customStyle="1" w:styleId="HeaderChar">
    <w:name w:val="Header Char"/>
    <w:basedOn w:val="DefaultParagraphFont"/>
    <w:link w:val="Header"/>
    <w:uiPriority w:val="99"/>
    <w:rsid w:val="00C8719E"/>
  </w:style>
  <w:style w:type="paragraph" w:styleId="Footer">
    <w:name w:val="footer"/>
    <w:basedOn w:val="Normal"/>
    <w:link w:val="FooterChar"/>
    <w:uiPriority w:val="99"/>
    <w:unhideWhenUsed/>
    <w:rsid w:val="00C8719E"/>
    <w:pPr>
      <w:tabs>
        <w:tab w:val="center" w:pos="4513"/>
        <w:tab w:val="right" w:pos="9026"/>
      </w:tabs>
    </w:pPr>
  </w:style>
  <w:style w:type="character" w:customStyle="1" w:styleId="FooterChar">
    <w:name w:val="Footer Char"/>
    <w:basedOn w:val="DefaultParagraphFont"/>
    <w:link w:val="Footer"/>
    <w:uiPriority w:val="99"/>
    <w:rsid w:val="00C8719E"/>
  </w:style>
  <w:style w:type="paragraph" w:styleId="BalloonText">
    <w:name w:val="Balloon Text"/>
    <w:basedOn w:val="Normal"/>
    <w:link w:val="BalloonTextChar"/>
    <w:uiPriority w:val="99"/>
    <w:semiHidden/>
    <w:unhideWhenUsed/>
    <w:rsid w:val="00EC39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508681">
      <w:bodyDiv w:val="1"/>
      <w:marLeft w:val="0"/>
      <w:marRight w:val="0"/>
      <w:marTop w:val="0"/>
      <w:marBottom w:val="0"/>
      <w:divBdr>
        <w:top w:val="none" w:sz="0" w:space="0" w:color="auto"/>
        <w:left w:val="none" w:sz="0" w:space="0" w:color="auto"/>
        <w:bottom w:val="none" w:sz="0" w:space="0" w:color="auto"/>
        <w:right w:val="none" w:sz="0" w:space="0" w:color="auto"/>
      </w:divBdr>
    </w:div>
    <w:div w:id="162145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1T12:08:16.313"/>
    </inkml:context>
    <inkml:brush xml:id="br0">
      <inkml:brushProperty name="width" value="0.05" units="cm"/>
      <inkml:brushProperty name="height" value="0.05" units="cm"/>
    </inkml:brush>
  </inkml:definitions>
  <inkml:trace contextRef="#ctx0" brushRef="#br0">496 131 32767,'-12'21'0,"-1"-1"0,-1-1 0,-1-1 0,0 0 0,-6 4 0,15-16 0,0-1 0,-1 0 0,0 0 0,0 0 0,0-1 0,-2 1 0,6-4 0,1 0 0,0 0 0,0 0 0,-1 0 0,1-1 0,0 1 0,-1-1 0,1 1 0,-1-1 0,1 0 0,0 0 0,-1 0 0,1 0 0,-1-1 0,1 1 0,0-1 0,-2 0 0,1 0-2,1-1 0,0 1 0,0 0-1,0-1 1,0 0 0,0 0 0,0 1 0,0-1 0,0 0 0,1-1-1,-1 1 1,1 0 0,-1-1 2,-8-16-66,0-2-62,2 2-78,-1 3-97,8 14 202,0 0 0,-1 1 0,1-1 1,-1 1-1,1-1 0,-1 1 1,1 0-1,-1 0 0,0-1 0,1 1 1,-1 0-1,0 1 0,0-1 0,0 0 1,-1 0 100,-8-1-463,-1 1 35,-3 3-45,0 1 85,0 0 100,1 1 119,1 0 132,7-3 69,1 1 36,5-2-68,-34 4 0,33-4 0,-1 0 0,0 0 0,0 0 0,1 0 0,-1-1 0,0 1 0,1-1 0,-1 1 0,0-1 0,1 0 0,-1 1 0,1-1 0,-1 0 0,1 0 0,-1 0 0,0-1 0,-2-4 0,-1-1 0,2 1 0,-1-1 0,1 0 0,0 0 0,0 0 0,1 0 0,-2-8 0,1 6 0,2 7 121,1-1-40,-2-2-23,0-1-98,-4-9-263,3 9 221,2 2 91,-1 1 86,1 1 110,1 1-54,-1 1 37,1 0 39,0 1 43,-1-1 45,1 1 48,0 1 52,1 0 55,-1 0 57,1 1 60,-1-3-587,1 11 198,2 1-39,1 17 57,2 11-92,0 25-90,-6 3-34,0-55 0,0 1 0,0-1 0,1 1 0,3 9 0,-4-22 0,0 0 0,1 0 0,-1 0 0,0 0 0,1 0 0,-1 0 0,1 0 0,-1 0 0,1-1 0,0 1 0,-1 0 0,1 0 0,0 0 0,0-1 0,-1 1 0,1 0 0,0-1 0,0 1 0,0-1 0,0 1 0,0-1 0,0 1 0,0-1 0,0 0 0,0 1 0,0-1 0,0 0 0,0 0 0,3 0 0,0 0 0,0 0 0,0-1 0,-1 0 0,1 1 0,4-3 0,-8 3 0,66-17 0,63-16 0,-129 33 0,7-1 0,-1-1 0,0 0 0,1-1 0,-1 1 0,0-1 0,0 0 0,0 0 0,-1-1 0,1 0 0,-1 0 0,4-3 0,85-90 0,-70 82 0,-22 14 0,1-1 0,-1 1 0,0 0 0,0 0 0,0-1 0,0 0 0,0 1 0,0-1 0,-1 0 0,1 0 0,0 0 0,-1 0 0,0 0 0,1 0 0,25-50 0,18-50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3162</Words>
  <Characters>18024</Characters>
  <Application>Microsoft Office Word</Application>
  <DocSecurity>0</DocSecurity>
  <Lines>150</Lines>
  <Paragraphs>42</Paragraphs>
  <ScaleCrop>false</ScaleCrop>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2018-07-17T10:25:00Z</dcterms:created>
  <dcterms:modified xsi:type="dcterms:W3CDTF">2018-07-17T10:25:00Z</dcterms:modified>
</cp:coreProperties>
</file>