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8D78" w14:textId="77777777" w:rsidR="008F0F55" w:rsidRPr="0012307C" w:rsidRDefault="00F81D1E" w:rsidP="008F0F55">
      <w:pPr>
        <w:jc w:val="center"/>
        <w:rPr>
          <w:rFonts w:ascii="Book Antiqua" w:hAnsi="Book Antiqua" w:cs="Arial"/>
          <w:sz w:val="16"/>
          <w:szCs w:val="16"/>
        </w:rPr>
      </w:pPr>
      <w:r w:rsidRPr="0012307C">
        <w:rPr>
          <w:rFonts w:ascii="Book Antiqua" w:hAnsi="Book Antiqua"/>
          <w:noProof/>
          <w:sz w:val="16"/>
          <w:szCs w:val="16"/>
        </w:rPr>
        <w:drawing>
          <wp:inline distT="0" distB="0" distL="0" distR="0" wp14:anchorId="65A80E37" wp14:editId="7B362FD7">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11ED0F56" w14:textId="77777777" w:rsidR="008F0F55" w:rsidRPr="0012307C" w:rsidRDefault="00AC1C3C">
      <w:pPr>
        <w:rPr>
          <w:rFonts w:ascii="Book Antiqua" w:hAnsi="Book Antiqua" w:cs="Arial"/>
          <w:sz w:val="16"/>
          <w:szCs w:val="16"/>
        </w:rPr>
      </w:pPr>
    </w:p>
    <w:p w14:paraId="4E720872"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07BACBB8" w14:textId="77777777"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2431E8">
        <w:rPr>
          <w:rFonts w:ascii="Book Antiqua" w:hAnsi="Book Antiqua" w:cs="Arial"/>
        </w:rPr>
        <w:t>PA/01389/2018</w:t>
      </w:r>
    </w:p>
    <w:bookmarkEnd w:id="0"/>
    <w:p w14:paraId="2425FE34" w14:textId="77777777" w:rsidR="008F0F55" w:rsidRPr="00F146AE" w:rsidRDefault="00AC1C3C" w:rsidP="008F0F55">
      <w:pPr>
        <w:jc w:val="center"/>
        <w:rPr>
          <w:rFonts w:ascii="Book Antiqua" w:hAnsi="Book Antiqua" w:cs="Arial"/>
        </w:rPr>
      </w:pPr>
    </w:p>
    <w:p w14:paraId="6095D8BF" w14:textId="77777777" w:rsidR="008F0F55" w:rsidRPr="00F146AE" w:rsidRDefault="00AC1C3C" w:rsidP="008F0F55">
      <w:pPr>
        <w:jc w:val="center"/>
        <w:rPr>
          <w:rFonts w:ascii="Book Antiqua" w:hAnsi="Book Antiqua" w:cs="Arial"/>
        </w:rPr>
      </w:pPr>
    </w:p>
    <w:p w14:paraId="6FA8F8A4"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4057A2F0" w14:textId="77777777" w:rsidR="008F0F55" w:rsidRPr="00F146AE" w:rsidRDefault="00AC1C3C" w:rsidP="008F0F55">
      <w:pPr>
        <w:jc w:val="center"/>
        <w:rPr>
          <w:rFonts w:ascii="Book Antiqua" w:hAnsi="Book Antiqua" w:cs="Arial"/>
          <w:b/>
          <w:u w:val="single"/>
        </w:rPr>
      </w:pPr>
    </w:p>
    <w:p w14:paraId="7D12B8A9" w14:textId="77777777" w:rsidR="008F0F55" w:rsidRPr="00F146AE" w:rsidRDefault="00AC1C3C" w:rsidP="008F0F5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8E2252" w:rsidRPr="00035322" w14:paraId="002E0FA5" w14:textId="77777777" w:rsidTr="0012307C">
        <w:tc>
          <w:tcPr>
            <w:tcW w:w="2500" w:type="pct"/>
          </w:tcPr>
          <w:p w14:paraId="524325AD" w14:textId="77777777" w:rsidR="008E2252" w:rsidRPr="00035322" w:rsidRDefault="008E2252" w:rsidP="008E2252">
            <w:pPr>
              <w:jc w:val="both"/>
              <w:rPr>
                <w:rFonts w:ascii="Book Antiqua" w:hAnsi="Book Antiqua" w:cs="Arial"/>
                <w:b/>
              </w:rPr>
            </w:pPr>
            <w:r w:rsidRPr="00035322">
              <w:rPr>
                <w:rFonts w:ascii="Book Antiqua" w:hAnsi="Book Antiqua" w:cs="Arial"/>
                <w:b/>
              </w:rPr>
              <w:t xml:space="preserve">Heard at </w:t>
            </w:r>
            <w:r>
              <w:rPr>
                <w:rFonts w:ascii="Book Antiqua" w:hAnsi="Book Antiqua" w:cs="Arial"/>
                <w:b/>
              </w:rPr>
              <w:t>Field House</w:t>
            </w:r>
          </w:p>
        </w:tc>
        <w:tc>
          <w:tcPr>
            <w:tcW w:w="2500" w:type="pct"/>
          </w:tcPr>
          <w:p w14:paraId="75094878" w14:textId="53EDD2B6" w:rsidR="008E2252" w:rsidRPr="00035322" w:rsidRDefault="008E2252" w:rsidP="0012307C">
            <w:pPr>
              <w:jc w:val="right"/>
              <w:rPr>
                <w:rFonts w:ascii="Book Antiqua" w:hAnsi="Book Antiqua" w:cs="Arial"/>
                <w:b/>
              </w:rPr>
            </w:pPr>
            <w:r w:rsidRPr="00BC7595">
              <w:rPr>
                <w:rFonts w:ascii="Book Antiqua" w:hAnsi="Book Antiqua" w:cs="Arial"/>
                <w:b/>
              </w:rPr>
              <w:t>Decision &amp; Reasons Promulgated</w:t>
            </w:r>
          </w:p>
        </w:tc>
      </w:tr>
      <w:tr w:rsidR="008F0F55" w:rsidRPr="00035322" w14:paraId="598BEA32" w14:textId="77777777" w:rsidTr="0012307C">
        <w:tc>
          <w:tcPr>
            <w:tcW w:w="2500" w:type="pct"/>
          </w:tcPr>
          <w:p w14:paraId="021ADDB9" w14:textId="77777777" w:rsidR="008F0F55" w:rsidRPr="00035322" w:rsidRDefault="00F81D1E" w:rsidP="008F0F55">
            <w:pPr>
              <w:jc w:val="both"/>
              <w:rPr>
                <w:rFonts w:ascii="Book Antiqua" w:hAnsi="Book Antiqua" w:cs="Arial"/>
                <w:b/>
              </w:rPr>
            </w:pPr>
            <w:r w:rsidRPr="00035322">
              <w:rPr>
                <w:rFonts w:ascii="Book Antiqua" w:hAnsi="Book Antiqua" w:cs="Arial"/>
                <w:b/>
              </w:rPr>
              <w:t xml:space="preserve">On </w:t>
            </w:r>
            <w:r w:rsidR="002431E8">
              <w:rPr>
                <w:rFonts w:ascii="Book Antiqua" w:hAnsi="Book Antiqua" w:cs="Arial"/>
                <w:b/>
              </w:rPr>
              <w:t>18 May 2018</w:t>
            </w:r>
          </w:p>
        </w:tc>
        <w:tc>
          <w:tcPr>
            <w:tcW w:w="2500" w:type="pct"/>
          </w:tcPr>
          <w:p w14:paraId="5BB8BF33" w14:textId="69ACEA5F" w:rsidR="008F0F55" w:rsidRPr="00035322" w:rsidRDefault="008E2252" w:rsidP="0012307C">
            <w:pPr>
              <w:jc w:val="right"/>
              <w:rPr>
                <w:rFonts w:ascii="Book Antiqua" w:hAnsi="Book Antiqua" w:cs="Arial"/>
                <w:b/>
              </w:rPr>
            </w:pPr>
            <w:r>
              <w:rPr>
                <w:rFonts w:ascii="Book Antiqua" w:hAnsi="Book Antiqua" w:cs="Arial"/>
                <w:b/>
              </w:rPr>
              <w:t>On 24 May 2018</w:t>
            </w:r>
          </w:p>
        </w:tc>
      </w:tr>
      <w:tr w:rsidR="008F0F55" w:rsidRPr="00035322" w14:paraId="536C1C32" w14:textId="77777777" w:rsidTr="0012307C">
        <w:tc>
          <w:tcPr>
            <w:tcW w:w="2500" w:type="pct"/>
          </w:tcPr>
          <w:p w14:paraId="67A4628B" w14:textId="77777777" w:rsidR="008F0F55" w:rsidRPr="00035322" w:rsidRDefault="00AC1C3C" w:rsidP="008F0F55">
            <w:pPr>
              <w:jc w:val="both"/>
              <w:rPr>
                <w:rFonts w:ascii="Book Antiqua" w:hAnsi="Book Antiqua" w:cs="Arial"/>
                <w:b/>
              </w:rPr>
            </w:pPr>
          </w:p>
        </w:tc>
        <w:tc>
          <w:tcPr>
            <w:tcW w:w="2500" w:type="pct"/>
          </w:tcPr>
          <w:p w14:paraId="28655B4B" w14:textId="096B2780" w:rsidR="008F0F55" w:rsidRPr="00035322" w:rsidRDefault="00AC1C3C" w:rsidP="0012307C">
            <w:pPr>
              <w:jc w:val="right"/>
              <w:rPr>
                <w:rFonts w:ascii="Book Antiqua" w:hAnsi="Book Antiqua" w:cs="Arial"/>
                <w:b/>
              </w:rPr>
            </w:pPr>
          </w:p>
        </w:tc>
      </w:tr>
    </w:tbl>
    <w:p w14:paraId="29F81895" w14:textId="77777777" w:rsidR="008F0F55" w:rsidRPr="00F146AE" w:rsidRDefault="00AC1C3C" w:rsidP="008F0F55">
      <w:pPr>
        <w:jc w:val="center"/>
        <w:rPr>
          <w:rFonts w:ascii="Book Antiqua" w:hAnsi="Book Antiqua" w:cs="Arial"/>
        </w:rPr>
      </w:pPr>
    </w:p>
    <w:p w14:paraId="2DD3CF5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1C613D3" w14:textId="77777777" w:rsidR="008F0F55" w:rsidRPr="00F146AE" w:rsidRDefault="00AC1C3C" w:rsidP="008F0F55">
      <w:pPr>
        <w:jc w:val="center"/>
        <w:rPr>
          <w:rFonts w:ascii="Book Antiqua" w:hAnsi="Book Antiqua" w:cs="Arial"/>
          <w:b/>
        </w:rPr>
      </w:pPr>
    </w:p>
    <w:p w14:paraId="16F3499D"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130D02E6" w14:textId="77777777" w:rsidR="0012307C" w:rsidRDefault="0012307C" w:rsidP="008F0F55">
      <w:pPr>
        <w:jc w:val="center"/>
        <w:rPr>
          <w:rFonts w:ascii="Book Antiqua" w:hAnsi="Book Antiqua" w:cs="Arial"/>
          <w:b/>
        </w:rPr>
      </w:pPr>
    </w:p>
    <w:p w14:paraId="49D4FC07" w14:textId="77777777" w:rsidR="0012307C" w:rsidRDefault="0012307C" w:rsidP="008F0F55">
      <w:pPr>
        <w:jc w:val="center"/>
        <w:rPr>
          <w:rFonts w:ascii="Book Antiqua" w:hAnsi="Book Antiqua" w:cs="Arial"/>
          <w:b/>
        </w:rPr>
      </w:pPr>
    </w:p>
    <w:p w14:paraId="0E5BDC36" w14:textId="30B92534"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751BC4BA" w14:textId="77777777" w:rsidR="008F0F55" w:rsidRPr="00F146AE" w:rsidRDefault="00AC1C3C" w:rsidP="008F0F55">
      <w:pPr>
        <w:jc w:val="center"/>
        <w:rPr>
          <w:rFonts w:ascii="Book Antiqua" w:hAnsi="Book Antiqua" w:cs="Arial"/>
          <w:b/>
        </w:rPr>
      </w:pPr>
    </w:p>
    <w:p w14:paraId="45570DDA" w14:textId="77777777" w:rsidR="008F0F55" w:rsidRDefault="00D1338B" w:rsidP="008F0F55">
      <w:pPr>
        <w:jc w:val="center"/>
        <w:rPr>
          <w:rFonts w:ascii="Book Antiqua" w:hAnsi="Book Antiqua" w:cs="Arial"/>
          <w:b/>
        </w:rPr>
      </w:pPr>
      <w:r>
        <w:rPr>
          <w:rFonts w:ascii="Book Antiqua" w:hAnsi="Book Antiqua" w:cs="Arial"/>
          <w:b/>
        </w:rPr>
        <w:t>Secretary of State for the Home Department</w:t>
      </w:r>
    </w:p>
    <w:p w14:paraId="27CB93F9"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47F88E73"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257DA733" w14:textId="77777777" w:rsidR="008F0F55" w:rsidRPr="00F146AE" w:rsidRDefault="00AC1C3C" w:rsidP="008F0F55">
      <w:pPr>
        <w:jc w:val="center"/>
        <w:rPr>
          <w:rFonts w:ascii="Book Antiqua" w:hAnsi="Book Antiqua" w:cs="Arial"/>
          <w:b/>
        </w:rPr>
      </w:pPr>
    </w:p>
    <w:p w14:paraId="608405B3" w14:textId="1072AD3A" w:rsidR="008F0F55" w:rsidRDefault="0012307C" w:rsidP="008F0F55">
      <w:pPr>
        <w:jc w:val="center"/>
        <w:rPr>
          <w:rFonts w:ascii="Book Antiqua" w:hAnsi="Book Antiqua" w:cs="Arial"/>
          <w:b/>
        </w:rPr>
      </w:pPr>
      <w:r>
        <w:rPr>
          <w:rFonts w:ascii="Book Antiqua" w:hAnsi="Book Antiqua" w:cs="Arial"/>
          <w:b/>
        </w:rPr>
        <w:t>[</w:t>
      </w:r>
      <w:r w:rsidR="00D1338B">
        <w:rPr>
          <w:rFonts w:ascii="Book Antiqua" w:hAnsi="Book Antiqua" w:cs="Arial"/>
          <w:b/>
        </w:rPr>
        <w:t>M</w:t>
      </w:r>
      <w:r>
        <w:rPr>
          <w:rFonts w:ascii="Book Antiqua" w:hAnsi="Book Antiqua" w:cs="Arial"/>
          <w:b/>
        </w:rPr>
        <w:t xml:space="preserve"> </w:t>
      </w:r>
      <w:r w:rsidR="00D1338B">
        <w:rPr>
          <w:rFonts w:ascii="Book Antiqua" w:hAnsi="Book Antiqua" w:cs="Arial"/>
          <w:b/>
        </w:rPr>
        <w:t>R</w:t>
      </w:r>
      <w:r>
        <w:rPr>
          <w:rFonts w:ascii="Book Antiqua" w:hAnsi="Book Antiqua" w:cs="Arial"/>
          <w:b/>
        </w:rPr>
        <w:t>]</w:t>
      </w:r>
    </w:p>
    <w:p w14:paraId="585889B9" w14:textId="77777777" w:rsidR="008F0F55" w:rsidRPr="00F146AE" w:rsidRDefault="00D1338B" w:rsidP="008F0F55">
      <w:pPr>
        <w:jc w:val="right"/>
        <w:rPr>
          <w:rFonts w:ascii="Book Antiqua" w:hAnsi="Book Antiqua" w:cs="Arial"/>
          <w:u w:val="single"/>
        </w:rPr>
      </w:pPr>
      <w:r>
        <w:rPr>
          <w:rFonts w:ascii="Book Antiqua" w:hAnsi="Book Antiqua" w:cs="Arial"/>
          <w:u w:val="single"/>
        </w:rPr>
        <w:t>Claimant</w:t>
      </w:r>
    </w:p>
    <w:p w14:paraId="57A859EB" w14:textId="579BC598" w:rsidR="008F0F55" w:rsidRDefault="00AC1C3C" w:rsidP="008F0F55">
      <w:pPr>
        <w:rPr>
          <w:rFonts w:ascii="Book Antiqua" w:hAnsi="Book Antiqua" w:cs="Arial"/>
          <w:u w:val="single"/>
        </w:rPr>
      </w:pPr>
    </w:p>
    <w:p w14:paraId="0DF84684" w14:textId="77777777" w:rsidR="0012307C" w:rsidRPr="00F146AE" w:rsidRDefault="0012307C" w:rsidP="008F0F55">
      <w:pPr>
        <w:rPr>
          <w:rFonts w:ascii="Book Antiqua" w:hAnsi="Book Antiqua" w:cs="Arial"/>
          <w:u w:val="single"/>
        </w:rPr>
      </w:pPr>
    </w:p>
    <w:p w14:paraId="708E72CC"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598290F" w14:textId="77777777" w:rsidR="008F0F55" w:rsidRPr="00F146AE" w:rsidRDefault="00F81D1E" w:rsidP="0012307C">
      <w:pPr>
        <w:tabs>
          <w:tab w:val="left" w:pos="2552"/>
        </w:tabs>
        <w:rPr>
          <w:rFonts w:ascii="Book Antiqua" w:hAnsi="Book Antiqua" w:cs="Arial"/>
        </w:rPr>
      </w:pPr>
      <w:r>
        <w:rPr>
          <w:rFonts w:ascii="Book Antiqua" w:hAnsi="Book Antiqua" w:cs="Arial"/>
        </w:rPr>
        <w:t xml:space="preserve">For the </w:t>
      </w:r>
      <w:r w:rsidR="00D1338B">
        <w:rPr>
          <w:rFonts w:ascii="Book Antiqua" w:hAnsi="Book Antiqua" w:cs="Arial"/>
        </w:rPr>
        <w:t>claimant</w:t>
      </w:r>
      <w:r w:rsidRPr="00F146AE">
        <w:rPr>
          <w:rFonts w:ascii="Book Antiqua" w:hAnsi="Book Antiqua" w:cs="Arial"/>
        </w:rPr>
        <w:t>:</w:t>
      </w:r>
      <w:r w:rsidRPr="00F146AE">
        <w:rPr>
          <w:rFonts w:ascii="Book Antiqua" w:hAnsi="Book Antiqua" w:cs="Arial"/>
        </w:rPr>
        <w:tab/>
      </w:r>
      <w:r w:rsidR="008A739B">
        <w:rPr>
          <w:rFonts w:ascii="Book Antiqua" w:hAnsi="Book Antiqua" w:cs="Arial"/>
        </w:rPr>
        <w:t>Mr G Franco</w:t>
      </w:r>
      <w:r>
        <w:rPr>
          <w:rFonts w:ascii="Book Antiqua" w:hAnsi="Book Antiqua" w:cs="Arial"/>
        </w:rPr>
        <w:t xml:space="preserve">, instructed by </w:t>
      </w:r>
      <w:r w:rsidR="008A739B">
        <w:rPr>
          <w:rFonts w:ascii="Book Antiqua" w:hAnsi="Book Antiqua" w:cs="Arial"/>
        </w:rPr>
        <w:t>Schneider Goldstein Immigration Law</w:t>
      </w:r>
    </w:p>
    <w:p w14:paraId="396BCC76" w14:textId="77777777" w:rsidR="008F0F55" w:rsidRPr="00F146AE" w:rsidRDefault="00F81D1E" w:rsidP="0012307C">
      <w:pPr>
        <w:tabs>
          <w:tab w:val="left" w:pos="2552"/>
        </w:tabs>
        <w:rPr>
          <w:rFonts w:ascii="Book Antiqua" w:hAnsi="Book Antiqua" w:cs="Arial"/>
        </w:rPr>
      </w:pPr>
      <w:r>
        <w:rPr>
          <w:rFonts w:ascii="Book Antiqua" w:hAnsi="Book Antiqua" w:cs="Arial"/>
        </w:rPr>
        <w:t xml:space="preserve">For the </w:t>
      </w:r>
      <w:r w:rsidR="008A739B">
        <w:rPr>
          <w:rFonts w:ascii="Book Antiqua" w:hAnsi="Book Antiqua" w:cs="Arial"/>
        </w:rPr>
        <w:t>appellant</w:t>
      </w:r>
      <w:r w:rsidRPr="00F146AE">
        <w:rPr>
          <w:rFonts w:ascii="Book Antiqua" w:hAnsi="Book Antiqua" w:cs="Arial"/>
        </w:rPr>
        <w:t>:</w:t>
      </w:r>
      <w:r w:rsidR="008A739B">
        <w:rPr>
          <w:rFonts w:ascii="Book Antiqua" w:hAnsi="Book Antiqua" w:cs="Arial"/>
        </w:rPr>
        <w:tab/>
        <w:t>Mr P Duffy</w:t>
      </w:r>
      <w:r>
        <w:rPr>
          <w:rFonts w:ascii="Book Antiqua" w:hAnsi="Book Antiqua" w:cs="Arial"/>
        </w:rPr>
        <w:t>, Senior Home Office Presenting Officer</w:t>
      </w:r>
    </w:p>
    <w:p w14:paraId="778FA48E" w14:textId="37E40386" w:rsidR="008F0F55" w:rsidRDefault="00AC1C3C" w:rsidP="008F0F55">
      <w:pPr>
        <w:tabs>
          <w:tab w:val="left" w:pos="2520"/>
        </w:tabs>
        <w:jc w:val="center"/>
        <w:rPr>
          <w:rFonts w:ascii="Book Antiqua" w:hAnsi="Book Antiqua" w:cs="Arial"/>
        </w:rPr>
      </w:pPr>
    </w:p>
    <w:p w14:paraId="4167EBBE" w14:textId="77777777" w:rsidR="0012307C" w:rsidRPr="00F146AE" w:rsidRDefault="0012307C" w:rsidP="008F0F55">
      <w:pPr>
        <w:tabs>
          <w:tab w:val="left" w:pos="2520"/>
        </w:tabs>
        <w:jc w:val="center"/>
        <w:rPr>
          <w:rFonts w:ascii="Book Antiqua" w:hAnsi="Book Antiqua" w:cs="Arial"/>
        </w:rPr>
      </w:pPr>
    </w:p>
    <w:p w14:paraId="5CA8C5AF"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51B4AC34" w14:textId="77777777" w:rsidR="0010524F" w:rsidRDefault="00F81D1E" w:rsidP="0012307C">
      <w:pPr>
        <w:numPr>
          <w:ilvl w:val="0"/>
          <w:numId w:val="3"/>
        </w:numPr>
        <w:spacing w:before="160"/>
        <w:jc w:val="both"/>
        <w:rPr>
          <w:rFonts w:ascii="Book Antiqua" w:hAnsi="Book Antiqua" w:cs="Arial"/>
        </w:rPr>
      </w:pPr>
      <w:r>
        <w:rPr>
          <w:rFonts w:ascii="Book Antiqua" w:hAnsi="Book Antiqua" w:cs="Arial"/>
        </w:rPr>
        <w:t xml:space="preserve">This is </w:t>
      </w:r>
      <w:r w:rsidR="00711AC0">
        <w:rPr>
          <w:rFonts w:ascii="Book Antiqua" w:hAnsi="Book Antiqua" w:cs="Arial"/>
        </w:rPr>
        <w:t xml:space="preserve">the Secretary of State’s </w:t>
      </w:r>
      <w:r>
        <w:rPr>
          <w:rFonts w:ascii="Book Antiqua" w:hAnsi="Book Antiqua" w:cs="Arial"/>
        </w:rPr>
        <w:t xml:space="preserve">appeal against the decision of First-tier Tribunal Judge </w:t>
      </w:r>
      <w:r w:rsidR="00823C29">
        <w:rPr>
          <w:rFonts w:ascii="Book Antiqua" w:hAnsi="Book Antiqua" w:cs="Arial"/>
        </w:rPr>
        <w:t>Sweet</w:t>
      </w:r>
      <w:r w:rsidR="00FC346C">
        <w:rPr>
          <w:rFonts w:ascii="Book Antiqua" w:hAnsi="Book Antiqua" w:cs="Arial"/>
        </w:rPr>
        <w:t xml:space="preserve"> promulgated </w:t>
      </w:r>
      <w:r w:rsidR="00823C29">
        <w:rPr>
          <w:rFonts w:ascii="Book Antiqua" w:hAnsi="Book Antiqua" w:cs="Arial"/>
        </w:rPr>
        <w:t>15</w:t>
      </w:r>
      <w:r w:rsidR="00080D28">
        <w:rPr>
          <w:rFonts w:ascii="Book Antiqua" w:hAnsi="Book Antiqua" w:cs="Arial"/>
        </w:rPr>
        <w:t>.3.18</w:t>
      </w:r>
      <w:r>
        <w:rPr>
          <w:rFonts w:ascii="Book Antiqua" w:hAnsi="Book Antiqua" w:cs="Arial"/>
        </w:rPr>
        <w:t xml:space="preserve">, </w:t>
      </w:r>
      <w:r w:rsidR="00080D28">
        <w:rPr>
          <w:rFonts w:ascii="Book Antiqua" w:hAnsi="Book Antiqua" w:cs="Arial"/>
        </w:rPr>
        <w:t>allowing on asylum, immigration and article 8 grounds the claimant’s appeal</w:t>
      </w:r>
      <w:r>
        <w:rPr>
          <w:rFonts w:ascii="Book Antiqua" w:hAnsi="Book Antiqua" w:cs="Arial"/>
        </w:rPr>
        <w:t xml:space="preserve"> against the decision of the </w:t>
      </w:r>
      <w:r w:rsidR="00FC346C">
        <w:rPr>
          <w:rFonts w:ascii="Book Antiqua" w:hAnsi="Book Antiqua" w:cs="Arial"/>
        </w:rPr>
        <w:t xml:space="preserve">Secretary of State, dated </w:t>
      </w:r>
      <w:r w:rsidR="00080D28">
        <w:rPr>
          <w:rFonts w:ascii="Book Antiqua" w:hAnsi="Book Antiqua" w:cs="Arial"/>
        </w:rPr>
        <w:t>15.1.18</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h</w:t>
      </w:r>
      <w:r w:rsidR="0010524F">
        <w:rPr>
          <w:rFonts w:ascii="Book Antiqua" w:hAnsi="Book Antiqua" w:cs="Arial"/>
        </w:rPr>
        <w:t>er protection claim.</w:t>
      </w:r>
    </w:p>
    <w:p w14:paraId="1B3F3ABB" w14:textId="77777777" w:rsidR="008F0F55" w:rsidRDefault="00F81D1E" w:rsidP="0012307C">
      <w:pPr>
        <w:numPr>
          <w:ilvl w:val="0"/>
          <w:numId w:val="3"/>
        </w:numPr>
        <w:spacing w:before="160"/>
        <w:jc w:val="both"/>
        <w:rPr>
          <w:rFonts w:ascii="Book Antiqua" w:hAnsi="Book Antiqua" w:cs="Arial"/>
        </w:rPr>
      </w:pPr>
      <w:r>
        <w:rPr>
          <w:rFonts w:ascii="Book Antiqua" w:hAnsi="Book Antiqua" w:cs="Arial"/>
        </w:rPr>
        <w:t xml:space="preserve">First-tier Tribunal Judge </w:t>
      </w:r>
      <w:r w:rsidR="0010524F">
        <w:rPr>
          <w:rFonts w:ascii="Book Antiqua" w:hAnsi="Book Antiqua" w:cs="Arial"/>
        </w:rPr>
        <w:t>Boyes</w:t>
      </w:r>
      <w:r>
        <w:rPr>
          <w:rFonts w:ascii="Book Antiqua" w:hAnsi="Book Antiqua" w:cs="Arial"/>
        </w:rPr>
        <w:t xml:space="preserve"> </w:t>
      </w:r>
      <w:r w:rsidRPr="00011203">
        <w:rPr>
          <w:rFonts w:ascii="Book Antiqua" w:hAnsi="Book Antiqua" w:cs="Arial"/>
        </w:rPr>
        <w:t xml:space="preserve">granted permission to appeal on </w:t>
      </w:r>
      <w:r w:rsidR="0010524F">
        <w:rPr>
          <w:rFonts w:ascii="Book Antiqua" w:hAnsi="Book Antiqua" w:cs="Arial"/>
        </w:rPr>
        <w:t>3.4.18</w:t>
      </w:r>
      <w:r>
        <w:rPr>
          <w:rFonts w:ascii="Book Antiqua" w:hAnsi="Book Antiqua" w:cs="Arial"/>
        </w:rPr>
        <w:t>.</w:t>
      </w:r>
    </w:p>
    <w:p w14:paraId="63BCEABA" w14:textId="77777777" w:rsidR="008F0F55" w:rsidRDefault="00F81D1E" w:rsidP="0012307C">
      <w:pPr>
        <w:numPr>
          <w:ilvl w:val="0"/>
          <w:numId w:val="3"/>
        </w:numPr>
        <w:spacing w:before="160"/>
        <w:jc w:val="both"/>
        <w:rPr>
          <w:rFonts w:ascii="Book Antiqua" w:hAnsi="Book Antiqua" w:cs="Arial"/>
        </w:rPr>
      </w:pPr>
      <w:proofErr w:type="gramStart"/>
      <w:r w:rsidRPr="00011203">
        <w:rPr>
          <w:rFonts w:ascii="Book Antiqua" w:hAnsi="Book Antiqua" w:cs="Arial"/>
        </w:rPr>
        <w:t>Thus</w:t>
      </w:r>
      <w:proofErr w:type="gramEnd"/>
      <w:r w:rsidRPr="00011203">
        <w:rPr>
          <w:rFonts w:ascii="Book Antiqua" w:hAnsi="Book Antiqua" w:cs="Arial"/>
        </w:rPr>
        <w:t xml:space="preserve"> the matter </w:t>
      </w:r>
      <w:r>
        <w:rPr>
          <w:rFonts w:ascii="Book Antiqua" w:hAnsi="Book Antiqua" w:cs="Arial"/>
        </w:rPr>
        <w:t xml:space="preserve">came </w:t>
      </w:r>
      <w:r w:rsidRPr="00011203">
        <w:rPr>
          <w:rFonts w:ascii="Book Antiqua" w:hAnsi="Book Antiqua" w:cs="Arial"/>
        </w:rPr>
        <w:t xml:space="preserve">before me on </w:t>
      </w:r>
      <w:r w:rsidR="00711AC0">
        <w:rPr>
          <w:rFonts w:ascii="Book Antiqua" w:hAnsi="Book Antiqua" w:cs="Arial"/>
        </w:rPr>
        <w:t>18.5.18</w:t>
      </w:r>
      <w:r w:rsidRPr="00011203">
        <w:rPr>
          <w:rFonts w:ascii="Book Antiqua" w:hAnsi="Book Antiqua" w:cs="Arial"/>
        </w:rPr>
        <w:t xml:space="preserve"> as an appeal in the Upper Tribunal.  </w:t>
      </w:r>
    </w:p>
    <w:p w14:paraId="79CBE2D1" w14:textId="77777777" w:rsidR="0012307C" w:rsidRDefault="0012307C" w:rsidP="0012307C">
      <w:pPr>
        <w:spacing w:before="160"/>
        <w:jc w:val="both"/>
        <w:rPr>
          <w:rFonts w:ascii="Book Antiqua" w:hAnsi="Book Antiqua" w:cs="Arial"/>
          <w:i/>
        </w:rPr>
      </w:pPr>
    </w:p>
    <w:p w14:paraId="6185D6C2" w14:textId="70B5640B" w:rsidR="008F0F55" w:rsidRPr="0010524F" w:rsidRDefault="00F81D1E" w:rsidP="0012307C">
      <w:pPr>
        <w:spacing w:before="160"/>
        <w:jc w:val="both"/>
        <w:rPr>
          <w:rFonts w:ascii="Book Antiqua" w:hAnsi="Book Antiqua" w:cs="Arial"/>
          <w:i/>
        </w:rPr>
      </w:pPr>
      <w:r w:rsidRPr="0010524F">
        <w:rPr>
          <w:rFonts w:ascii="Book Antiqua" w:hAnsi="Book Antiqua" w:cs="Arial"/>
          <w:i/>
        </w:rPr>
        <w:lastRenderedPageBreak/>
        <w:t>Error of Law</w:t>
      </w:r>
    </w:p>
    <w:p w14:paraId="668CAD9C" w14:textId="77777777" w:rsidR="008F0F55" w:rsidRDefault="0010524F" w:rsidP="0012307C">
      <w:pPr>
        <w:numPr>
          <w:ilvl w:val="0"/>
          <w:numId w:val="3"/>
        </w:numPr>
        <w:spacing w:before="160"/>
        <w:jc w:val="both"/>
        <w:rPr>
          <w:rFonts w:ascii="Book Antiqua" w:hAnsi="Book Antiqua" w:cs="Arial"/>
        </w:rPr>
      </w:pPr>
      <w:r>
        <w:rPr>
          <w:rFonts w:ascii="Book Antiqua" w:hAnsi="Book Antiqua" w:cs="Arial"/>
        </w:rPr>
        <w:t>For the reasons summarised below, I found such material</w:t>
      </w:r>
      <w:r w:rsidR="00F81D1E">
        <w:rPr>
          <w:rFonts w:ascii="Book Antiqua" w:hAnsi="Book Antiqua" w:cs="Arial"/>
        </w:rPr>
        <w:t xml:space="preserve"> error of law in the making of the decision of the First-tier Tribunal </w:t>
      </w:r>
      <w:r>
        <w:rPr>
          <w:rFonts w:ascii="Book Antiqua" w:hAnsi="Book Antiqua" w:cs="Arial"/>
        </w:rPr>
        <w:t>as to require</w:t>
      </w:r>
      <w:r w:rsidR="00F81D1E" w:rsidRPr="0010524F">
        <w:rPr>
          <w:rFonts w:ascii="Book Antiqua" w:hAnsi="Book Antiqua" w:cs="Arial"/>
        </w:rPr>
        <w:t xml:space="preserve"> the decision </w:t>
      </w:r>
      <w:r>
        <w:rPr>
          <w:rFonts w:ascii="Book Antiqua" w:hAnsi="Book Antiqua" w:cs="Arial"/>
        </w:rPr>
        <w:t xml:space="preserve">to be </w:t>
      </w:r>
      <w:r w:rsidR="00F81D1E" w:rsidRPr="0010524F">
        <w:rPr>
          <w:rFonts w:ascii="Book Antiqua" w:hAnsi="Book Antiqua" w:cs="Arial"/>
        </w:rPr>
        <w:t>set aside</w:t>
      </w:r>
      <w:r>
        <w:rPr>
          <w:rFonts w:ascii="Book Antiqua" w:hAnsi="Book Antiqua" w:cs="Arial"/>
        </w:rPr>
        <w:t xml:space="preserve"> and remade in the First-tier Tribunal. </w:t>
      </w:r>
    </w:p>
    <w:p w14:paraId="3DED3168" w14:textId="77777777" w:rsidR="00D30EEA" w:rsidRDefault="004A0762" w:rsidP="0012307C">
      <w:pPr>
        <w:numPr>
          <w:ilvl w:val="0"/>
          <w:numId w:val="3"/>
        </w:numPr>
        <w:spacing w:before="160"/>
        <w:jc w:val="both"/>
        <w:rPr>
          <w:rFonts w:ascii="Book Antiqua" w:hAnsi="Book Antiqua" w:cs="Arial"/>
        </w:rPr>
      </w:pPr>
      <w:r>
        <w:rPr>
          <w:rFonts w:ascii="Book Antiqua" w:hAnsi="Book Antiqua" w:cs="Arial"/>
        </w:rPr>
        <w:t xml:space="preserve">The basis of the protection claim </w:t>
      </w:r>
      <w:r w:rsidR="00A831A6">
        <w:rPr>
          <w:rFonts w:ascii="Book Antiqua" w:hAnsi="Book Antiqua" w:cs="Arial"/>
        </w:rPr>
        <w:t>is that the claimant fears that as a Rohingya Muslim she will be killed by the Myanmar Burmese people because</w:t>
      </w:r>
      <w:r w:rsidR="008305B9">
        <w:rPr>
          <w:rFonts w:ascii="Book Antiqua" w:hAnsi="Book Antiqua" w:cs="Arial"/>
        </w:rPr>
        <w:t xml:space="preserve"> of</w:t>
      </w:r>
      <w:r w:rsidR="00A831A6">
        <w:rPr>
          <w:rFonts w:ascii="Book Antiqua" w:hAnsi="Book Antiqua" w:cs="Arial"/>
        </w:rPr>
        <w:t xml:space="preserve"> her religion. </w:t>
      </w:r>
      <w:r w:rsidR="00D30EEA">
        <w:rPr>
          <w:rFonts w:ascii="Book Antiqua" w:hAnsi="Book Antiqua" w:cs="Arial"/>
        </w:rPr>
        <w:t xml:space="preserve">The Secretary of State’s case was that the claimant </w:t>
      </w:r>
      <w:r w:rsidR="00772252">
        <w:rPr>
          <w:rFonts w:ascii="Book Antiqua" w:hAnsi="Book Antiqua" w:cs="Arial"/>
        </w:rPr>
        <w:t>is from Bangladesh and is not a citizen of Myanmar as claimed.</w:t>
      </w:r>
    </w:p>
    <w:p w14:paraId="4F8D46A9" w14:textId="77777777" w:rsidR="008305B9" w:rsidRDefault="008305B9" w:rsidP="0012307C">
      <w:pPr>
        <w:numPr>
          <w:ilvl w:val="0"/>
          <w:numId w:val="3"/>
        </w:numPr>
        <w:spacing w:before="160"/>
        <w:jc w:val="both"/>
        <w:rPr>
          <w:rFonts w:ascii="Book Antiqua" w:hAnsi="Book Antiqua" w:cs="Arial"/>
        </w:rPr>
      </w:pPr>
      <w:r>
        <w:rPr>
          <w:rFonts w:ascii="Book Antiqua" w:hAnsi="Book Antiqua" w:cs="Arial"/>
        </w:rPr>
        <w:t>Judge Sweet concluded that the claimant is a Rohingya Muslim of Burmese nationality and will be at risk on return to Burma. The judge also found that as this would amount to very significant obstacles to returning to Burma, the appellant would succeed under paragraph 276ADE</w:t>
      </w:r>
      <w:r w:rsidR="003B5EF8">
        <w:rPr>
          <w:rFonts w:ascii="Book Antiqua" w:hAnsi="Book Antiqua" w:cs="Arial"/>
        </w:rPr>
        <w:t xml:space="preserve">(vi) of the Immigration Rules. </w:t>
      </w:r>
    </w:p>
    <w:p w14:paraId="79DCA01A" w14:textId="77777777" w:rsidR="0010524F" w:rsidRDefault="0010524F" w:rsidP="0012307C">
      <w:pPr>
        <w:numPr>
          <w:ilvl w:val="0"/>
          <w:numId w:val="3"/>
        </w:numPr>
        <w:spacing w:before="160"/>
        <w:jc w:val="both"/>
        <w:rPr>
          <w:rFonts w:ascii="Book Antiqua" w:hAnsi="Book Antiqua" w:cs="Arial"/>
        </w:rPr>
      </w:pPr>
      <w:r>
        <w:rPr>
          <w:rFonts w:ascii="Book Antiqua" w:hAnsi="Book Antiqua" w:cs="Arial"/>
        </w:rPr>
        <w:t xml:space="preserve">In essence, the grounds argue that the judge erred by failing to provide adequate reasoning </w:t>
      </w:r>
      <w:r w:rsidR="00D61583">
        <w:rPr>
          <w:rFonts w:ascii="Book Antiqua" w:hAnsi="Book Antiqua" w:cs="Arial"/>
        </w:rPr>
        <w:t xml:space="preserve">for the findings made and conclusions reached, </w:t>
      </w:r>
      <w:r>
        <w:rPr>
          <w:rFonts w:ascii="Book Antiqua" w:hAnsi="Book Antiqua" w:cs="Arial"/>
        </w:rPr>
        <w:t xml:space="preserve">and </w:t>
      </w:r>
      <w:r w:rsidR="00D61583">
        <w:rPr>
          <w:rFonts w:ascii="Book Antiqua" w:hAnsi="Book Antiqua" w:cs="Arial"/>
        </w:rPr>
        <w:t xml:space="preserve">by </w:t>
      </w:r>
      <w:r>
        <w:rPr>
          <w:rFonts w:ascii="Book Antiqua" w:hAnsi="Book Antiqua" w:cs="Arial"/>
        </w:rPr>
        <w:t xml:space="preserve">failing to address the arguments advanced by the Secretary of State. </w:t>
      </w:r>
    </w:p>
    <w:p w14:paraId="1FF6F611" w14:textId="77777777" w:rsidR="0010524F" w:rsidRDefault="0010524F" w:rsidP="0012307C">
      <w:pPr>
        <w:numPr>
          <w:ilvl w:val="0"/>
          <w:numId w:val="3"/>
        </w:numPr>
        <w:spacing w:before="160"/>
        <w:jc w:val="both"/>
        <w:rPr>
          <w:rFonts w:ascii="Book Antiqua" w:hAnsi="Book Antiqua" w:cs="Arial"/>
        </w:rPr>
      </w:pPr>
      <w:r>
        <w:rPr>
          <w:rFonts w:ascii="Book Antiqua" w:hAnsi="Book Antiqua" w:cs="Arial"/>
        </w:rPr>
        <w:t>In granting permission to appeal, Judge Boyes found it arguable that the judge had not fully engaged with the arguments of the respondent</w:t>
      </w:r>
      <w:r w:rsidR="00D30EEA">
        <w:rPr>
          <w:rFonts w:ascii="Book Antiqua" w:hAnsi="Book Antiqua" w:cs="Arial"/>
        </w:rPr>
        <w:t xml:space="preserve">, and even if that was done, there was insufficient or inadequate reasoning as to why those arguments were less favoured that those of the </w:t>
      </w:r>
      <w:r w:rsidR="005F7A95">
        <w:rPr>
          <w:rFonts w:ascii="Book Antiqua" w:hAnsi="Book Antiqua" w:cs="Arial"/>
        </w:rPr>
        <w:t>claimant</w:t>
      </w:r>
      <w:r w:rsidR="00D30EEA">
        <w:rPr>
          <w:rFonts w:ascii="Book Antiqua" w:hAnsi="Book Antiqua" w:cs="Arial"/>
        </w:rPr>
        <w:t>. “The least a party is entitled to is reasons why their argument was not preferred.”</w:t>
      </w:r>
    </w:p>
    <w:p w14:paraId="604A9DF3" w14:textId="77777777" w:rsidR="00D30EEA" w:rsidRDefault="00D30EEA" w:rsidP="0012307C">
      <w:pPr>
        <w:numPr>
          <w:ilvl w:val="0"/>
          <w:numId w:val="3"/>
        </w:numPr>
        <w:spacing w:before="160"/>
        <w:jc w:val="both"/>
        <w:rPr>
          <w:rFonts w:ascii="Book Antiqua" w:hAnsi="Book Antiqua" w:cs="Arial"/>
        </w:rPr>
      </w:pPr>
      <w:r>
        <w:rPr>
          <w:rFonts w:ascii="Book Antiqua" w:hAnsi="Book Antiqua" w:cs="Arial"/>
        </w:rPr>
        <w:t xml:space="preserve">In his submissions, Mr Duffy pointed out that the only reasoning provided in the decision is that contained within [37] of the decision and is </w:t>
      </w:r>
      <w:r w:rsidR="007320C1">
        <w:rPr>
          <w:rFonts w:ascii="Book Antiqua" w:hAnsi="Book Antiqua" w:cs="Arial"/>
        </w:rPr>
        <w:t xml:space="preserve">effectively </w:t>
      </w:r>
      <w:r>
        <w:rPr>
          <w:rFonts w:ascii="Book Antiqua" w:hAnsi="Book Antiqua" w:cs="Arial"/>
        </w:rPr>
        <w:t xml:space="preserve">limited to a single sentence to the effect that the judge did not consider that it damaged the </w:t>
      </w:r>
      <w:r w:rsidR="005F7A95">
        <w:rPr>
          <w:rFonts w:ascii="Book Antiqua" w:hAnsi="Book Antiqua" w:cs="Arial"/>
        </w:rPr>
        <w:t>claimant’s</w:t>
      </w:r>
      <w:r>
        <w:rPr>
          <w:rFonts w:ascii="Book Antiqua" w:hAnsi="Book Antiqua" w:cs="Arial"/>
        </w:rPr>
        <w:t xml:space="preserve"> claim that she cannot remember the exact date of when she and her family left Bangladesh.</w:t>
      </w:r>
      <w:r w:rsidR="007320C1">
        <w:rPr>
          <w:rFonts w:ascii="Book Antiqua" w:hAnsi="Book Antiqua" w:cs="Arial"/>
        </w:rPr>
        <w:t xml:space="preserve"> Whilst the judge noted and set out in the decision many of the discrepancies relied on by the Secretary of State, no findings are made in respect of them. The decision is a recitation of the case on each side without making adequate findings. It is not clear to the Secretary of State what was considered to be in the claimant’s favour, what weight was given to the representations of the Secretary of State, and why the former outweighed the latter. </w:t>
      </w:r>
    </w:p>
    <w:p w14:paraId="299A60D3" w14:textId="77777777" w:rsidR="007320C1" w:rsidRDefault="007320C1" w:rsidP="0012307C">
      <w:pPr>
        <w:numPr>
          <w:ilvl w:val="0"/>
          <w:numId w:val="3"/>
        </w:numPr>
        <w:spacing w:before="160"/>
        <w:jc w:val="both"/>
        <w:rPr>
          <w:rFonts w:ascii="Book Antiqua" w:hAnsi="Book Antiqua" w:cs="Arial"/>
        </w:rPr>
      </w:pPr>
      <w:r>
        <w:rPr>
          <w:rFonts w:ascii="Book Antiqua" w:hAnsi="Book Antiqua" w:cs="Arial"/>
        </w:rPr>
        <w:t xml:space="preserve">Mr Franco began his submissions by submitting that the Secretary of State’s appeal cannot succeed as there was no challenge in the application for permission to appeal to the Upper Tribunal against the long residence conclusion, allowing the appeal under the Rules. </w:t>
      </w:r>
    </w:p>
    <w:p w14:paraId="2281478F" w14:textId="702BF932" w:rsidR="007320C1" w:rsidRDefault="007320C1" w:rsidP="0012307C">
      <w:pPr>
        <w:numPr>
          <w:ilvl w:val="0"/>
          <w:numId w:val="3"/>
        </w:numPr>
        <w:spacing w:before="160"/>
        <w:jc w:val="both"/>
        <w:rPr>
          <w:rFonts w:ascii="Book Antiqua" w:hAnsi="Book Antiqua" w:cs="Arial"/>
        </w:rPr>
      </w:pPr>
      <w:r>
        <w:rPr>
          <w:rFonts w:ascii="Book Antiqua" w:hAnsi="Book Antiqua" w:cs="Arial"/>
        </w:rPr>
        <w:t>However,</w:t>
      </w:r>
      <w:r w:rsidR="00E5342B">
        <w:rPr>
          <w:rFonts w:ascii="Book Antiqua" w:hAnsi="Book Antiqua" w:cs="Arial"/>
        </w:rPr>
        <w:t xml:space="preserve"> it is clear that the appeal could not have succeeded on the </w:t>
      </w:r>
      <w:proofErr w:type="gramStart"/>
      <w:r w:rsidR="00E5342B">
        <w:rPr>
          <w:rFonts w:ascii="Book Antiqua" w:hAnsi="Book Antiqua" w:cs="Arial"/>
        </w:rPr>
        <w:t>20 year</w:t>
      </w:r>
      <w:proofErr w:type="gramEnd"/>
      <w:r w:rsidR="00E5342B">
        <w:rPr>
          <w:rFonts w:ascii="Book Antiqua" w:hAnsi="Book Antiqua" w:cs="Arial"/>
        </w:rPr>
        <w:t xml:space="preserve"> long residence requirement, the claimant </w:t>
      </w:r>
      <w:r w:rsidR="00681DD4">
        <w:rPr>
          <w:rFonts w:ascii="Book Antiqua" w:hAnsi="Book Antiqua" w:cs="Arial"/>
        </w:rPr>
        <w:t xml:space="preserve">not having been in the UK 20 years, as the judge found at [27]. Mr Duffy also pointed out that in [39] the judge was only considering return to Burma and </w:t>
      </w:r>
      <w:r w:rsidR="00756CA0">
        <w:rPr>
          <w:rFonts w:ascii="Book Antiqua" w:hAnsi="Book Antiqua" w:cs="Arial"/>
        </w:rPr>
        <w:t xml:space="preserve">did not consider </w:t>
      </w:r>
      <w:r w:rsidR="00D67442">
        <w:rPr>
          <w:rFonts w:ascii="Book Antiqua" w:hAnsi="Book Antiqua" w:cs="Arial"/>
        </w:rPr>
        <w:t xml:space="preserve">that there were </w:t>
      </w:r>
      <w:r w:rsidR="00756CA0">
        <w:rPr>
          <w:rFonts w:ascii="Book Antiqua" w:hAnsi="Book Antiqua" w:cs="Arial"/>
        </w:rPr>
        <w:t>any very significant obstacles to return to</w:t>
      </w:r>
      <w:r w:rsidR="00681DD4">
        <w:rPr>
          <w:rFonts w:ascii="Book Antiqua" w:hAnsi="Book Antiqua" w:cs="Arial"/>
        </w:rPr>
        <w:t xml:space="preserve"> Bangladesh. In the circumstances, there was no merit in Mr Franco’s point.</w:t>
      </w:r>
    </w:p>
    <w:p w14:paraId="17C036AF" w14:textId="1D8D8D6D" w:rsidR="00681DD4" w:rsidRDefault="00756CA0" w:rsidP="0012307C">
      <w:pPr>
        <w:numPr>
          <w:ilvl w:val="0"/>
          <w:numId w:val="3"/>
        </w:numPr>
        <w:spacing w:before="160"/>
        <w:jc w:val="both"/>
        <w:rPr>
          <w:rFonts w:ascii="Book Antiqua" w:hAnsi="Book Antiqua" w:cs="Arial"/>
        </w:rPr>
      </w:pPr>
      <w:r>
        <w:rPr>
          <w:rFonts w:ascii="Book Antiqua" w:hAnsi="Book Antiqua" w:cs="Arial"/>
        </w:rPr>
        <w:t xml:space="preserve">I find that the decision of the First-tier Tribunal is almost devoid of reasoning </w:t>
      </w:r>
      <w:r w:rsidR="00B85DDE">
        <w:rPr>
          <w:rFonts w:ascii="Book Antiqua" w:hAnsi="Book Antiqua" w:cs="Arial"/>
        </w:rPr>
        <w:t>to justify</w:t>
      </w:r>
      <w:r>
        <w:rPr>
          <w:rFonts w:ascii="Book Antiqua" w:hAnsi="Book Antiqua" w:cs="Arial"/>
        </w:rPr>
        <w:t xml:space="preserve"> the findings and conclusions made. The judge set out the Secretary of State’s position and the discrepancies relied on, but failed to go on to explain why the points made by </w:t>
      </w:r>
      <w:r>
        <w:rPr>
          <w:rFonts w:ascii="Book Antiqua" w:hAnsi="Book Antiqua" w:cs="Arial"/>
        </w:rPr>
        <w:lastRenderedPageBreak/>
        <w:t xml:space="preserve">the Secretary of State were to be ignored or outweighed by other evidence or findings. Whilst it is clear that the judge accepted the </w:t>
      </w:r>
      <w:r w:rsidR="00B85DDE">
        <w:rPr>
          <w:rFonts w:ascii="Book Antiqua" w:hAnsi="Book Antiqua" w:cs="Arial"/>
        </w:rPr>
        <w:t>claimant’s</w:t>
      </w:r>
      <w:r>
        <w:rPr>
          <w:rFonts w:ascii="Book Antiqua" w:hAnsi="Book Antiqua" w:cs="Arial"/>
        </w:rPr>
        <w:t xml:space="preserve"> account</w:t>
      </w:r>
      <w:r w:rsidR="00D63FA4">
        <w:rPr>
          <w:rFonts w:ascii="Book Antiqua" w:hAnsi="Book Antiqua" w:cs="Arial"/>
        </w:rPr>
        <w:t>,</w:t>
      </w:r>
      <w:r>
        <w:rPr>
          <w:rFonts w:ascii="Book Antiqua" w:hAnsi="Book Antiqua" w:cs="Arial"/>
        </w:rPr>
        <w:t xml:space="preserve"> that </w:t>
      </w:r>
      <w:r w:rsidR="00D63FA4">
        <w:rPr>
          <w:rFonts w:ascii="Book Antiqua" w:hAnsi="Book Antiqua" w:cs="Arial"/>
        </w:rPr>
        <w:t xml:space="preserve">statement alone </w:t>
      </w:r>
      <w:r>
        <w:rPr>
          <w:rFonts w:ascii="Book Antiqua" w:hAnsi="Book Antiqua" w:cs="Arial"/>
        </w:rPr>
        <w:t xml:space="preserve">is insufficient to provide both parties clear reasoning why one succeeded and the other failed. The judge was under a duty to make a holistic assessment of the evidence not just as to the date when the claimant allegedly left Burma but also as to the conflict over the appellant’s nationality. Having failed to properly reason the decision, this error of law </w:t>
      </w:r>
      <w:r w:rsidR="00D63FA4">
        <w:rPr>
          <w:rFonts w:ascii="Book Antiqua" w:hAnsi="Book Antiqua" w:cs="Arial"/>
        </w:rPr>
        <w:t xml:space="preserve">in turn </w:t>
      </w:r>
      <w:r>
        <w:rPr>
          <w:rFonts w:ascii="Book Antiqua" w:hAnsi="Book Antiqua" w:cs="Arial"/>
        </w:rPr>
        <w:t xml:space="preserve">infects the sustainability of the single finding relied on to support the findings under paragraph 276ADE as to very significant obstacles. </w:t>
      </w:r>
    </w:p>
    <w:p w14:paraId="043D40BA" w14:textId="60DA1BA2" w:rsidR="00C04427" w:rsidRPr="0010524F" w:rsidRDefault="00C04427" w:rsidP="0012307C">
      <w:pPr>
        <w:numPr>
          <w:ilvl w:val="0"/>
          <w:numId w:val="3"/>
        </w:numPr>
        <w:spacing w:before="160"/>
        <w:jc w:val="both"/>
        <w:rPr>
          <w:rFonts w:ascii="Book Antiqua" w:hAnsi="Book Antiqua" w:cs="Arial"/>
        </w:rPr>
      </w:pPr>
      <w:r>
        <w:rPr>
          <w:rFonts w:ascii="Book Antiqua" w:hAnsi="Book Antiqua" w:cs="Arial"/>
        </w:rPr>
        <w:t>In the circumstances, the decision is entirely inadequate and in error of law.</w:t>
      </w:r>
    </w:p>
    <w:p w14:paraId="54A308AC" w14:textId="77777777" w:rsidR="00FC346C" w:rsidRPr="00C04427" w:rsidRDefault="00FC346C" w:rsidP="0012307C">
      <w:pPr>
        <w:spacing w:before="160"/>
        <w:jc w:val="both"/>
        <w:rPr>
          <w:rFonts w:ascii="Book Antiqua" w:hAnsi="Book Antiqua" w:cs="Arial"/>
          <w:i/>
        </w:rPr>
      </w:pPr>
      <w:r w:rsidRPr="00C04427">
        <w:rPr>
          <w:rFonts w:ascii="Book Antiqua" w:hAnsi="Book Antiqua" w:cs="Arial"/>
          <w:i/>
        </w:rPr>
        <w:t>Remittal</w:t>
      </w:r>
    </w:p>
    <w:p w14:paraId="0D909284" w14:textId="7B86D1E8" w:rsidR="00FC346C" w:rsidRPr="00195C0A" w:rsidRDefault="00FC346C" w:rsidP="0012307C">
      <w:pPr>
        <w:numPr>
          <w:ilvl w:val="0"/>
          <w:numId w:val="3"/>
        </w:numPr>
        <w:tabs>
          <w:tab w:val="left" w:pos="2520"/>
        </w:tabs>
        <w:spacing w:before="160"/>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Pr>
          <w:rFonts w:ascii="Book Antiqua" w:hAnsi="Book Antiqua" w:cs="Book Antiqua"/>
          <w:lang w:val="en-US" w:eastAsia="en-US"/>
        </w:rPr>
        <w:t xml:space="preserve">The errors of the First-tier Tribunal Judge </w:t>
      </w:r>
      <w:proofErr w:type="gramStart"/>
      <w:r>
        <w:rPr>
          <w:rFonts w:ascii="Book Antiqua" w:hAnsi="Book Antiqua" w:cs="Book Antiqua"/>
          <w:lang w:val="en-US" w:eastAsia="en-US"/>
        </w:rPr>
        <w:t>vitiates</w:t>
      </w:r>
      <w:proofErr w:type="gramEnd"/>
      <w:r>
        <w:rPr>
          <w:rFonts w:ascii="Book Antiqua" w:hAnsi="Book Antiqua" w:cs="Book Antiqua"/>
          <w:lang w:val="en-US" w:eastAsia="en-US"/>
        </w:rPr>
        <w:t xml:space="preserve"> all other findings of fact and the conclusions from those facts so that there has not been a valid determination of the issues in the appeal. </w:t>
      </w:r>
    </w:p>
    <w:p w14:paraId="7E51983B" w14:textId="05AD5FE6" w:rsidR="00FC346C" w:rsidRDefault="00FC346C" w:rsidP="0012307C">
      <w:pPr>
        <w:numPr>
          <w:ilvl w:val="0"/>
          <w:numId w:val="3"/>
        </w:numPr>
        <w:tabs>
          <w:tab w:val="left" w:pos="2520"/>
        </w:tabs>
        <w:spacing w:before="160"/>
        <w:jc w:val="both"/>
        <w:rPr>
          <w:rFonts w:ascii="Book Antiqua" w:hAnsi="Book Antiqua" w:cs="Arial"/>
        </w:rPr>
      </w:pPr>
      <w:r>
        <w:rPr>
          <w:rFonts w:ascii="Book Antiqua" w:hAnsi="Book Antiqua" w:cs="Book Antiqua"/>
          <w:lang w:val="en-US" w:eastAsia="en-US"/>
        </w:rPr>
        <w:t xml:space="preserve">In all the circumstances, </w:t>
      </w:r>
      <w:r w:rsidR="00C23052">
        <w:rPr>
          <w:rFonts w:ascii="Book Antiqua" w:hAnsi="Book Antiqua" w:cs="Book Antiqua"/>
          <w:lang w:val="en-US" w:eastAsia="en-US"/>
        </w:rPr>
        <w:t>I</w:t>
      </w:r>
      <w:r>
        <w:rPr>
          <w:rFonts w:ascii="Book Antiqua" w:hAnsi="Book Antiqua" w:cs="Book Antiqua"/>
          <w:lang w:val="en-US" w:eastAsia="en-US"/>
        </w:rPr>
        <w:t xml:space="preserve"> relist this appeal for a fresh hearing in the First-tier Tribunal, I do so on the basis that this is a case which falls squarely within the Senior President’s Practice Statement at paragraph 7.2. The effect of the error has been to deprive the appellant of a fair hearing and that the nature or extent of any judicial fact finding which is necessary for the decision in the appeal to be re-made is such that, having regard to the overriding objective in rule 2 to deal with cases fairly and justly, including with the avoidance of delay, I find that it is appropriate to remit this appeal to the First-tier Tribunal to determine the appeal afresh.</w:t>
      </w:r>
    </w:p>
    <w:p w14:paraId="1B4A1E2D" w14:textId="0BBBD3D3" w:rsidR="008F0F55" w:rsidRPr="00C23052" w:rsidRDefault="00C23052" w:rsidP="0012307C">
      <w:pPr>
        <w:tabs>
          <w:tab w:val="left" w:pos="2520"/>
        </w:tabs>
        <w:spacing w:before="160"/>
        <w:jc w:val="both"/>
        <w:rPr>
          <w:rFonts w:ascii="Book Antiqua" w:hAnsi="Book Antiqua" w:cs="Arial"/>
          <w:i/>
        </w:rPr>
      </w:pPr>
      <w:r w:rsidRPr="00C23052">
        <w:rPr>
          <w:rFonts w:ascii="Book Antiqua" w:hAnsi="Book Antiqua" w:cs="Arial"/>
          <w:i/>
        </w:rPr>
        <w:t>Decision</w:t>
      </w:r>
    </w:p>
    <w:p w14:paraId="057458E0" w14:textId="4CEB4391" w:rsidR="008F0F55" w:rsidRPr="003A0DFB" w:rsidRDefault="00F81D1E" w:rsidP="0012307C">
      <w:pPr>
        <w:numPr>
          <w:ilvl w:val="0"/>
          <w:numId w:val="3"/>
        </w:numPr>
        <w:tabs>
          <w:tab w:val="left" w:pos="2520"/>
        </w:tabs>
        <w:spacing w:before="160"/>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304B1303" w14:textId="7866C0A6" w:rsidR="008F0F55" w:rsidRDefault="00F81D1E" w:rsidP="0012307C">
      <w:pPr>
        <w:tabs>
          <w:tab w:val="left" w:pos="2520"/>
        </w:tabs>
        <w:spacing w:before="160"/>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14:paraId="4B252D8F" w14:textId="3F7AD356" w:rsidR="00FC346C" w:rsidRPr="003A0DFB" w:rsidRDefault="00FC346C" w:rsidP="0012307C">
      <w:pPr>
        <w:tabs>
          <w:tab w:val="left" w:pos="2520"/>
        </w:tabs>
        <w:spacing w:before="160"/>
        <w:ind w:left="2520"/>
        <w:jc w:val="both"/>
        <w:rPr>
          <w:rFonts w:ascii="Book Antiqua" w:hAnsi="Book Antiqua" w:cs="Arial"/>
        </w:rPr>
      </w:pPr>
      <w:r>
        <w:rPr>
          <w:rFonts w:ascii="Book Antiqua" w:hAnsi="Book Antiqua" w:cs="Arial"/>
        </w:rPr>
        <w:t>I remit the appeal to be decided afresh in the First-tier Tribunal in accordance with the directions</w:t>
      </w:r>
      <w:r w:rsidR="00C23052">
        <w:rPr>
          <w:rFonts w:ascii="Book Antiqua" w:hAnsi="Book Antiqua" w:cs="Arial"/>
        </w:rPr>
        <w:t xml:space="preserve"> below</w:t>
      </w:r>
      <w:r>
        <w:rPr>
          <w:rFonts w:ascii="Book Antiqua" w:hAnsi="Book Antiqua" w:cs="Arial"/>
        </w:rPr>
        <w:t xml:space="preserve">. </w:t>
      </w:r>
    </w:p>
    <w:p w14:paraId="6C51AE20"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8D63F78" wp14:editId="7E4DBBE0">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9"/>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1491E00A"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3B4C8E04" w14:textId="77777777" w:rsidR="008F0F55" w:rsidRPr="006E1B05" w:rsidRDefault="00AC1C3C" w:rsidP="008F0F55">
      <w:pPr>
        <w:tabs>
          <w:tab w:val="left" w:pos="2268"/>
          <w:tab w:val="left" w:pos="4536"/>
          <w:tab w:val="left" w:pos="5103"/>
        </w:tabs>
        <w:rPr>
          <w:rFonts w:ascii="Book Antiqua" w:hAnsi="Book Antiqua" w:cs="Arial"/>
          <w:b/>
          <w:bCs/>
        </w:rPr>
      </w:pPr>
    </w:p>
    <w:p w14:paraId="02F0F3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70BF994A" w14:textId="77777777" w:rsidR="008F0F55" w:rsidRPr="006E1B05" w:rsidRDefault="00AC1C3C" w:rsidP="008F0F55">
      <w:pPr>
        <w:tabs>
          <w:tab w:val="left" w:pos="2268"/>
          <w:tab w:val="left" w:pos="5103"/>
        </w:tabs>
        <w:rPr>
          <w:rFonts w:ascii="Book Antiqua" w:hAnsi="Book Antiqua" w:cs="Arial"/>
          <w:b/>
          <w:bCs/>
        </w:rPr>
      </w:pPr>
    </w:p>
    <w:p w14:paraId="0168AD5E" w14:textId="52F99708"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r>
        <w:rPr>
          <w:rFonts w:ascii="Arial" w:hAnsi="Arial" w:cs="Arial"/>
          <w:b/>
          <w:bCs/>
        </w:rPr>
        <w:tab/>
      </w:r>
      <w:r>
        <w:rPr>
          <w:rFonts w:ascii="Arial" w:hAnsi="Arial" w:cs="Arial"/>
          <w:b/>
          <w:bCs/>
        </w:rPr>
        <w:tab/>
      </w:r>
    </w:p>
    <w:p w14:paraId="609C4875" w14:textId="77777777" w:rsidR="008F0F55" w:rsidRPr="0083585F" w:rsidRDefault="00AC1C3C" w:rsidP="008F0F55">
      <w:pPr>
        <w:tabs>
          <w:tab w:val="left" w:pos="2520"/>
        </w:tabs>
        <w:jc w:val="both"/>
        <w:rPr>
          <w:rFonts w:ascii="Book Antiqua" w:hAnsi="Book Antiqua" w:cs="Arial"/>
        </w:rPr>
      </w:pPr>
    </w:p>
    <w:p w14:paraId="6BFDAE91" w14:textId="16D3C5E6" w:rsidR="008F0F55" w:rsidRPr="003A0DFB" w:rsidRDefault="00F81D1E" w:rsidP="0012307C">
      <w:pPr>
        <w:tabs>
          <w:tab w:val="left" w:pos="2520"/>
        </w:tabs>
        <w:spacing w:before="160"/>
        <w:rPr>
          <w:rFonts w:ascii="Book Antiqua" w:hAnsi="Book Antiqua" w:cs="Arial"/>
          <w:b/>
        </w:rPr>
      </w:pPr>
      <w:r w:rsidRPr="003A0DFB">
        <w:rPr>
          <w:rFonts w:ascii="Book Antiqua" w:hAnsi="Book Antiqua" w:cs="Arial"/>
          <w:b/>
        </w:rPr>
        <w:lastRenderedPageBreak/>
        <w:t>Consequential Directions</w:t>
      </w:r>
    </w:p>
    <w:p w14:paraId="7E1EEA95" w14:textId="750A5030" w:rsidR="00FC346C" w:rsidRDefault="00FC346C" w:rsidP="0012307C">
      <w:pPr>
        <w:numPr>
          <w:ilvl w:val="0"/>
          <w:numId w:val="23"/>
        </w:numPr>
        <w:tabs>
          <w:tab w:val="left" w:pos="2520"/>
        </w:tabs>
        <w:spacing w:before="160"/>
        <w:jc w:val="both"/>
        <w:rPr>
          <w:rFonts w:ascii="Book Antiqua" w:hAnsi="Book Antiqua" w:cs="Arial"/>
        </w:rPr>
      </w:pPr>
      <w:r>
        <w:rPr>
          <w:rFonts w:ascii="Book Antiqua" w:hAnsi="Book Antiqua" w:cs="Arial"/>
        </w:rPr>
        <w:t xml:space="preserve">The appeal is remitted to the First-tier Tribunal sitting at </w:t>
      </w:r>
      <w:r w:rsidR="00C23052">
        <w:rPr>
          <w:rFonts w:ascii="Book Antiqua" w:hAnsi="Book Antiqua" w:cs="Arial"/>
        </w:rPr>
        <w:t>Hatton Cross</w:t>
      </w:r>
      <w:r>
        <w:rPr>
          <w:rFonts w:ascii="Book Antiqua" w:hAnsi="Book Antiqua" w:cs="Arial"/>
        </w:rPr>
        <w:t>;</w:t>
      </w:r>
    </w:p>
    <w:p w14:paraId="21BCEBAB" w14:textId="77777777" w:rsidR="00FC346C" w:rsidRDefault="00FC346C" w:rsidP="0012307C">
      <w:pPr>
        <w:numPr>
          <w:ilvl w:val="0"/>
          <w:numId w:val="23"/>
        </w:numPr>
        <w:tabs>
          <w:tab w:val="left" w:pos="2520"/>
        </w:tabs>
        <w:spacing w:before="160"/>
        <w:jc w:val="both"/>
        <w:rPr>
          <w:rFonts w:ascii="Book Antiqua" w:hAnsi="Book Antiqua" w:cs="Arial"/>
        </w:rPr>
      </w:pPr>
      <w:r>
        <w:rPr>
          <w:rFonts w:ascii="Book Antiqua" w:hAnsi="Book Antiqua" w:cs="Arial"/>
        </w:rPr>
        <w:t>The appeal is to be decided afresh with no findings of fact preserved;</w:t>
      </w:r>
    </w:p>
    <w:p w14:paraId="67A9B0B9" w14:textId="0C389F46" w:rsidR="00FC346C" w:rsidRDefault="00FC346C" w:rsidP="0012307C">
      <w:pPr>
        <w:numPr>
          <w:ilvl w:val="0"/>
          <w:numId w:val="23"/>
        </w:numPr>
        <w:tabs>
          <w:tab w:val="left" w:pos="2520"/>
        </w:tabs>
        <w:spacing w:before="160"/>
        <w:jc w:val="both"/>
        <w:rPr>
          <w:rFonts w:ascii="Book Antiqua" w:hAnsi="Book Antiqua" w:cs="Arial"/>
        </w:rPr>
      </w:pPr>
      <w:r>
        <w:rPr>
          <w:rFonts w:ascii="Book Antiqua" w:hAnsi="Book Antiqua" w:cs="Arial"/>
        </w:rPr>
        <w:t xml:space="preserve">The ELH is </w:t>
      </w:r>
      <w:r w:rsidR="003765C3">
        <w:rPr>
          <w:rFonts w:ascii="Book Antiqua" w:hAnsi="Book Antiqua" w:cs="Arial"/>
        </w:rPr>
        <w:t>3</w:t>
      </w:r>
      <w:r>
        <w:rPr>
          <w:rFonts w:ascii="Book Antiqua" w:hAnsi="Book Antiqua" w:cs="Arial"/>
        </w:rPr>
        <w:t xml:space="preserve"> hours;</w:t>
      </w:r>
    </w:p>
    <w:p w14:paraId="7342E943" w14:textId="6ADFCEC5" w:rsidR="00913F99" w:rsidRDefault="00913F99" w:rsidP="0012307C">
      <w:pPr>
        <w:numPr>
          <w:ilvl w:val="0"/>
          <w:numId w:val="23"/>
        </w:numPr>
        <w:tabs>
          <w:tab w:val="left" w:pos="2520"/>
        </w:tabs>
        <w:spacing w:before="160"/>
        <w:jc w:val="both"/>
        <w:rPr>
          <w:rFonts w:ascii="Book Antiqua" w:hAnsi="Book Antiqua" w:cs="Arial"/>
        </w:rPr>
      </w:pPr>
      <w:r>
        <w:rPr>
          <w:rFonts w:ascii="Book Antiqua" w:hAnsi="Book Antiqua" w:cs="Arial"/>
        </w:rPr>
        <w:t>An interpreter in Bengali (Sylheti) will be required;</w:t>
      </w:r>
    </w:p>
    <w:p w14:paraId="73EDA37D" w14:textId="0220272C" w:rsidR="00FC346C" w:rsidRDefault="00FC346C" w:rsidP="0012307C">
      <w:pPr>
        <w:numPr>
          <w:ilvl w:val="0"/>
          <w:numId w:val="23"/>
        </w:numPr>
        <w:tabs>
          <w:tab w:val="left" w:pos="2520"/>
        </w:tabs>
        <w:spacing w:before="160"/>
        <w:jc w:val="both"/>
        <w:rPr>
          <w:rFonts w:ascii="Book Antiqua" w:hAnsi="Book Antiqua" w:cs="Arial"/>
        </w:rPr>
      </w:pPr>
      <w:r>
        <w:rPr>
          <w:rFonts w:ascii="Book Antiqua" w:hAnsi="Book Antiqua" w:cs="Arial"/>
        </w:rPr>
        <w:t xml:space="preserve">The appeal may be listed before any First-tier Tribunal Judge, with the exception of </w:t>
      </w:r>
      <w:r w:rsidR="003765C3">
        <w:rPr>
          <w:rFonts w:ascii="Book Antiqua" w:hAnsi="Book Antiqua" w:cs="Arial"/>
        </w:rPr>
        <w:t>Judge Sweet</w:t>
      </w:r>
      <w:r>
        <w:rPr>
          <w:rFonts w:ascii="Book Antiqua" w:hAnsi="Book Antiqua" w:cs="Arial"/>
        </w:rPr>
        <w:t>;</w:t>
      </w:r>
    </w:p>
    <w:p w14:paraId="7EA5DD08" w14:textId="77777777" w:rsidR="00FC346C" w:rsidRDefault="00FC346C" w:rsidP="0012307C">
      <w:pPr>
        <w:numPr>
          <w:ilvl w:val="0"/>
          <w:numId w:val="23"/>
        </w:numPr>
        <w:tabs>
          <w:tab w:val="left" w:pos="2520"/>
        </w:tabs>
        <w:spacing w:before="160"/>
        <w:jc w:val="both"/>
        <w:rPr>
          <w:rFonts w:ascii="Book Antiqua" w:hAnsi="Book Antiqua" w:cs="Arial"/>
        </w:rPr>
      </w:pPr>
      <w:r>
        <w:rPr>
          <w:rFonts w:ascii="Book Antiqua" w:hAnsi="Book Antiqua" w:cs="Arial"/>
        </w:rPr>
        <w:t xml:space="preserve">The appellant is to ensure that all evidence to be relied on is contained within a single consolidated, indexed and paginated bundle of all objective and subjective material, together with any skeleton argument and copies of all case authorities to be relied on. The Tribunal will not accept materials submitted on the day of the forthcoming appeal hearing; </w:t>
      </w:r>
    </w:p>
    <w:p w14:paraId="3C1D6807" w14:textId="77777777" w:rsidR="00FC346C" w:rsidRPr="003A0DFB" w:rsidRDefault="00FC346C" w:rsidP="0012307C">
      <w:pPr>
        <w:numPr>
          <w:ilvl w:val="0"/>
          <w:numId w:val="23"/>
        </w:numPr>
        <w:tabs>
          <w:tab w:val="left" w:pos="2520"/>
        </w:tabs>
        <w:spacing w:before="160"/>
        <w:jc w:val="both"/>
        <w:rPr>
          <w:rFonts w:ascii="Book Antiqua" w:hAnsi="Book Antiqua" w:cs="Arial"/>
        </w:rPr>
      </w:pPr>
      <w:r>
        <w:rPr>
          <w:rFonts w:ascii="Book Antiqua" w:hAnsi="Book Antiqua" w:cs="Arial"/>
        </w:rPr>
        <w:t>The First-tier Tribunal may give such further or alternative directions as are deemed appropriate.</w:t>
      </w:r>
    </w:p>
    <w:p w14:paraId="55675D51" w14:textId="77777777" w:rsidR="0012307C" w:rsidRDefault="0012307C" w:rsidP="0012307C">
      <w:pPr>
        <w:tabs>
          <w:tab w:val="left" w:pos="2520"/>
        </w:tabs>
        <w:spacing w:before="160"/>
        <w:jc w:val="both"/>
        <w:rPr>
          <w:rFonts w:ascii="Book Antiqua" w:hAnsi="Book Antiqua" w:cs="Arial"/>
          <w:b/>
        </w:rPr>
      </w:pPr>
    </w:p>
    <w:p w14:paraId="5E6742DF" w14:textId="0A115144" w:rsidR="008F0F55" w:rsidRPr="003A0DFB" w:rsidRDefault="00F81D1E" w:rsidP="0012307C">
      <w:pPr>
        <w:tabs>
          <w:tab w:val="left" w:pos="2520"/>
        </w:tabs>
        <w:spacing w:before="160"/>
        <w:jc w:val="both"/>
        <w:rPr>
          <w:rFonts w:ascii="Book Antiqua" w:hAnsi="Book Antiqua" w:cs="Arial"/>
          <w:b/>
        </w:rPr>
      </w:pPr>
      <w:r w:rsidRPr="003A0DFB">
        <w:rPr>
          <w:rFonts w:ascii="Book Antiqua" w:hAnsi="Book Antiqua" w:cs="Arial"/>
          <w:b/>
        </w:rPr>
        <w:t>Anonymity</w:t>
      </w:r>
    </w:p>
    <w:p w14:paraId="718DA69D" w14:textId="534F2954" w:rsidR="008F0F55" w:rsidRPr="00960279" w:rsidRDefault="00F81D1E" w:rsidP="0012307C">
      <w:pPr>
        <w:tabs>
          <w:tab w:val="left" w:pos="2520"/>
        </w:tabs>
        <w:spacing w:before="160"/>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r w:rsidR="0012307C">
        <w:rPr>
          <w:rFonts w:ascii="Book Antiqua" w:hAnsi="Book Antiqua" w:cs="Arial"/>
        </w:rPr>
        <w:t xml:space="preserve">  </w:t>
      </w:r>
      <w:r>
        <w:rPr>
          <w:rFonts w:ascii="Book Antiqua" w:hAnsi="Book Antiqua"/>
        </w:rPr>
        <w:t xml:space="preserve">Given the circumstances, I </w:t>
      </w:r>
      <w:r w:rsidR="00960279">
        <w:rPr>
          <w:rFonts w:ascii="Book Antiqua" w:hAnsi="Book Antiqua"/>
        </w:rPr>
        <w:t>continue the</w:t>
      </w:r>
      <w:r>
        <w:rPr>
          <w:rFonts w:ascii="Book Antiqua" w:hAnsi="Book Antiqua"/>
        </w:rPr>
        <w:t xml:space="preserve"> anonymity order.</w:t>
      </w:r>
    </w:p>
    <w:p w14:paraId="73A4D666" w14:textId="77777777" w:rsidR="0012307C" w:rsidRDefault="0012307C" w:rsidP="0012307C">
      <w:pPr>
        <w:tabs>
          <w:tab w:val="left" w:pos="2520"/>
        </w:tabs>
        <w:spacing w:before="160"/>
        <w:jc w:val="both"/>
        <w:rPr>
          <w:rFonts w:ascii="Book Antiqua" w:hAnsi="Book Antiqua" w:cs="Arial"/>
          <w:b/>
        </w:rPr>
      </w:pPr>
    </w:p>
    <w:p w14:paraId="623DD935" w14:textId="0BC3DA92" w:rsidR="008F0F55" w:rsidRPr="003A0DFB" w:rsidRDefault="00F81D1E" w:rsidP="0012307C">
      <w:pPr>
        <w:tabs>
          <w:tab w:val="left" w:pos="2520"/>
        </w:tabs>
        <w:spacing w:before="160"/>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5C0DA8B0" w14:textId="57625F82" w:rsidR="008F0F55" w:rsidRPr="003A0DFB" w:rsidRDefault="00F81D1E" w:rsidP="0012307C">
      <w:pPr>
        <w:tabs>
          <w:tab w:val="left" w:pos="2520"/>
        </w:tabs>
        <w:spacing w:before="160"/>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130D46CD" w14:textId="788073B8" w:rsidR="008F0F55" w:rsidRPr="003A0DFB" w:rsidRDefault="00F81D1E" w:rsidP="0012307C">
      <w:pPr>
        <w:tabs>
          <w:tab w:val="left" w:pos="2520"/>
        </w:tabs>
        <w:spacing w:before="160"/>
        <w:jc w:val="both"/>
        <w:rPr>
          <w:rFonts w:ascii="Book Antiqua" w:hAnsi="Book Antiqua" w:cs="Arial"/>
        </w:rPr>
      </w:pPr>
      <w:r w:rsidRPr="003A0DFB">
        <w:rPr>
          <w:rFonts w:ascii="Book Antiqua" w:hAnsi="Book Antiqua" w:cs="Arial"/>
        </w:rPr>
        <w:t xml:space="preserve">Reasons: </w:t>
      </w:r>
      <w:r w:rsidR="00960279">
        <w:rPr>
          <w:rFonts w:ascii="Book Antiqua" w:hAnsi="Book Antiqua" w:cs="Arial"/>
        </w:rPr>
        <w:t xml:space="preserve"> </w:t>
      </w:r>
      <w:r w:rsidR="00204290">
        <w:rPr>
          <w:rFonts w:ascii="Book Antiqua" w:hAnsi="Book Antiqua" w:cs="Arial"/>
        </w:rPr>
        <w:t>No fee is payable and thus there can be no fee award.</w:t>
      </w:r>
    </w:p>
    <w:p w14:paraId="7F61D84C" w14:textId="77777777" w:rsidR="008F0F55" w:rsidRPr="00F146AE" w:rsidRDefault="00AC1C3C" w:rsidP="008F0F55">
      <w:pPr>
        <w:tabs>
          <w:tab w:val="left" w:pos="2520"/>
        </w:tabs>
        <w:jc w:val="both"/>
        <w:rPr>
          <w:rFonts w:ascii="Book Antiqua" w:hAnsi="Book Antiqua" w:cs="Arial"/>
        </w:rPr>
      </w:pPr>
    </w:p>
    <w:p w14:paraId="67B3D3CB"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512144EA" wp14:editId="045DAB70">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9"/>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8D0FA12"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041670E4" w14:textId="77777777" w:rsidR="008F0F55" w:rsidRPr="006E1B05" w:rsidRDefault="00AC1C3C" w:rsidP="008F0F55">
      <w:pPr>
        <w:tabs>
          <w:tab w:val="left" w:pos="2268"/>
          <w:tab w:val="left" w:pos="4536"/>
          <w:tab w:val="left" w:pos="5103"/>
        </w:tabs>
        <w:rPr>
          <w:rFonts w:ascii="Book Antiqua" w:hAnsi="Book Antiqua" w:cs="Arial"/>
          <w:b/>
          <w:bCs/>
        </w:rPr>
      </w:pPr>
    </w:p>
    <w:p w14:paraId="6BF5811D"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44672EC5" w14:textId="77777777" w:rsidR="008F0F55" w:rsidRPr="006E1B05" w:rsidRDefault="00AC1C3C" w:rsidP="008F0F55">
      <w:pPr>
        <w:tabs>
          <w:tab w:val="left" w:pos="2268"/>
          <w:tab w:val="left" w:pos="5103"/>
        </w:tabs>
        <w:rPr>
          <w:rFonts w:ascii="Book Antiqua" w:hAnsi="Book Antiqua" w:cs="Arial"/>
          <w:b/>
          <w:bCs/>
        </w:rPr>
      </w:pPr>
    </w:p>
    <w:p w14:paraId="3967FED5" w14:textId="72FFE6F9" w:rsidR="008F0F55" w:rsidRPr="00F146AE" w:rsidRDefault="00F81D1E" w:rsidP="003A5C3A">
      <w:pPr>
        <w:tabs>
          <w:tab w:val="left" w:pos="2268"/>
          <w:tab w:val="left" w:pos="5103"/>
        </w:tabs>
        <w:rPr>
          <w:rFonts w:ascii="Book Antiqua" w:hAnsi="Book Antiqua" w:cs="Arial"/>
        </w:rPr>
      </w:pPr>
      <w:r>
        <w:rPr>
          <w:rFonts w:ascii="Book Antiqua" w:hAnsi="Book Antiqua" w:cs="Arial"/>
          <w:b/>
          <w:bCs/>
        </w:rPr>
        <w:tab/>
      </w:r>
      <w:r w:rsidRPr="006E1B05">
        <w:rPr>
          <w:rFonts w:ascii="Book Antiqua" w:hAnsi="Book Antiqua" w:cs="Arial"/>
          <w:b/>
          <w:bCs/>
        </w:rPr>
        <w:t>Dated</w:t>
      </w:r>
    </w:p>
    <w:sectPr w:rsidR="008F0F55" w:rsidRPr="00F146AE" w:rsidSect="008F0F55">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953A5" w14:textId="77777777" w:rsidR="00437C34" w:rsidRDefault="00437C34">
      <w:r>
        <w:separator/>
      </w:r>
    </w:p>
  </w:endnote>
  <w:endnote w:type="continuationSeparator" w:id="0">
    <w:p w14:paraId="7181F08F" w14:textId="77777777" w:rsidR="00437C34" w:rsidRDefault="0043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F88A6" w14:textId="3283DB1D"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AC1C3C">
      <w:rPr>
        <w:rStyle w:val="PageNumber"/>
        <w:rFonts w:ascii="Book Antiqua" w:hAnsi="Book Antiqua" w:cs="Arial"/>
        <w:noProof/>
        <w:sz w:val="16"/>
        <w:szCs w:val="16"/>
      </w:rPr>
      <w:t>4</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847CC"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6A6C8" w14:textId="77777777" w:rsidR="00437C34" w:rsidRDefault="00437C34">
      <w:r>
        <w:separator/>
      </w:r>
    </w:p>
  </w:footnote>
  <w:footnote w:type="continuationSeparator" w:id="0">
    <w:p w14:paraId="530A7FE7" w14:textId="77777777" w:rsidR="00437C34" w:rsidRDefault="00437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7A3F6" w14:textId="77777777"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711AC0">
      <w:rPr>
        <w:rFonts w:ascii="Book Antiqua" w:hAnsi="Book Antiqua" w:cs="Arial"/>
        <w:sz w:val="20"/>
        <w:szCs w:val="16"/>
      </w:rPr>
      <w:t>PA/01389/2018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8FAF"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CECAC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D56D81"/>
    <w:multiLevelType w:val="multilevel"/>
    <w:tmpl w:val="66B836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3"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7"/>
  </w:num>
  <w:num w:numId="3">
    <w:abstractNumId w:val="2"/>
  </w:num>
  <w:num w:numId="4">
    <w:abstractNumId w:val="14"/>
  </w:num>
  <w:num w:numId="5">
    <w:abstractNumId w:val="22"/>
  </w:num>
  <w:num w:numId="6">
    <w:abstractNumId w:val="15"/>
  </w:num>
  <w:num w:numId="7">
    <w:abstractNumId w:val="21"/>
  </w:num>
  <w:num w:numId="8">
    <w:abstractNumId w:val="10"/>
  </w:num>
  <w:num w:numId="9">
    <w:abstractNumId w:val="7"/>
  </w:num>
  <w:num w:numId="10">
    <w:abstractNumId w:val="20"/>
  </w:num>
  <w:num w:numId="11">
    <w:abstractNumId w:val="19"/>
  </w:num>
  <w:num w:numId="12">
    <w:abstractNumId w:val="1"/>
  </w:num>
  <w:num w:numId="13">
    <w:abstractNumId w:val="18"/>
  </w:num>
  <w:num w:numId="14">
    <w:abstractNumId w:val="0"/>
  </w:num>
  <w:num w:numId="15">
    <w:abstractNumId w:val="3"/>
  </w:num>
  <w:num w:numId="16">
    <w:abstractNumId w:val="5"/>
  </w:num>
  <w:num w:numId="17">
    <w:abstractNumId w:val="16"/>
  </w:num>
  <w:num w:numId="18">
    <w:abstractNumId w:val="11"/>
  </w:num>
  <w:num w:numId="19">
    <w:abstractNumId w:val="13"/>
  </w:num>
  <w:num w:numId="20">
    <w:abstractNumId w:val="9"/>
  </w:num>
  <w:num w:numId="21">
    <w:abstractNumId w:val="12"/>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80D28"/>
    <w:rsid w:val="000B6052"/>
    <w:rsid w:val="0010524F"/>
    <w:rsid w:val="0012307C"/>
    <w:rsid w:val="00204290"/>
    <w:rsid w:val="002431E8"/>
    <w:rsid w:val="00304CCE"/>
    <w:rsid w:val="003765C3"/>
    <w:rsid w:val="003A5C3A"/>
    <w:rsid w:val="003B5EF8"/>
    <w:rsid w:val="004204B9"/>
    <w:rsid w:val="00437C34"/>
    <w:rsid w:val="004A0762"/>
    <w:rsid w:val="005F7A95"/>
    <w:rsid w:val="00681DD4"/>
    <w:rsid w:val="00711AC0"/>
    <w:rsid w:val="007320C1"/>
    <w:rsid w:val="00756CA0"/>
    <w:rsid w:val="00772252"/>
    <w:rsid w:val="007D3891"/>
    <w:rsid w:val="00823C29"/>
    <w:rsid w:val="008305B9"/>
    <w:rsid w:val="008A739B"/>
    <w:rsid w:val="008C3184"/>
    <w:rsid w:val="008E2252"/>
    <w:rsid w:val="00913F99"/>
    <w:rsid w:val="00960279"/>
    <w:rsid w:val="00A831A6"/>
    <w:rsid w:val="00AC1C3C"/>
    <w:rsid w:val="00B85DDE"/>
    <w:rsid w:val="00BD46DB"/>
    <w:rsid w:val="00C04427"/>
    <w:rsid w:val="00C23052"/>
    <w:rsid w:val="00D1338B"/>
    <w:rsid w:val="00D1687F"/>
    <w:rsid w:val="00D30EEA"/>
    <w:rsid w:val="00D61583"/>
    <w:rsid w:val="00D63FA4"/>
    <w:rsid w:val="00D67442"/>
    <w:rsid w:val="00E366C9"/>
    <w:rsid w:val="00E5342B"/>
    <w:rsid w:val="00F81D1E"/>
    <w:rsid w:val="00FC346C"/>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C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287C1-69C7-4F39-A402-AD104720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2018-06-18T14:05:00Z</dcterms:created>
  <dcterms:modified xsi:type="dcterms:W3CDTF">2018-06-18T14:05:00Z</dcterms:modified>
</cp:coreProperties>
</file>