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DF5676" w:rsidP="00E500B2">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B57D66" w:rsidRDefault="00D94AFC">
      <w:pPr>
        <w:rPr>
          <w:rFonts w:ascii="Book Antiqua" w:hAnsi="Book Antiqua" w:cs="Arial"/>
          <w:color w:val="000000"/>
        </w:rPr>
      </w:pP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CE590C"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CE590C" w:rsidRPr="00CE590C">
        <w:rPr>
          <w:rFonts w:ascii="Book Antiqua" w:hAnsi="Book Antiqua" w:cs="Arial"/>
          <w:caps/>
          <w:color w:val="000000"/>
        </w:rPr>
        <w:t>PA/01545/2018</w:t>
      </w:r>
      <w:bookmarkEnd w:id="0"/>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655DD" w:rsidTr="00B655DD">
        <w:tc>
          <w:tcPr>
            <w:tcW w:w="6048" w:type="dxa"/>
            <w:shd w:val="clear" w:color="auto" w:fill="auto"/>
          </w:tcPr>
          <w:p w:rsidR="00D22636" w:rsidRPr="00B655DD" w:rsidRDefault="00D22636" w:rsidP="00B655DD">
            <w:pPr>
              <w:jc w:val="both"/>
              <w:rPr>
                <w:rFonts w:ascii="Book Antiqua" w:hAnsi="Book Antiqua" w:cs="Arial"/>
                <w:b/>
              </w:rPr>
            </w:pPr>
            <w:r w:rsidRPr="00B655DD">
              <w:rPr>
                <w:rFonts w:ascii="Book Antiqua" w:hAnsi="Book Antiqua" w:cs="Arial"/>
                <w:b/>
              </w:rPr>
              <w:t xml:space="preserve">Heard at </w:t>
            </w:r>
            <w:r w:rsidR="00CE590C" w:rsidRPr="00B655DD">
              <w:rPr>
                <w:rFonts w:ascii="Book Antiqua" w:hAnsi="Book Antiqua" w:cs="Arial"/>
                <w:b/>
              </w:rPr>
              <w:t xml:space="preserve">Field House </w:t>
            </w:r>
          </w:p>
        </w:tc>
        <w:tc>
          <w:tcPr>
            <w:tcW w:w="3960" w:type="dxa"/>
            <w:shd w:val="clear" w:color="auto" w:fill="auto"/>
          </w:tcPr>
          <w:p w:rsidR="00D22636" w:rsidRPr="00B655DD" w:rsidRDefault="00173CC6" w:rsidP="00B655DD">
            <w:pPr>
              <w:jc w:val="both"/>
              <w:rPr>
                <w:rFonts w:ascii="Book Antiqua" w:hAnsi="Book Antiqua" w:cs="Arial"/>
                <w:b/>
                <w:color w:val="000000"/>
              </w:rPr>
            </w:pPr>
            <w:r w:rsidRPr="00B655DD">
              <w:rPr>
                <w:rFonts w:ascii="Book Antiqua" w:hAnsi="Book Antiqua" w:cs="Arial"/>
                <w:b/>
                <w:color w:val="000000"/>
              </w:rPr>
              <w:t>Decision &amp; Reasons</w:t>
            </w:r>
            <w:r w:rsidR="00283659" w:rsidRPr="00B655DD">
              <w:rPr>
                <w:rFonts w:ascii="Book Antiqua" w:hAnsi="Book Antiqua" w:cs="Arial"/>
                <w:b/>
                <w:color w:val="000000"/>
              </w:rPr>
              <w:t xml:space="preserve"> Promulgated</w:t>
            </w:r>
          </w:p>
        </w:tc>
      </w:tr>
      <w:tr w:rsidR="00D22636" w:rsidRPr="00B655DD" w:rsidTr="00B655DD">
        <w:tc>
          <w:tcPr>
            <w:tcW w:w="6048" w:type="dxa"/>
            <w:shd w:val="clear" w:color="auto" w:fill="auto"/>
          </w:tcPr>
          <w:p w:rsidR="00D22636" w:rsidRPr="00B655DD" w:rsidRDefault="00D22636" w:rsidP="00B655DD">
            <w:pPr>
              <w:jc w:val="both"/>
              <w:rPr>
                <w:rFonts w:ascii="Book Antiqua" w:hAnsi="Book Antiqua" w:cs="Arial"/>
                <w:b/>
              </w:rPr>
            </w:pPr>
            <w:r w:rsidRPr="00B655DD">
              <w:rPr>
                <w:rFonts w:ascii="Book Antiqua" w:hAnsi="Book Antiqua" w:cs="Arial"/>
                <w:b/>
              </w:rPr>
              <w:t xml:space="preserve">On </w:t>
            </w:r>
            <w:r w:rsidR="00CE590C" w:rsidRPr="00B655DD">
              <w:rPr>
                <w:rFonts w:ascii="Book Antiqua" w:hAnsi="Book Antiqua" w:cs="Arial"/>
                <w:b/>
              </w:rPr>
              <w:t xml:space="preserve">25 May 2018 </w:t>
            </w:r>
          </w:p>
        </w:tc>
        <w:tc>
          <w:tcPr>
            <w:tcW w:w="3960" w:type="dxa"/>
            <w:shd w:val="clear" w:color="auto" w:fill="auto"/>
          </w:tcPr>
          <w:p w:rsidR="00D22636" w:rsidRPr="00B655DD" w:rsidRDefault="00DF5676" w:rsidP="00B655DD">
            <w:pPr>
              <w:jc w:val="both"/>
              <w:rPr>
                <w:rFonts w:ascii="Book Antiqua" w:hAnsi="Book Antiqua" w:cs="Arial"/>
                <w:b/>
              </w:rPr>
            </w:pPr>
            <w:r>
              <w:rPr>
                <w:rFonts w:ascii="Book Antiqua" w:hAnsi="Book Antiqua" w:cs="Arial"/>
                <w:b/>
              </w:rPr>
              <w:t xml:space="preserve">On 13 June 2018 </w:t>
            </w:r>
          </w:p>
        </w:tc>
      </w:tr>
      <w:tr w:rsidR="00DF5676" w:rsidRPr="00B655DD" w:rsidTr="00B655DD">
        <w:trPr>
          <w:gridAfter w:val="1"/>
          <w:wAfter w:w="3960" w:type="dxa"/>
        </w:trPr>
        <w:tc>
          <w:tcPr>
            <w:tcW w:w="6048" w:type="dxa"/>
            <w:shd w:val="clear" w:color="auto" w:fill="auto"/>
          </w:tcPr>
          <w:p w:rsidR="00DF5676" w:rsidRPr="00B655DD" w:rsidRDefault="00DF5676" w:rsidP="00B655DD">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1B186A" w:rsidRPr="00B57D66" w:rsidRDefault="001B186A" w:rsidP="00A15234">
      <w:pPr>
        <w:jc w:val="center"/>
        <w:rPr>
          <w:rFonts w:ascii="Book Antiqua" w:hAnsi="Book Antiqua" w:cs="Arial"/>
          <w:b/>
          <w:color w:val="000000"/>
        </w:rPr>
      </w:pPr>
    </w:p>
    <w:p w:rsidR="00D20757" w:rsidRPr="00B57D66" w:rsidRDefault="00D20757"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Default="00CE590C" w:rsidP="00A15234">
      <w:pPr>
        <w:jc w:val="center"/>
        <w:rPr>
          <w:rFonts w:ascii="Book Antiqua" w:hAnsi="Book Antiqua" w:cs="Arial"/>
          <w:b/>
          <w:caps/>
        </w:rPr>
      </w:pPr>
      <w:r>
        <w:rPr>
          <w:rFonts w:ascii="Book Antiqua" w:hAnsi="Book Antiqua" w:cs="Arial"/>
          <w:b/>
          <w:caps/>
        </w:rPr>
        <w:t>J A</w:t>
      </w:r>
    </w:p>
    <w:p w:rsidR="00173CC6" w:rsidRDefault="00173CC6" w:rsidP="00173CC6">
      <w:pPr>
        <w:jc w:val="center"/>
        <w:rPr>
          <w:rFonts w:ascii="Book Antiqua" w:hAnsi="Book Antiqua" w:cs="Arial"/>
          <w:b/>
          <w:caps/>
        </w:rPr>
      </w:pPr>
      <w:r w:rsidRPr="00173CC6">
        <w:rPr>
          <w:rFonts w:ascii="Book Antiqua" w:hAnsi="Book Antiqua" w:cs="Arial"/>
          <w:b/>
          <w:caps/>
        </w:rPr>
        <w:t xml:space="preserve">(ANONYMITY DIRECTION </w:t>
      </w:r>
      <w:r w:rsidR="00CE590C">
        <w:rPr>
          <w:rFonts w:ascii="Book Antiqua" w:hAnsi="Book Antiqua" w:cs="Arial"/>
          <w:b/>
          <w:caps/>
        </w:rPr>
        <w:t>maintained</w:t>
      </w:r>
      <w:r w:rsidRPr="00173CC6">
        <w:rPr>
          <w:rFonts w:ascii="Book Antiqua" w:hAnsi="Book Antiqua" w:cs="Arial"/>
          <w:b/>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Pr="00B57D66" w:rsidRDefault="00DD5071" w:rsidP="00704B61">
      <w:pPr>
        <w:jc w:val="center"/>
        <w:rPr>
          <w:rFonts w:ascii="Book Antiqua" w:hAnsi="Book Antiqua" w:cs="Arial"/>
          <w:b/>
        </w:rPr>
      </w:pPr>
    </w:p>
    <w:p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CE590C">
        <w:rPr>
          <w:rFonts w:ascii="Book Antiqua" w:hAnsi="Book Antiqua" w:cs="Arial"/>
        </w:rPr>
        <w:t xml:space="preserve">Mr M Bhuiyan, Solicitor, Universal Solicitors </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CE590C">
        <w:rPr>
          <w:rFonts w:ascii="Book Antiqua" w:hAnsi="Book Antiqua" w:cs="Arial"/>
        </w:rPr>
        <w:t xml:space="preserve">Ms Z Ahmad,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rsidR="004B5AEF" w:rsidRDefault="004B5AEF" w:rsidP="00BF23BB">
      <w:pPr>
        <w:tabs>
          <w:tab w:val="left" w:pos="567"/>
        </w:tabs>
        <w:ind w:left="567" w:hanging="567"/>
        <w:jc w:val="both"/>
        <w:rPr>
          <w:rFonts w:ascii="Book Antiqua" w:hAnsi="Book Antiqua" w:cs="Arial"/>
        </w:rPr>
      </w:pPr>
    </w:p>
    <w:p w:rsidR="00BF23BB" w:rsidRDefault="00F073C4"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A77318">
        <w:rPr>
          <w:rFonts w:ascii="Book Antiqua" w:hAnsi="Book Antiqua" w:cs="Arial"/>
        </w:rPr>
        <w:t xml:space="preserve">In a decision posted on 15 March 2018 First-tier Tribunal (FtT) Judge Cockrill dismissed the appeal of the appellant, a national of Bangladesh, against the decision made by the respondent on 18 January 2018 </w:t>
      </w:r>
      <w:r>
        <w:rPr>
          <w:rFonts w:ascii="Book Antiqua" w:hAnsi="Book Antiqua" w:cs="Arial"/>
        </w:rPr>
        <w:t>refusing</w:t>
      </w:r>
      <w:r w:rsidR="00A77318">
        <w:rPr>
          <w:rFonts w:ascii="Book Antiqua" w:hAnsi="Book Antiqua" w:cs="Arial"/>
        </w:rPr>
        <w:t xml:space="preserve"> his protection claim.  </w:t>
      </w:r>
      <w:r w:rsidR="007C6EA1">
        <w:rPr>
          <w:rFonts w:ascii="Book Antiqua" w:hAnsi="Book Antiqua" w:cs="Arial"/>
        </w:rPr>
        <w:t xml:space="preserve">The basis of the appellant’s claim was </w:t>
      </w:r>
      <w:r w:rsidR="00BF4442">
        <w:rPr>
          <w:rFonts w:ascii="Book Antiqua" w:hAnsi="Book Antiqua" w:cs="Arial"/>
        </w:rPr>
        <w:t xml:space="preserve">that </w:t>
      </w:r>
      <w:r w:rsidR="007C6EA1">
        <w:rPr>
          <w:rFonts w:ascii="Book Antiqua" w:hAnsi="Book Antiqua" w:cs="Arial"/>
        </w:rPr>
        <w:t xml:space="preserve">by virtue of being a journalist and involved with the BNP he had come to the adverse attention of </w:t>
      </w:r>
      <w:r w:rsidR="00BF4442">
        <w:rPr>
          <w:rFonts w:ascii="Book Antiqua" w:hAnsi="Book Antiqua" w:cs="Arial"/>
        </w:rPr>
        <w:t xml:space="preserve">the </w:t>
      </w:r>
      <w:r w:rsidR="007C6EA1">
        <w:rPr>
          <w:rFonts w:ascii="Book Antiqua" w:hAnsi="Book Antiqua" w:cs="Arial"/>
        </w:rPr>
        <w:t xml:space="preserve">Awami League and the Bangladesh Border Guard.  Among the incidents he described concerned an attack by Awami </w:t>
      </w:r>
      <w:r>
        <w:rPr>
          <w:rFonts w:ascii="Book Antiqua" w:hAnsi="Book Antiqua" w:cs="Arial"/>
        </w:rPr>
        <w:lastRenderedPageBreak/>
        <w:t>League</w:t>
      </w:r>
      <w:r w:rsidR="007C6EA1">
        <w:rPr>
          <w:rFonts w:ascii="Book Antiqua" w:hAnsi="Book Antiqua" w:cs="Arial"/>
        </w:rPr>
        <w:t xml:space="preserve"> members </w:t>
      </w:r>
      <w:r w:rsidR="00BF4442">
        <w:rPr>
          <w:rFonts w:ascii="Book Antiqua" w:hAnsi="Book Antiqua" w:cs="Arial"/>
        </w:rPr>
        <w:t>in retaliation for</w:t>
      </w:r>
      <w:r w:rsidR="007C6EA1">
        <w:rPr>
          <w:rFonts w:ascii="Book Antiqua" w:hAnsi="Book Antiqua" w:cs="Arial"/>
        </w:rPr>
        <w:t xml:space="preserve"> the appellant’s family ha</w:t>
      </w:r>
      <w:r w:rsidR="00BF4442">
        <w:rPr>
          <w:rFonts w:ascii="Book Antiqua" w:hAnsi="Book Antiqua" w:cs="Arial"/>
        </w:rPr>
        <w:t>ving</w:t>
      </w:r>
      <w:r w:rsidR="007C6EA1">
        <w:rPr>
          <w:rFonts w:ascii="Book Antiqua" w:hAnsi="Book Antiqua" w:cs="Arial"/>
        </w:rPr>
        <w:t xml:space="preserve"> stopped them taking stones fr</w:t>
      </w:r>
      <w:r w:rsidR="00856C34">
        <w:rPr>
          <w:rFonts w:ascii="Book Antiqua" w:hAnsi="Book Antiqua" w:cs="Arial"/>
        </w:rPr>
        <w:t>o</w:t>
      </w:r>
      <w:r w:rsidR="007C6EA1">
        <w:rPr>
          <w:rFonts w:ascii="Book Antiqua" w:hAnsi="Book Antiqua" w:cs="Arial"/>
        </w:rPr>
        <w:t xml:space="preserve">m his family’s house.  </w:t>
      </w:r>
    </w:p>
    <w:p w:rsidR="007C6EA1" w:rsidRDefault="007C6EA1" w:rsidP="00BF23BB">
      <w:pPr>
        <w:tabs>
          <w:tab w:val="left" w:pos="567"/>
        </w:tabs>
        <w:ind w:left="567" w:hanging="567"/>
        <w:jc w:val="both"/>
        <w:rPr>
          <w:rFonts w:ascii="Book Antiqua" w:hAnsi="Book Antiqua" w:cs="Arial"/>
        </w:rPr>
      </w:pPr>
    </w:p>
    <w:p w:rsidR="007C6EA1" w:rsidRDefault="00F073C4" w:rsidP="00BF23BB">
      <w:pPr>
        <w:tabs>
          <w:tab w:val="left" w:pos="567"/>
        </w:tabs>
        <w:ind w:left="567" w:hanging="567"/>
        <w:jc w:val="both"/>
        <w:rPr>
          <w:rFonts w:ascii="Book Antiqua" w:hAnsi="Book Antiqua" w:cs="Arial"/>
        </w:rPr>
      </w:pPr>
      <w:r>
        <w:rPr>
          <w:rFonts w:ascii="Book Antiqua" w:hAnsi="Book Antiqua" w:cs="Arial"/>
        </w:rPr>
        <w:t>2</w:t>
      </w:r>
      <w:r w:rsidR="007C6EA1">
        <w:rPr>
          <w:rFonts w:ascii="Book Antiqua" w:hAnsi="Book Antiqua" w:cs="Arial"/>
        </w:rPr>
        <w:t>.</w:t>
      </w:r>
      <w:r w:rsidR="007C6EA1">
        <w:rPr>
          <w:rFonts w:ascii="Book Antiqua" w:hAnsi="Book Antiqua" w:cs="Arial"/>
        </w:rPr>
        <w:tab/>
        <w:t>The main ground advanced by the appellant concerns the decision of the judge refusing to adjourn the hearing.  At paragraphs 27 and 29-30 th</w:t>
      </w:r>
      <w:r w:rsidR="006C4296">
        <w:rPr>
          <w:rFonts w:ascii="Book Antiqua" w:hAnsi="Book Antiqua" w:cs="Arial"/>
        </w:rPr>
        <w:t xml:space="preserve">e judge </w:t>
      </w:r>
      <w:r>
        <w:rPr>
          <w:rFonts w:ascii="Book Antiqua" w:hAnsi="Book Antiqua" w:cs="Arial"/>
        </w:rPr>
        <w:t>explained</w:t>
      </w:r>
      <w:r w:rsidR="007C6EA1">
        <w:rPr>
          <w:rFonts w:ascii="Book Antiqua" w:hAnsi="Book Antiqua" w:cs="Arial"/>
        </w:rPr>
        <w:t xml:space="preserve"> what transpired as follows:</w:t>
      </w:r>
    </w:p>
    <w:p w:rsidR="007C6EA1" w:rsidRPr="00DB1D8D" w:rsidRDefault="007C6EA1" w:rsidP="00DB1D8D">
      <w:pPr>
        <w:spacing w:before="120" w:after="120"/>
        <w:ind w:left="1701" w:hanging="567"/>
        <w:jc w:val="both"/>
        <w:rPr>
          <w:rFonts w:ascii="Book Antiqua" w:hAnsi="Book Antiqua" w:cs="Arial"/>
          <w:sz w:val="22"/>
        </w:rPr>
      </w:pPr>
      <w:r w:rsidRPr="00DB1D8D">
        <w:rPr>
          <w:rFonts w:ascii="Book Antiqua" w:hAnsi="Book Antiqua" w:cs="Arial"/>
          <w:sz w:val="22"/>
        </w:rPr>
        <w:t>“27.</w:t>
      </w:r>
      <w:r w:rsidRPr="00DB1D8D">
        <w:rPr>
          <w:rFonts w:ascii="Book Antiqua" w:hAnsi="Book Antiqua" w:cs="Arial"/>
          <w:sz w:val="22"/>
        </w:rPr>
        <w:tab/>
      </w:r>
      <w:r w:rsidR="006C4296" w:rsidRPr="00DB1D8D">
        <w:rPr>
          <w:rFonts w:ascii="Book Antiqua" w:hAnsi="Book Antiqua" w:cs="Arial"/>
          <w:sz w:val="22"/>
        </w:rPr>
        <w:t xml:space="preserve">The case was listed for a pre-hearing review at Taylor House on 16 February 2018.  Solicitors acting for this Appellant, Universal, had filed a Reply Notice indicating that they </w:t>
      </w:r>
      <w:r w:rsidR="00F073C4" w:rsidRPr="00DB1D8D">
        <w:rPr>
          <w:rFonts w:ascii="Book Antiqua" w:hAnsi="Book Antiqua" w:cs="Arial"/>
          <w:sz w:val="22"/>
        </w:rPr>
        <w:t>were</w:t>
      </w:r>
      <w:r w:rsidR="006C4296" w:rsidRPr="00DB1D8D">
        <w:rPr>
          <w:rFonts w:ascii="Book Antiqua" w:hAnsi="Book Antiqua" w:cs="Arial"/>
          <w:sz w:val="22"/>
        </w:rPr>
        <w:t xml:space="preserve"> in a position to proceed to the substantive hearing.  The only evidence was to be called from the Appellant.  A Bengali Sylheti speaking interpreter was required.  The Immigration Judge who dealt with the pre-hearing review </w:t>
      </w:r>
      <w:r w:rsidR="00F073C4" w:rsidRPr="00DB1D8D">
        <w:rPr>
          <w:rFonts w:ascii="Book Antiqua" w:hAnsi="Book Antiqua" w:cs="Arial"/>
          <w:sz w:val="22"/>
        </w:rPr>
        <w:t>concluded</w:t>
      </w:r>
      <w:r w:rsidR="006C4296" w:rsidRPr="00DB1D8D">
        <w:rPr>
          <w:rFonts w:ascii="Book Antiqua" w:hAnsi="Book Antiqua" w:cs="Arial"/>
          <w:sz w:val="22"/>
        </w:rPr>
        <w:t xml:space="preserve"> that an anonymity direction was appropriate.  In all the circumstances I continued that direction at the substantive hearing, judging that it was entirely appropriate, and </w:t>
      </w:r>
      <w:r w:rsidR="00F073C4" w:rsidRPr="00DB1D8D">
        <w:rPr>
          <w:rFonts w:ascii="Book Antiqua" w:hAnsi="Book Antiqua" w:cs="Arial"/>
          <w:sz w:val="22"/>
        </w:rPr>
        <w:t>would</w:t>
      </w:r>
      <w:r w:rsidR="006C4296" w:rsidRPr="00DB1D8D">
        <w:rPr>
          <w:rFonts w:ascii="Book Antiqua" w:hAnsi="Book Antiqua" w:cs="Arial"/>
          <w:sz w:val="22"/>
        </w:rPr>
        <w:t xml:space="preserve"> lead to the Appellant feeling that his </w:t>
      </w:r>
      <w:r w:rsidR="00F073C4" w:rsidRPr="00DB1D8D">
        <w:rPr>
          <w:rFonts w:ascii="Book Antiqua" w:hAnsi="Book Antiqua" w:cs="Arial"/>
          <w:sz w:val="22"/>
        </w:rPr>
        <w:t>identity</w:t>
      </w:r>
      <w:r w:rsidR="006C4296" w:rsidRPr="00DB1D8D">
        <w:rPr>
          <w:rFonts w:ascii="Book Antiqua" w:hAnsi="Book Antiqua" w:cs="Arial"/>
          <w:sz w:val="22"/>
        </w:rPr>
        <w:t xml:space="preserve"> would not become known to third parties </w:t>
      </w:r>
      <w:r w:rsidR="00F073C4" w:rsidRPr="00DB1D8D">
        <w:rPr>
          <w:rFonts w:ascii="Book Antiqua" w:hAnsi="Book Antiqua" w:cs="Arial"/>
          <w:sz w:val="22"/>
        </w:rPr>
        <w:t>and</w:t>
      </w:r>
      <w:r w:rsidR="006C4296" w:rsidRPr="00DB1D8D">
        <w:rPr>
          <w:rFonts w:ascii="Book Antiqua" w:hAnsi="Book Antiqua" w:cs="Arial"/>
          <w:sz w:val="22"/>
        </w:rPr>
        <w:t xml:space="preserve"> thereby would give him confidence in the appeal process.  Otherwise standard directions </w:t>
      </w:r>
      <w:r w:rsidR="00F3639F" w:rsidRPr="00DB1D8D">
        <w:rPr>
          <w:rFonts w:ascii="Book Antiqua" w:hAnsi="Book Antiqua" w:cs="Arial"/>
          <w:sz w:val="22"/>
        </w:rPr>
        <w:t>were issued and the matter was listed for substantive hearing at Taylor House on 2 March 2018.</w:t>
      </w:r>
    </w:p>
    <w:p w:rsidR="007C6EA1" w:rsidRPr="00DB1D8D" w:rsidRDefault="007C6EA1" w:rsidP="00DB1D8D">
      <w:pPr>
        <w:spacing w:before="120" w:after="120"/>
        <w:ind w:left="1701" w:hanging="567"/>
        <w:jc w:val="both"/>
        <w:rPr>
          <w:rFonts w:ascii="Book Antiqua" w:hAnsi="Book Antiqua" w:cs="Arial"/>
          <w:sz w:val="22"/>
        </w:rPr>
      </w:pPr>
      <w:r w:rsidRPr="00DB1D8D">
        <w:rPr>
          <w:rFonts w:ascii="Book Antiqua" w:hAnsi="Book Antiqua" w:cs="Arial"/>
          <w:sz w:val="22"/>
        </w:rPr>
        <w:t>...</w:t>
      </w:r>
    </w:p>
    <w:p w:rsidR="007C6EA1" w:rsidRPr="00DB1D8D" w:rsidRDefault="007C6EA1" w:rsidP="00DB1D8D">
      <w:pPr>
        <w:spacing w:before="120" w:after="120"/>
        <w:ind w:left="1701" w:hanging="567"/>
        <w:jc w:val="both"/>
        <w:rPr>
          <w:rFonts w:ascii="Book Antiqua" w:hAnsi="Book Antiqua" w:cs="Arial"/>
          <w:sz w:val="22"/>
        </w:rPr>
      </w:pPr>
      <w:r w:rsidRPr="00DB1D8D">
        <w:rPr>
          <w:rFonts w:ascii="Book Antiqua" w:hAnsi="Book Antiqua" w:cs="Arial"/>
          <w:sz w:val="22"/>
        </w:rPr>
        <w:t>29.</w:t>
      </w:r>
      <w:r w:rsidRPr="00DB1D8D">
        <w:rPr>
          <w:rFonts w:ascii="Book Antiqua" w:hAnsi="Book Antiqua" w:cs="Arial"/>
          <w:sz w:val="22"/>
        </w:rPr>
        <w:tab/>
      </w:r>
      <w:r w:rsidR="00F3639F" w:rsidRPr="00DB1D8D">
        <w:rPr>
          <w:rFonts w:ascii="Book Antiqua" w:hAnsi="Book Antiqua" w:cs="Arial"/>
          <w:sz w:val="22"/>
        </w:rPr>
        <w:t xml:space="preserve">However, before the case was called on in the early afternoon, a solicitor appeared for the Appellant, Mr. A. Khan.  He was from the Appellant’s former solicitors, </w:t>
      </w:r>
      <w:r w:rsidR="00F073C4" w:rsidRPr="00DB1D8D">
        <w:rPr>
          <w:rFonts w:ascii="Book Antiqua" w:hAnsi="Book Antiqua" w:cs="Arial"/>
          <w:sz w:val="22"/>
        </w:rPr>
        <w:t>Universal</w:t>
      </w:r>
      <w:r w:rsidR="00F3639F" w:rsidRPr="00DB1D8D">
        <w:rPr>
          <w:rFonts w:ascii="Book Antiqua" w:hAnsi="Book Antiqua" w:cs="Arial"/>
          <w:sz w:val="22"/>
        </w:rPr>
        <w:t xml:space="preserve">.  It seemed that the appellant had dis-instructed Universal at some point after the pre-hearing review and had </w:t>
      </w:r>
      <w:r w:rsidR="00F073C4" w:rsidRPr="00DB1D8D">
        <w:rPr>
          <w:rFonts w:ascii="Book Antiqua" w:hAnsi="Book Antiqua" w:cs="Arial"/>
          <w:sz w:val="22"/>
        </w:rPr>
        <w:t>consulted</w:t>
      </w:r>
      <w:r w:rsidR="00F3639F" w:rsidRPr="00DB1D8D">
        <w:rPr>
          <w:rFonts w:ascii="Book Antiqua" w:hAnsi="Book Antiqua" w:cs="Arial"/>
          <w:sz w:val="22"/>
        </w:rPr>
        <w:t xml:space="preserve"> a firm of solicitors in Salisbury, Wiltshire which firm had written on 22 February 2018 to the Tribunal indicating that they had had this approach from the Appellant.  They were not able to offer him legal advice and </w:t>
      </w:r>
      <w:r w:rsidR="00F073C4" w:rsidRPr="00DB1D8D">
        <w:rPr>
          <w:rFonts w:ascii="Book Antiqua" w:hAnsi="Book Antiqua" w:cs="Arial"/>
          <w:sz w:val="22"/>
        </w:rPr>
        <w:t>assistance</w:t>
      </w:r>
      <w:r w:rsidR="00F3639F" w:rsidRPr="00DB1D8D">
        <w:rPr>
          <w:rFonts w:ascii="Book Antiqua" w:hAnsi="Book Antiqua" w:cs="Arial"/>
          <w:sz w:val="22"/>
        </w:rPr>
        <w:t xml:space="preserve"> on Legal Aid, but were exploring whether or not an adjournment was appropriate.  I </w:t>
      </w:r>
      <w:r w:rsidR="00F073C4" w:rsidRPr="00DB1D8D">
        <w:rPr>
          <w:rFonts w:ascii="Book Antiqua" w:hAnsi="Book Antiqua" w:cs="Arial"/>
          <w:sz w:val="22"/>
        </w:rPr>
        <w:t>considered</w:t>
      </w:r>
      <w:r w:rsidR="00F3639F" w:rsidRPr="00DB1D8D">
        <w:rPr>
          <w:rFonts w:ascii="Book Antiqua" w:hAnsi="Book Antiqua" w:cs="Arial"/>
          <w:sz w:val="22"/>
        </w:rPr>
        <w:t xml:space="preserve"> that such an adjournment was entirely inappropriate and not at all in the interests of fairness, given that </w:t>
      </w:r>
      <w:proofErr w:type="gramStart"/>
      <w:r w:rsidR="00F3639F" w:rsidRPr="00DB1D8D">
        <w:rPr>
          <w:rFonts w:ascii="Book Antiqua" w:hAnsi="Book Antiqua" w:cs="Arial"/>
          <w:sz w:val="22"/>
        </w:rPr>
        <w:t>the  firm</w:t>
      </w:r>
      <w:proofErr w:type="gramEnd"/>
      <w:r w:rsidR="00F3639F" w:rsidRPr="00DB1D8D">
        <w:rPr>
          <w:rFonts w:ascii="Book Antiqua" w:hAnsi="Book Antiqua" w:cs="Arial"/>
          <w:sz w:val="22"/>
        </w:rPr>
        <w:t xml:space="preserve"> was based in </w:t>
      </w:r>
      <w:r w:rsidR="00F073C4" w:rsidRPr="00DB1D8D">
        <w:rPr>
          <w:rFonts w:ascii="Book Antiqua" w:hAnsi="Book Antiqua" w:cs="Arial"/>
          <w:sz w:val="22"/>
        </w:rPr>
        <w:t>Salisbury</w:t>
      </w:r>
      <w:r w:rsidR="00F3639F" w:rsidRPr="00DB1D8D">
        <w:rPr>
          <w:rFonts w:ascii="Book Antiqua" w:hAnsi="Book Antiqua" w:cs="Arial"/>
          <w:sz w:val="22"/>
        </w:rPr>
        <w:t xml:space="preserve"> and the Appellant had a home address in Forest Gate, London.  For the record, the firm of </w:t>
      </w:r>
      <w:r w:rsidR="00F073C4" w:rsidRPr="00DB1D8D">
        <w:rPr>
          <w:rFonts w:ascii="Book Antiqua" w:hAnsi="Book Antiqua" w:cs="Arial"/>
          <w:sz w:val="22"/>
        </w:rPr>
        <w:t>Universal</w:t>
      </w:r>
      <w:r w:rsidR="00F3639F" w:rsidRPr="00DB1D8D">
        <w:rPr>
          <w:rFonts w:ascii="Book Antiqua" w:hAnsi="Book Antiqua" w:cs="Arial"/>
          <w:sz w:val="22"/>
        </w:rPr>
        <w:t xml:space="preserve"> are based in the Whitechapel High Street, London E1.</w:t>
      </w:r>
    </w:p>
    <w:p w:rsidR="007C6EA1" w:rsidRPr="00DB1D8D" w:rsidRDefault="007C6EA1" w:rsidP="00DB1D8D">
      <w:pPr>
        <w:spacing w:before="120" w:after="120"/>
        <w:ind w:left="1701" w:hanging="567"/>
        <w:jc w:val="both"/>
        <w:rPr>
          <w:rFonts w:ascii="Book Antiqua" w:hAnsi="Book Antiqua" w:cs="Arial"/>
          <w:sz w:val="22"/>
        </w:rPr>
      </w:pPr>
      <w:r w:rsidRPr="00DB1D8D">
        <w:rPr>
          <w:rFonts w:ascii="Book Antiqua" w:hAnsi="Book Antiqua" w:cs="Arial"/>
          <w:sz w:val="22"/>
        </w:rPr>
        <w:t>30.</w:t>
      </w:r>
      <w:r w:rsidRPr="00DB1D8D">
        <w:rPr>
          <w:rFonts w:ascii="Book Antiqua" w:hAnsi="Book Antiqua" w:cs="Arial"/>
          <w:sz w:val="22"/>
        </w:rPr>
        <w:tab/>
      </w:r>
      <w:r w:rsidR="00F073C4" w:rsidRPr="00DB1D8D">
        <w:rPr>
          <w:rFonts w:ascii="Book Antiqua" w:hAnsi="Book Antiqua" w:cs="Arial"/>
          <w:sz w:val="22"/>
        </w:rPr>
        <w:t>Having</w:t>
      </w:r>
      <w:r w:rsidR="00F3639F" w:rsidRPr="00DB1D8D">
        <w:rPr>
          <w:rFonts w:ascii="Book Antiqua" w:hAnsi="Book Antiqua" w:cs="Arial"/>
          <w:sz w:val="22"/>
        </w:rPr>
        <w:t xml:space="preserve"> given Mr. Khan an opportunity to take further instructions, he then asked for an adjournment.  I heard representations from him and Mr. Ahmad on that issue but concluded, in all the circumstances, that the case was ready to proceed </w:t>
      </w:r>
      <w:r w:rsidR="00F073C4" w:rsidRPr="00DB1D8D">
        <w:rPr>
          <w:rFonts w:ascii="Book Antiqua" w:hAnsi="Book Antiqua" w:cs="Arial"/>
          <w:sz w:val="22"/>
        </w:rPr>
        <w:t>and the</w:t>
      </w:r>
      <w:r w:rsidR="00F3639F" w:rsidRPr="00DB1D8D">
        <w:rPr>
          <w:rFonts w:ascii="Book Antiqua" w:hAnsi="Book Antiqua" w:cs="Arial"/>
          <w:sz w:val="22"/>
        </w:rPr>
        <w:t xml:space="preserve"> interests of fairness fairly and </w:t>
      </w:r>
      <w:r w:rsidR="00F073C4" w:rsidRPr="00DB1D8D">
        <w:rPr>
          <w:rFonts w:ascii="Book Antiqua" w:hAnsi="Book Antiqua" w:cs="Arial"/>
          <w:sz w:val="22"/>
        </w:rPr>
        <w:t>squarely</w:t>
      </w:r>
      <w:r w:rsidR="00F3639F" w:rsidRPr="00DB1D8D">
        <w:rPr>
          <w:rFonts w:ascii="Book Antiqua" w:hAnsi="Book Antiqua" w:cs="Arial"/>
          <w:sz w:val="22"/>
        </w:rPr>
        <w:t xml:space="preserve"> would be served by proceeding to deal with </w:t>
      </w:r>
      <w:r w:rsidR="00F073C4" w:rsidRPr="00DB1D8D">
        <w:rPr>
          <w:rFonts w:ascii="Book Antiqua" w:hAnsi="Book Antiqua" w:cs="Arial"/>
          <w:sz w:val="22"/>
        </w:rPr>
        <w:t>this appeal.  The Appellant was present and, of course, was in a position to give oral evidence.  I gave Mr. Khan a further opportunity to prepare the matter, having refused the adjournment.  When the matter did proceed I checked documents.  There was a bundle filed by the Respondent to which I have made reference.  There was no bundle supplied for and on behalf of the Appellant, although I would stress that his solicitors, Universal, had declared that they were ready to proceed when the matter had been listed at the pre-hearing review</w:t>
      </w:r>
      <w:r w:rsidRPr="00DB1D8D">
        <w:rPr>
          <w:rFonts w:ascii="Book Antiqua" w:hAnsi="Book Antiqua" w:cs="Arial"/>
          <w:sz w:val="22"/>
        </w:rPr>
        <w:t>.”</w:t>
      </w:r>
    </w:p>
    <w:p w:rsidR="007C6EA1" w:rsidRDefault="00F073C4"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Mr Bhuiya submitted that the appellant’s newly instructed solicitors had not attended the hearing as they could not receive legal aid in time and that a representative from Universal Solicitors (Mr Khan) attending at the appellant’s request only stepped in to request an adjournment once the judge had indicated he was going to proceed, albeit giving the representative twenty minutes in which to study the case for the hearing.  </w:t>
      </w:r>
      <w:r w:rsidR="00BF4442">
        <w:rPr>
          <w:rFonts w:ascii="Book Antiqua" w:hAnsi="Book Antiqua" w:cs="Arial"/>
        </w:rPr>
        <w:t xml:space="preserve">He submitted that </w:t>
      </w:r>
      <w:r w:rsidR="0099477E">
        <w:rPr>
          <w:rFonts w:ascii="Book Antiqua" w:hAnsi="Book Antiqua" w:cs="Arial"/>
        </w:rPr>
        <w:t xml:space="preserve">that these events gave rise to procedural unfairness because the </w:t>
      </w:r>
      <w:r w:rsidR="0099477E">
        <w:rPr>
          <w:rFonts w:ascii="Book Antiqua" w:hAnsi="Book Antiqua" w:cs="Arial"/>
        </w:rPr>
        <w:lastRenderedPageBreak/>
        <w:t>appellant was essentially placed in the position of having to proceed with the hearing despite there being no witness statement and no appellant’s bundle.</w:t>
      </w:r>
    </w:p>
    <w:p w:rsidR="0099477E" w:rsidRDefault="0099477E" w:rsidP="00BF23BB">
      <w:pPr>
        <w:tabs>
          <w:tab w:val="left" w:pos="567"/>
        </w:tabs>
        <w:ind w:left="567" w:hanging="567"/>
        <w:jc w:val="both"/>
        <w:rPr>
          <w:rFonts w:ascii="Book Antiqua" w:hAnsi="Book Antiqua" w:cs="Arial"/>
        </w:rPr>
      </w:pPr>
    </w:p>
    <w:p w:rsidR="0099477E" w:rsidRDefault="00F073C4" w:rsidP="00BF23BB">
      <w:pPr>
        <w:tabs>
          <w:tab w:val="left" w:pos="567"/>
        </w:tabs>
        <w:ind w:left="567" w:hanging="567"/>
        <w:jc w:val="both"/>
        <w:rPr>
          <w:rFonts w:ascii="Book Antiqua" w:hAnsi="Book Antiqua" w:cs="Arial"/>
        </w:rPr>
      </w:pPr>
      <w:r>
        <w:rPr>
          <w:rFonts w:ascii="Book Antiqua" w:hAnsi="Book Antiqua" w:cs="Arial"/>
        </w:rPr>
        <w:t>4</w:t>
      </w:r>
      <w:r w:rsidR="0099477E">
        <w:rPr>
          <w:rFonts w:ascii="Book Antiqua" w:hAnsi="Book Antiqua" w:cs="Arial"/>
        </w:rPr>
        <w:t>.</w:t>
      </w:r>
      <w:r w:rsidR="0099477E">
        <w:rPr>
          <w:rFonts w:ascii="Book Antiqua" w:hAnsi="Book Antiqua" w:cs="Arial"/>
        </w:rPr>
        <w:tab/>
        <w:t xml:space="preserve">The fundamental flaw in this contention is that the appellant had made a claim for protection in March 2017 for which purposes he had submitted twenty items of evidence.  When he </w:t>
      </w:r>
      <w:r>
        <w:rPr>
          <w:rFonts w:ascii="Book Antiqua" w:hAnsi="Book Antiqua" w:cs="Arial"/>
        </w:rPr>
        <w:t>lodged</w:t>
      </w:r>
      <w:r w:rsidR="0099477E">
        <w:rPr>
          <w:rFonts w:ascii="Book Antiqua" w:hAnsi="Book Antiqua" w:cs="Arial"/>
        </w:rPr>
        <w:t xml:space="preserve"> his appeal </w:t>
      </w:r>
      <w:r w:rsidR="002041E3">
        <w:rPr>
          <w:rFonts w:ascii="Book Antiqua" w:hAnsi="Book Antiqua" w:cs="Arial"/>
        </w:rPr>
        <w:t xml:space="preserve">against the respondent’s subsequent refusal he did not submit any further documents.  At a pre-hearing review on 16 February 2018 his representatives – Universal Solicitors </w:t>
      </w:r>
      <w:r w:rsidR="00BF4442">
        <w:rPr>
          <w:rFonts w:ascii="Book Antiqua" w:hAnsi="Book Antiqua" w:cs="Arial"/>
        </w:rPr>
        <w:t xml:space="preserve">- </w:t>
      </w:r>
      <w:r w:rsidR="002041E3">
        <w:rPr>
          <w:rFonts w:ascii="Book Antiqua" w:hAnsi="Book Antiqua" w:cs="Arial"/>
        </w:rPr>
        <w:t xml:space="preserve">stated that they were ready to proceed.  </w:t>
      </w:r>
      <w:r>
        <w:rPr>
          <w:rFonts w:ascii="Book Antiqua" w:hAnsi="Book Antiqua" w:cs="Arial"/>
        </w:rPr>
        <w:t>Despite</w:t>
      </w:r>
      <w:r w:rsidR="002041E3">
        <w:rPr>
          <w:rFonts w:ascii="Book Antiqua" w:hAnsi="Book Antiqua" w:cs="Arial"/>
        </w:rPr>
        <w:t xml:space="preserve"> the appellant being sent a notice of hearing requiring the appellant to produce any further evidence on which he wished to rely </w:t>
      </w:r>
      <w:r w:rsidR="00856C34">
        <w:rPr>
          <w:rFonts w:ascii="Book Antiqua" w:hAnsi="Book Antiqua" w:cs="Arial"/>
        </w:rPr>
        <w:t xml:space="preserve">ten days </w:t>
      </w:r>
      <w:r w:rsidR="002041E3">
        <w:rPr>
          <w:rFonts w:ascii="Book Antiqua" w:hAnsi="Book Antiqua" w:cs="Arial"/>
        </w:rPr>
        <w:t>before the hearing, the appellant did not do so.  Although nothing is said about the matter in the appellant’s written grounds, Mr Bhuiya sought to submit that any such failings were the fault of the appellant’s previous representatives</w:t>
      </w:r>
      <w:r w:rsidR="00BF4442">
        <w:rPr>
          <w:rFonts w:ascii="Book Antiqua" w:hAnsi="Book Antiqua" w:cs="Arial"/>
        </w:rPr>
        <w:t>. L</w:t>
      </w:r>
      <w:r w:rsidR="002041E3">
        <w:rPr>
          <w:rFonts w:ascii="Book Antiqua" w:hAnsi="Book Antiqua" w:cs="Arial"/>
        </w:rPr>
        <w:t xml:space="preserve">eaving aside that it was Universal Solicitors who had stated on 16 February 2018 that they were ready to proceed with the only evidence being that “called from the Appellant”, there is nothing to substantiate any </w:t>
      </w:r>
      <w:r>
        <w:rPr>
          <w:rFonts w:ascii="Book Antiqua" w:hAnsi="Book Antiqua" w:cs="Arial"/>
        </w:rPr>
        <w:t>suggestion</w:t>
      </w:r>
      <w:r w:rsidR="002041E3">
        <w:rPr>
          <w:rFonts w:ascii="Book Antiqua" w:hAnsi="Book Antiqua" w:cs="Arial"/>
        </w:rPr>
        <w:t xml:space="preserve"> that the solicitors </w:t>
      </w:r>
      <w:r>
        <w:rPr>
          <w:rFonts w:ascii="Book Antiqua" w:hAnsi="Book Antiqua" w:cs="Arial"/>
        </w:rPr>
        <w:t>failed</w:t>
      </w:r>
      <w:r w:rsidR="002041E3">
        <w:rPr>
          <w:rFonts w:ascii="Book Antiqua" w:hAnsi="Book Antiqua" w:cs="Arial"/>
        </w:rPr>
        <w:t xml:space="preserve"> to prepare a witness statement or produce any other evidence in time for the hearing.  Furthermore, it was </w:t>
      </w:r>
      <w:r>
        <w:rPr>
          <w:rFonts w:ascii="Book Antiqua" w:hAnsi="Book Antiqua" w:cs="Arial"/>
        </w:rPr>
        <w:t>ultimately</w:t>
      </w:r>
      <w:r w:rsidR="002041E3">
        <w:rPr>
          <w:rFonts w:ascii="Book Antiqua" w:hAnsi="Book Antiqua" w:cs="Arial"/>
        </w:rPr>
        <w:t xml:space="preserve"> the appellant’s responsibility to prepare his case.  </w:t>
      </w:r>
      <w:r w:rsidR="00BF4442">
        <w:rPr>
          <w:rFonts w:ascii="Book Antiqua" w:hAnsi="Book Antiqua" w:cs="Arial"/>
        </w:rPr>
        <w:t>Moreover, t</w:t>
      </w:r>
      <w:r w:rsidR="002041E3">
        <w:rPr>
          <w:rFonts w:ascii="Book Antiqua" w:hAnsi="Book Antiqua" w:cs="Arial"/>
        </w:rPr>
        <w:t>he fact of the matter was that even though there was no witness statement before the judge</w:t>
      </w:r>
      <w:r w:rsidR="00BF4442">
        <w:rPr>
          <w:rFonts w:ascii="Book Antiqua" w:hAnsi="Book Antiqua" w:cs="Arial"/>
        </w:rPr>
        <w:t>,</w:t>
      </w:r>
      <w:r w:rsidR="002041E3">
        <w:rPr>
          <w:rFonts w:ascii="Book Antiqua" w:hAnsi="Book Antiqua" w:cs="Arial"/>
        </w:rPr>
        <w:t xml:space="preserve"> there was a considerable body of documentary evidence as well as a screening interview and asylum interview record.  The appellant cannot have been unaware that it was possible (if not likely) that the hearing would go ahead on 2 March 2018 even though he was initially unrepresented.  He had also taken the step of requesting his former solicitors to </w:t>
      </w:r>
      <w:r>
        <w:rPr>
          <w:rFonts w:ascii="Book Antiqua" w:hAnsi="Book Antiqua" w:cs="Arial"/>
        </w:rPr>
        <w:t>attend</w:t>
      </w:r>
      <w:r w:rsidR="002041E3">
        <w:rPr>
          <w:rFonts w:ascii="Book Antiqua" w:hAnsi="Book Antiqua" w:cs="Arial"/>
        </w:rPr>
        <w:t xml:space="preserve">.  Whether or not the appellant and Mr Khan had </w:t>
      </w:r>
      <w:r w:rsidR="00BF4442">
        <w:rPr>
          <w:rFonts w:ascii="Book Antiqua" w:hAnsi="Book Antiqua" w:cs="Arial"/>
        </w:rPr>
        <w:t>discussed beforehand that the la</w:t>
      </w:r>
      <w:r w:rsidR="002041E3">
        <w:rPr>
          <w:rFonts w:ascii="Book Antiqua" w:hAnsi="Book Antiqua" w:cs="Arial"/>
        </w:rPr>
        <w:t xml:space="preserve">tter would </w:t>
      </w:r>
      <w:r w:rsidR="00BF4442">
        <w:rPr>
          <w:rFonts w:ascii="Book Antiqua" w:hAnsi="Book Antiqua" w:cs="Arial"/>
        </w:rPr>
        <w:t>step in if</w:t>
      </w:r>
      <w:r w:rsidR="002041E3">
        <w:rPr>
          <w:rFonts w:ascii="Book Antiqua" w:hAnsi="Book Antiqua" w:cs="Arial"/>
        </w:rPr>
        <w:t xml:space="preserve"> the adjournment application was refused, Mr Khan was afforded some time to acquaint himself with the court file and it is clear from paragraph 33 that he was able to make a </w:t>
      </w:r>
      <w:r>
        <w:rPr>
          <w:rFonts w:ascii="Book Antiqua" w:hAnsi="Book Antiqua" w:cs="Arial"/>
        </w:rPr>
        <w:t>relevant</w:t>
      </w:r>
      <w:r w:rsidR="002041E3">
        <w:rPr>
          <w:rFonts w:ascii="Book Antiqua" w:hAnsi="Book Antiqua" w:cs="Arial"/>
        </w:rPr>
        <w:t xml:space="preserve"> and coherent closing submission.  In my judgement the above circumstances do not demonstrate any lack of procedural fairness.  </w:t>
      </w:r>
    </w:p>
    <w:p w:rsidR="002041E3" w:rsidRDefault="002041E3" w:rsidP="00BF23BB">
      <w:pPr>
        <w:tabs>
          <w:tab w:val="left" w:pos="567"/>
        </w:tabs>
        <w:ind w:left="567" w:hanging="567"/>
        <w:jc w:val="both"/>
        <w:rPr>
          <w:rFonts w:ascii="Book Antiqua" w:hAnsi="Book Antiqua" w:cs="Arial"/>
        </w:rPr>
      </w:pPr>
    </w:p>
    <w:p w:rsidR="005B7A00" w:rsidRDefault="00F073C4" w:rsidP="00BF23BB">
      <w:pPr>
        <w:tabs>
          <w:tab w:val="left" w:pos="567"/>
        </w:tabs>
        <w:ind w:left="567" w:hanging="567"/>
        <w:jc w:val="both"/>
        <w:rPr>
          <w:rFonts w:ascii="Book Antiqua" w:hAnsi="Book Antiqua" w:cs="Arial"/>
        </w:rPr>
      </w:pPr>
      <w:r>
        <w:rPr>
          <w:rFonts w:ascii="Book Antiqua" w:hAnsi="Book Antiqua" w:cs="Arial"/>
        </w:rPr>
        <w:t>5</w:t>
      </w:r>
      <w:r w:rsidR="002041E3">
        <w:rPr>
          <w:rFonts w:ascii="Book Antiqua" w:hAnsi="Book Antiqua" w:cs="Arial"/>
        </w:rPr>
        <w:t>.</w:t>
      </w:r>
      <w:r w:rsidR="002041E3">
        <w:rPr>
          <w:rFonts w:ascii="Book Antiqua" w:hAnsi="Book Antiqua" w:cs="Arial"/>
        </w:rPr>
        <w:tab/>
        <w:t xml:space="preserve">The appellant’s other grounds of appeal </w:t>
      </w:r>
      <w:r w:rsidR="005B7A00">
        <w:rPr>
          <w:rFonts w:ascii="Book Antiqua" w:hAnsi="Book Antiqua" w:cs="Arial"/>
        </w:rPr>
        <w:t>allege that the judge:</w:t>
      </w:r>
    </w:p>
    <w:p w:rsidR="002041E3" w:rsidRDefault="005B7A00" w:rsidP="00DB1D8D">
      <w:pPr>
        <w:spacing w:before="120" w:after="120"/>
        <w:ind w:left="1134"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 xml:space="preserve">made mistakes of fact regarding the appellant’s claim that the </w:t>
      </w:r>
      <w:r w:rsidR="00F073C4">
        <w:rPr>
          <w:rFonts w:ascii="Book Antiqua" w:hAnsi="Book Antiqua" w:cs="Arial"/>
        </w:rPr>
        <w:t>extraction</w:t>
      </w:r>
      <w:r>
        <w:rPr>
          <w:rFonts w:ascii="Book Antiqua" w:hAnsi="Book Antiqua" w:cs="Arial"/>
        </w:rPr>
        <w:t xml:space="preserve"> of </w:t>
      </w:r>
      <w:r w:rsidR="00F073C4">
        <w:rPr>
          <w:rFonts w:ascii="Book Antiqua" w:hAnsi="Book Antiqua" w:cs="Arial"/>
        </w:rPr>
        <w:t>stone</w:t>
      </w:r>
      <w:r>
        <w:rPr>
          <w:rFonts w:ascii="Book Antiqua" w:hAnsi="Book Antiqua" w:cs="Arial"/>
        </w:rPr>
        <w:t xml:space="preserve"> from the river, in that he ignored that failing to extract it without government authority was illegal in Bangladesh due to its impact on the environment and that the appellant’s </w:t>
      </w:r>
      <w:r w:rsidR="00F073C4">
        <w:rPr>
          <w:rFonts w:ascii="Book Antiqua" w:hAnsi="Book Antiqua" w:cs="Arial"/>
        </w:rPr>
        <w:t>journalistic</w:t>
      </w:r>
      <w:r>
        <w:rPr>
          <w:rFonts w:ascii="Book Antiqua" w:hAnsi="Book Antiqua" w:cs="Arial"/>
        </w:rPr>
        <w:t xml:space="preserve"> report on this issue drew the ire of powerful people who were earning millions by illegally selling stones; </w:t>
      </w:r>
    </w:p>
    <w:p w:rsidR="005B7A00" w:rsidRDefault="005B7A00" w:rsidP="00DB1D8D">
      <w:pPr>
        <w:spacing w:before="120" w:after="120"/>
        <w:ind w:left="1134" w:hanging="567"/>
        <w:jc w:val="both"/>
        <w:rPr>
          <w:rFonts w:ascii="Book Antiqua" w:hAnsi="Book Antiqua" w:cs="Arial"/>
        </w:rPr>
      </w:pPr>
      <w:r>
        <w:rPr>
          <w:rFonts w:ascii="Book Antiqua" w:hAnsi="Book Antiqua" w:cs="Arial"/>
        </w:rPr>
        <w:t>(ii)</w:t>
      </w:r>
      <w:r>
        <w:rPr>
          <w:rFonts w:ascii="Book Antiqua" w:hAnsi="Book Antiqua" w:cs="Arial"/>
        </w:rPr>
        <w:tab/>
        <w:t>erred in wrongly assuming the BNP was in power when the case against the appellant was brought (in November 2009);</w:t>
      </w:r>
    </w:p>
    <w:p w:rsidR="005B7A00" w:rsidRDefault="005B7A00" w:rsidP="00DB1D8D">
      <w:pPr>
        <w:spacing w:before="120" w:after="120"/>
        <w:ind w:left="1134" w:hanging="567"/>
        <w:jc w:val="both"/>
        <w:rPr>
          <w:rFonts w:ascii="Book Antiqua" w:hAnsi="Book Antiqua" w:cs="Arial"/>
        </w:rPr>
      </w:pPr>
      <w:r>
        <w:rPr>
          <w:rFonts w:ascii="Book Antiqua" w:hAnsi="Book Antiqua" w:cs="Arial"/>
        </w:rPr>
        <w:t>(iii)</w:t>
      </w:r>
      <w:r>
        <w:rPr>
          <w:rFonts w:ascii="Book Antiqua" w:hAnsi="Book Antiqua" w:cs="Arial"/>
        </w:rPr>
        <w:tab/>
        <w:t xml:space="preserve">failing to properly assess the court documents; and </w:t>
      </w:r>
    </w:p>
    <w:p w:rsidR="005B7A00" w:rsidRDefault="005B7A00" w:rsidP="00DB1D8D">
      <w:pPr>
        <w:spacing w:before="120" w:after="120"/>
        <w:ind w:left="1134" w:hanging="567"/>
        <w:jc w:val="both"/>
        <w:rPr>
          <w:rFonts w:ascii="Book Antiqua" w:hAnsi="Book Antiqua" w:cs="Arial"/>
        </w:rPr>
      </w:pPr>
      <w:r>
        <w:rPr>
          <w:rFonts w:ascii="Book Antiqua" w:hAnsi="Book Antiqua" w:cs="Arial"/>
        </w:rPr>
        <w:t>(iv)</w:t>
      </w:r>
      <w:r>
        <w:rPr>
          <w:rFonts w:ascii="Book Antiqua" w:hAnsi="Book Antiqua" w:cs="Arial"/>
        </w:rPr>
        <w:tab/>
        <w:t xml:space="preserve">failing to consider that members of the BNP as well as </w:t>
      </w:r>
      <w:r w:rsidR="00F073C4">
        <w:rPr>
          <w:rFonts w:ascii="Book Antiqua" w:hAnsi="Book Antiqua" w:cs="Arial"/>
        </w:rPr>
        <w:t>journalists</w:t>
      </w:r>
      <w:r>
        <w:rPr>
          <w:rFonts w:ascii="Book Antiqua" w:hAnsi="Book Antiqua" w:cs="Arial"/>
        </w:rPr>
        <w:t xml:space="preserve"> are subjected to persecution in Bangladesh.</w:t>
      </w:r>
    </w:p>
    <w:p w:rsidR="005B7A00" w:rsidRDefault="00F073C4" w:rsidP="00BF23BB">
      <w:pPr>
        <w:tabs>
          <w:tab w:val="left" w:pos="567"/>
        </w:tabs>
        <w:ind w:left="567" w:hanging="567"/>
        <w:jc w:val="both"/>
        <w:rPr>
          <w:rFonts w:ascii="Book Antiqua" w:hAnsi="Book Antiqua" w:cs="Arial"/>
        </w:rPr>
      </w:pPr>
      <w:r>
        <w:rPr>
          <w:rFonts w:ascii="Book Antiqua" w:hAnsi="Book Antiqua" w:cs="Arial"/>
        </w:rPr>
        <w:t>6</w:t>
      </w:r>
      <w:r w:rsidR="005B7A00">
        <w:rPr>
          <w:rFonts w:ascii="Book Antiqua" w:hAnsi="Book Antiqua" w:cs="Arial"/>
        </w:rPr>
        <w:t>.</w:t>
      </w:r>
      <w:r w:rsidR="005B7A00">
        <w:rPr>
          <w:rFonts w:ascii="Book Antiqua" w:hAnsi="Book Antiqua" w:cs="Arial"/>
        </w:rPr>
        <w:tab/>
        <w:t>As regards (i)</w:t>
      </w:r>
      <w:r w:rsidR="00BF4442">
        <w:rPr>
          <w:rFonts w:ascii="Book Antiqua" w:hAnsi="Book Antiqua" w:cs="Arial"/>
        </w:rPr>
        <w:t>,</w:t>
      </w:r>
      <w:r w:rsidR="005B7A00">
        <w:rPr>
          <w:rFonts w:ascii="Book Antiqua" w:hAnsi="Book Antiqua" w:cs="Arial"/>
        </w:rPr>
        <w:t xml:space="preserve"> it is entirely clear from paragraph 37 </w:t>
      </w:r>
      <w:r>
        <w:rPr>
          <w:rFonts w:ascii="Book Antiqua" w:hAnsi="Book Antiqua" w:cs="Arial"/>
        </w:rPr>
        <w:t>that</w:t>
      </w:r>
      <w:r w:rsidR="005B7A00">
        <w:rPr>
          <w:rFonts w:ascii="Book Antiqua" w:hAnsi="Book Antiqua" w:cs="Arial"/>
        </w:rPr>
        <w:t xml:space="preserve"> the judge was well aware that </w:t>
      </w:r>
      <w:r>
        <w:rPr>
          <w:rFonts w:ascii="Book Antiqua" w:hAnsi="Book Antiqua" w:cs="Arial"/>
        </w:rPr>
        <w:t>the</w:t>
      </w:r>
      <w:r w:rsidR="005B7A00">
        <w:rPr>
          <w:rFonts w:ascii="Book Antiqua" w:hAnsi="Book Antiqua" w:cs="Arial"/>
        </w:rPr>
        <w:t xml:space="preserve"> appellant’s </w:t>
      </w:r>
      <w:r>
        <w:rPr>
          <w:rFonts w:ascii="Book Antiqua" w:hAnsi="Book Antiqua" w:cs="Arial"/>
        </w:rPr>
        <w:t>account</w:t>
      </w:r>
      <w:r w:rsidR="005B7A00">
        <w:rPr>
          <w:rFonts w:ascii="Book Antiqua" w:hAnsi="Book Antiqua" w:cs="Arial"/>
        </w:rPr>
        <w:t xml:space="preserve"> relied on the extraction of stone being an illegal activity.  As regards (ii)</w:t>
      </w:r>
      <w:r w:rsidR="00BF4442">
        <w:rPr>
          <w:rFonts w:ascii="Book Antiqua" w:hAnsi="Book Antiqua" w:cs="Arial"/>
        </w:rPr>
        <w:t>,</w:t>
      </w:r>
      <w:r w:rsidR="005B7A00">
        <w:rPr>
          <w:rFonts w:ascii="Book Antiqua" w:hAnsi="Book Antiqua" w:cs="Arial"/>
        </w:rPr>
        <w:t xml:space="preserve"> it is clear from paragraph 38 read in conjunction with paragraph 31 that the judge was referring to the appellant’s claim to have had false cases levelled against </w:t>
      </w:r>
      <w:r w:rsidR="005B7A00">
        <w:rPr>
          <w:rFonts w:ascii="Book Antiqua" w:hAnsi="Book Antiqua" w:cs="Arial"/>
        </w:rPr>
        <w:lastRenderedPageBreak/>
        <w:t xml:space="preserve">him in 2004 and 2008, not in November 2009 when the BNP was no longer in power.  In </w:t>
      </w:r>
      <w:r>
        <w:rPr>
          <w:rFonts w:ascii="Book Antiqua" w:hAnsi="Book Antiqua" w:cs="Arial"/>
        </w:rPr>
        <w:t>relation</w:t>
      </w:r>
      <w:r w:rsidR="005B7A00">
        <w:rPr>
          <w:rFonts w:ascii="Book Antiqua" w:hAnsi="Book Antiqua" w:cs="Arial"/>
        </w:rPr>
        <w:t xml:space="preserve"> to (iii), it is true that the judge did not specifically analyse the court documents, but his assessment at paragraph 38 that “I do not find the documentation the appellant has presented to be reliable”, has to be </w:t>
      </w:r>
      <w:r w:rsidR="00BF4442">
        <w:rPr>
          <w:rFonts w:ascii="Book Antiqua" w:hAnsi="Book Antiqua" w:cs="Arial"/>
        </w:rPr>
        <w:t>read</w:t>
      </w:r>
      <w:r w:rsidR="005B7A00">
        <w:rPr>
          <w:rFonts w:ascii="Book Antiqua" w:hAnsi="Book Antiqua" w:cs="Arial"/>
        </w:rPr>
        <w:t xml:space="preserve"> against the background that the appellant’s documents had been the subject of </w:t>
      </w:r>
      <w:r w:rsidR="00B03727">
        <w:rPr>
          <w:rFonts w:ascii="Book Antiqua" w:hAnsi="Book Antiqua" w:cs="Arial"/>
        </w:rPr>
        <w:t>criticism by the respondent</w:t>
      </w:r>
      <w:r w:rsidR="00E53BE9">
        <w:rPr>
          <w:rFonts w:ascii="Book Antiqua" w:hAnsi="Book Antiqua" w:cs="Arial"/>
        </w:rPr>
        <w:t xml:space="preserve">, e.g. in relation to a translated copy of an FIR report dated 7 September 2008 the respondent noted that the document was translated in Bangladesh and not by a verified translator in the UK and that fraudulent documents were easily available in Bangladesh.  </w:t>
      </w:r>
      <w:r w:rsidR="00B03727">
        <w:rPr>
          <w:rFonts w:ascii="Book Antiqua" w:hAnsi="Book Antiqua" w:cs="Arial"/>
        </w:rPr>
        <w:t xml:space="preserve">The appellant had not done anything to meet or refute those criticisms. </w:t>
      </w:r>
      <w:r w:rsidR="00E53BE9">
        <w:rPr>
          <w:rFonts w:ascii="Book Antiqua" w:hAnsi="Book Antiqua" w:cs="Arial"/>
        </w:rPr>
        <w:t>The grounds appear to complain about the judge’s lack of specific t</w:t>
      </w:r>
      <w:r w:rsidR="00856C34">
        <w:rPr>
          <w:rFonts w:ascii="Book Antiqua" w:hAnsi="Book Antiqua" w:cs="Arial"/>
        </w:rPr>
        <w:t>reatment of the arrest warrant</w:t>
      </w:r>
      <w:r w:rsidR="00E53BE9">
        <w:rPr>
          <w:rFonts w:ascii="Book Antiqua" w:hAnsi="Book Antiqua" w:cs="Arial"/>
        </w:rPr>
        <w:t xml:space="preserve"> dated 10 November 2009 on the </w:t>
      </w:r>
      <w:r>
        <w:rPr>
          <w:rFonts w:ascii="Book Antiqua" w:hAnsi="Book Antiqua" w:cs="Arial"/>
        </w:rPr>
        <w:t>basis</w:t>
      </w:r>
      <w:r w:rsidR="00E53BE9">
        <w:rPr>
          <w:rFonts w:ascii="Book Antiqua" w:hAnsi="Book Antiqua" w:cs="Arial"/>
        </w:rPr>
        <w:t xml:space="preserve"> that the Home Office fact-finding mission </w:t>
      </w:r>
      <w:r w:rsidR="00B03727">
        <w:rPr>
          <w:rFonts w:ascii="Book Antiqua" w:hAnsi="Book Antiqua" w:cs="Arial"/>
        </w:rPr>
        <w:t>report of September 2017 stated</w:t>
      </w:r>
      <w:r w:rsidR="00E53BE9">
        <w:rPr>
          <w:rFonts w:ascii="Book Antiqua" w:hAnsi="Book Antiqua" w:cs="Arial"/>
        </w:rPr>
        <w:t xml:space="preserve"> that false documents are not </w:t>
      </w:r>
      <w:r>
        <w:rPr>
          <w:rFonts w:ascii="Book Antiqua" w:hAnsi="Book Antiqua" w:cs="Arial"/>
        </w:rPr>
        <w:t>easily</w:t>
      </w:r>
      <w:r w:rsidR="00E53BE9">
        <w:rPr>
          <w:rFonts w:ascii="Book Antiqua" w:hAnsi="Book Antiqua" w:cs="Arial"/>
        </w:rPr>
        <w:t xml:space="preserve"> </w:t>
      </w:r>
      <w:r>
        <w:rPr>
          <w:rFonts w:ascii="Book Antiqua" w:hAnsi="Book Antiqua" w:cs="Arial"/>
        </w:rPr>
        <w:t>obtainable</w:t>
      </w:r>
      <w:r w:rsidR="00E53BE9">
        <w:rPr>
          <w:rFonts w:ascii="Book Antiqua" w:hAnsi="Book Antiqua" w:cs="Arial"/>
        </w:rPr>
        <w:t xml:space="preserve"> “because of counter-</w:t>
      </w:r>
      <w:r>
        <w:rPr>
          <w:rFonts w:ascii="Book Antiqua" w:hAnsi="Book Antiqua" w:cs="Arial"/>
        </w:rPr>
        <w:t>signature</w:t>
      </w:r>
      <w:r w:rsidR="00E53BE9">
        <w:rPr>
          <w:rFonts w:ascii="Book Antiqua" w:hAnsi="Book Antiqua" w:cs="Arial"/>
        </w:rPr>
        <w:t xml:space="preserve"> </w:t>
      </w:r>
      <w:r>
        <w:rPr>
          <w:rFonts w:ascii="Book Antiqua" w:hAnsi="Book Antiqua" w:cs="Arial"/>
        </w:rPr>
        <w:t>processes</w:t>
      </w:r>
      <w:r w:rsidR="00E53BE9">
        <w:rPr>
          <w:rFonts w:ascii="Book Antiqua" w:hAnsi="Book Antiqua" w:cs="Arial"/>
        </w:rPr>
        <w:t>”, but the translating of the document in question bears no counter-signature.  As regards (iv)</w:t>
      </w:r>
      <w:r w:rsidR="00B03727">
        <w:rPr>
          <w:rFonts w:ascii="Book Antiqua" w:hAnsi="Book Antiqua" w:cs="Arial"/>
        </w:rPr>
        <w:t>,</w:t>
      </w:r>
      <w:r w:rsidR="00E53BE9">
        <w:rPr>
          <w:rFonts w:ascii="Book Antiqua" w:hAnsi="Book Antiqua" w:cs="Arial"/>
        </w:rPr>
        <w:t xml:space="preserve"> there is no support in Tribunal country guidance or objective country materials to indicate that journalists or BNP members </w:t>
      </w:r>
      <w:r w:rsidR="00B03727">
        <w:rPr>
          <w:rFonts w:ascii="Book Antiqua" w:hAnsi="Book Antiqua" w:cs="Arial"/>
        </w:rPr>
        <w:t xml:space="preserve">as a class </w:t>
      </w:r>
      <w:r w:rsidR="00E53BE9">
        <w:rPr>
          <w:rFonts w:ascii="Book Antiqua" w:hAnsi="Book Antiqua" w:cs="Arial"/>
        </w:rPr>
        <w:t xml:space="preserve">are as such at risk of persecution in Bangladesh and the judge considered the appellant’s individual circumstances on the basis that he was a </w:t>
      </w:r>
      <w:r>
        <w:rPr>
          <w:rFonts w:ascii="Book Antiqua" w:hAnsi="Book Antiqua" w:cs="Arial"/>
        </w:rPr>
        <w:t>journalist</w:t>
      </w:r>
      <w:r w:rsidR="00E53BE9">
        <w:rPr>
          <w:rFonts w:ascii="Book Antiqua" w:hAnsi="Book Antiqua" w:cs="Arial"/>
        </w:rPr>
        <w:t xml:space="preserve"> and a BNP member, but was not satisfied that these circumstances demonstrated that his activities in either capacity had in fact attracted the adverse attention of other actors.</w:t>
      </w:r>
    </w:p>
    <w:p w:rsidR="00E53BE9" w:rsidRDefault="00E53BE9" w:rsidP="00BF23BB">
      <w:pPr>
        <w:tabs>
          <w:tab w:val="left" w:pos="567"/>
        </w:tabs>
        <w:ind w:left="567" w:hanging="567"/>
        <w:jc w:val="both"/>
        <w:rPr>
          <w:rFonts w:ascii="Book Antiqua" w:hAnsi="Book Antiqua" w:cs="Arial"/>
        </w:rPr>
      </w:pPr>
    </w:p>
    <w:p w:rsidR="00E53BE9" w:rsidRPr="00E53BE9" w:rsidRDefault="00E53BE9" w:rsidP="00BF23BB">
      <w:pPr>
        <w:tabs>
          <w:tab w:val="left" w:pos="567"/>
        </w:tabs>
        <w:ind w:left="567" w:hanging="567"/>
        <w:jc w:val="both"/>
        <w:rPr>
          <w:rFonts w:ascii="Book Antiqua" w:hAnsi="Book Antiqua" w:cs="Arial"/>
          <w:b/>
          <w:u w:val="single"/>
        </w:rPr>
      </w:pPr>
      <w:r w:rsidRPr="00E53BE9">
        <w:rPr>
          <w:rFonts w:ascii="Book Antiqua" w:hAnsi="Book Antiqua" w:cs="Arial"/>
          <w:b/>
          <w:u w:val="single"/>
        </w:rPr>
        <w:t xml:space="preserve">Notice of Decision </w:t>
      </w:r>
    </w:p>
    <w:p w:rsidR="00E53BE9" w:rsidRDefault="00E53BE9" w:rsidP="00BF23BB">
      <w:pPr>
        <w:tabs>
          <w:tab w:val="left" w:pos="567"/>
        </w:tabs>
        <w:ind w:left="567" w:hanging="567"/>
        <w:jc w:val="both"/>
        <w:rPr>
          <w:rFonts w:ascii="Book Antiqua" w:hAnsi="Book Antiqua" w:cs="Arial"/>
        </w:rPr>
      </w:pPr>
    </w:p>
    <w:p w:rsidR="00E53BE9" w:rsidRDefault="00F073C4" w:rsidP="00BF23BB">
      <w:pPr>
        <w:tabs>
          <w:tab w:val="left" w:pos="567"/>
        </w:tabs>
        <w:ind w:left="567" w:hanging="567"/>
        <w:jc w:val="both"/>
        <w:rPr>
          <w:rFonts w:ascii="Book Antiqua" w:hAnsi="Book Antiqua" w:cs="Arial"/>
        </w:rPr>
      </w:pPr>
      <w:r>
        <w:rPr>
          <w:rFonts w:ascii="Book Antiqua" w:hAnsi="Book Antiqua" w:cs="Arial"/>
        </w:rPr>
        <w:t>7</w:t>
      </w:r>
      <w:r w:rsidR="00E53BE9">
        <w:rPr>
          <w:rFonts w:ascii="Book Antiqua" w:hAnsi="Book Antiqua" w:cs="Arial"/>
        </w:rPr>
        <w:t>.</w:t>
      </w:r>
      <w:r w:rsidR="00E53BE9">
        <w:rPr>
          <w:rFonts w:ascii="Book Antiqua" w:hAnsi="Book Antiqua" w:cs="Arial"/>
        </w:rPr>
        <w:tab/>
        <w:t xml:space="preserve">For the above reasons I conclude that the grounds </w:t>
      </w:r>
      <w:r>
        <w:rPr>
          <w:rFonts w:ascii="Book Antiqua" w:hAnsi="Book Antiqua" w:cs="Arial"/>
        </w:rPr>
        <w:t>fail</w:t>
      </w:r>
      <w:r w:rsidR="00E53BE9">
        <w:rPr>
          <w:rFonts w:ascii="Book Antiqua" w:hAnsi="Book Antiqua" w:cs="Arial"/>
        </w:rPr>
        <w:t xml:space="preserve"> to disclose a material error of law in the judge’s decision and accordingly the judge’s decision to dismiss the appellant’s appeal must stand.</w:t>
      </w:r>
    </w:p>
    <w:p w:rsidR="00E53BE9" w:rsidRDefault="00E53BE9" w:rsidP="00BF23BB">
      <w:pPr>
        <w:tabs>
          <w:tab w:val="left" w:pos="567"/>
        </w:tabs>
        <w:ind w:left="567" w:hanging="567"/>
        <w:jc w:val="both"/>
        <w:rPr>
          <w:rFonts w:ascii="Book Antiqua" w:hAnsi="Book Antiqua" w:cs="Arial"/>
        </w:rPr>
      </w:pPr>
    </w:p>
    <w:p w:rsidR="00173CC6" w:rsidRPr="00173CC6" w:rsidRDefault="00F073C4" w:rsidP="00E53BE9">
      <w:pPr>
        <w:tabs>
          <w:tab w:val="left" w:pos="567"/>
        </w:tabs>
        <w:ind w:left="567" w:hanging="567"/>
        <w:jc w:val="both"/>
        <w:rPr>
          <w:rFonts w:ascii="Book Antiqua" w:hAnsi="Book Antiqua" w:cs="Arial"/>
        </w:rPr>
      </w:pPr>
      <w:r>
        <w:rPr>
          <w:rFonts w:ascii="Book Antiqua" w:hAnsi="Book Antiqua" w:cs="Arial"/>
        </w:rPr>
        <w:t>8</w:t>
      </w:r>
      <w:r w:rsidR="00E53BE9">
        <w:rPr>
          <w:rFonts w:ascii="Book Antiqua" w:hAnsi="Book Antiqua" w:cs="Arial"/>
        </w:rPr>
        <w:t>.</w:t>
      </w:r>
      <w:r w:rsidR="00E53BE9">
        <w:rPr>
          <w:rFonts w:ascii="Book Antiqua" w:hAnsi="Book Antiqua" w:cs="Arial"/>
        </w:rPr>
        <w:tab/>
        <w:t>Anonymity direction is maintained.</w:t>
      </w:r>
    </w:p>
    <w:p w:rsidR="00173CC6" w:rsidRPr="00173CC6" w:rsidRDefault="00173CC6" w:rsidP="00173CC6">
      <w:pPr>
        <w:jc w:val="both"/>
        <w:rPr>
          <w:rFonts w:ascii="Book Antiqua" w:hAnsi="Book Antiqua" w:cs="Arial"/>
        </w:rPr>
      </w:pPr>
    </w:p>
    <w:p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rsidR="00173CC6" w:rsidRPr="00173CC6" w:rsidRDefault="00173CC6" w:rsidP="00173CC6">
      <w:pPr>
        <w:jc w:val="both"/>
        <w:rPr>
          <w:rFonts w:ascii="Book Antiqua" w:hAnsi="Book Antiqua" w:cs="Arial"/>
        </w:rPr>
      </w:pPr>
    </w:p>
    <w:p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sidR="00E53BE9">
        <w:rPr>
          <w:rFonts w:ascii="Book Antiqua" w:hAnsi="Book Antiqua"/>
        </w:rPr>
        <w:t>his</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rsidR="00173CC6" w:rsidRPr="00B57D66" w:rsidRDefault="00173CC6" w:rsidP="00BF23BB">
      <w:pPr>
        <w:tabs>
          <w:tab w:val="left" w:pos="567"/>
        </w:tabs>
        <w:ind w:left="567" w:hanging="567"/>
        <w:jc w:val="both"/>
        <w:rPr>
          <w:rFonts w:ascii="Book Antiqua" w:hAnsi="Book Antiqua" w:cs="Arial"/>
        </w:rPr>
      </w:pPr>
    </w:p>
    <w:p w:rsidR="00A509FA" w:rsidRPr="00B57D66" w:rsidRDefault="00A509FA"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B03727">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B03727">
        <w:rPr>
          <w:rFonts w:ascii="Book Antiqua" w:hAnsi="Book Antiqua" w:cs="Arial"/>
        </w:rPr>
        <w:t>: 12 June 2018</w:t>
      </w:r>
    </w:p>
    <w:p w:rsidR="001F2716" w:rsidRPr="00B57D66" w:rsidRDefault="00B03727" w:rsidP="00402B9E">
      <w:pPr>
        <w:tabs>
          <w:tab w:val="left" w:pos="2520"/>
        </w:tabs>
        <w:ind w:left="540" w:hanging="540"/>
        <w:jc w:val="both"/>
        <w:rPr>
          <w:rFonts w:ascii="Book Antiqua" w:hAnsi="Book Antiqua" w:cs="Arial"/>
        </w:rPr>
      </w:pPr>
      <w:r>
        <w:rPr>
          <w:rFonts w:ascii="Book Antiqua" w:hAnsi="Book Antiqua" w:cs="Arial"/>
        </w:rPr>
        <w:t xml:space="preserve">             </w:t>
      </w:r>
      <w:r w:rsidR="00DF5676" w:rsidRPr="00B35E85">
        <w:rPr>
          <w:noProof/>
        </w:rPr>
        <w:drawing>
          <wp:inline distT="0" distB="0" distL="0" distR="0">
            <wp:extent cx="17145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08000"/>
                    </a:xfrm>
                    <a:prstGeom prst="rect">
                      <a:avLst/>
                    </a:prstGeom>
                    <a:noFill/>
                    <a:ln>
                      <a:noFill/>
                    </a:ln>
                  </pic:spPr>
                </pic:pic>
              </a:graphicData>
            </a:graphic>
          </wp:inline>
        </w:drawing>
      </w: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rsidR="00B95326" w:rsidRPr="00B57D66" w:rsidRDefault="00B95326" w:rsidP="00402B9E">
      <w:pPr>
        <w:tabs>
          <w:tab w:val="left" w:pos="2520"/>
        </w:tabs>
        <w:ind w:left="540" w:hanging="540"/>
        <w:jc w:val="both"/>
        <w:rPr>
          <w:rFonts w:ascii="Book Antiqua" w:hAnsi="Book Antiqua" w:cs="Arial"/>
        </w:rPr>
      </w:pP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5DD" w:rsidRDefault="00B655DD">
      <w:r>
        <w:separator/>
      </w:r>
    </w:p>
  </w:endnote>
  <w:endnote w:type="continuationSeparator" w:id="0">
    <w:p w:rsidR="00B655DD" w:rsidRDefault="00B65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3C4" w:rsidRPr="00B57D66" w:rsidRDefault="00F073C4"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CF223A">
      <w:rPr>
        <w:rStyle w:val="PageNumber"/>
        <w:rFonts w:ascii="Book Antiqua" w:hAnsi="Book Antiqua" w:cs="Arial"/>
        <w:noProof/>
        <w:sz w:val="16"/>
        <w:szCs w:val="16"/>
      </w:rPr>
      <w:t>4</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3C4" w:rsidRPr="00B57D66" w:rsidRDefault="00F073C4"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5DD" w:rsidRDefault="00B655DD">
      <w:r>
        <w:separator/>
      </w:r>
    </w:p>
  </w:footnote>
  <w:footnote w:type="continuationSeparator" w:id="0">
    <w:p w:rsidR="00B655DD" w:rsidRDefault="00B65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3C4" w:rsidRPr="00CE590C" w:rsidRDefault="00F073C4"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CE590C">
      <w:rPr>
        <w:rFonts w:ascii="Book Antiqua" w:hAnsi="Book Antiqua" w:cs="Arial"/>
        <w:sz w:val="16"/>
        <w:szCs w:val="16"/>
      </w:rPr>
      <w:t>PA/01545/2018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73C4" w:rsidRPr="00B57D66" w:rsidRDefault="00F073C4">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70"/>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F1A0E"/>
    <w:rsid w:val="001165A7"/>
    <w:rsid w:val="00152059"/>
    <w:rsid w:val="00167D3A"/>
    <w:rsid w:val="00173CC6"/>
    <w:rsid w:val="001A3082"/>
    <w:rsid w:val="001B186A"/>
    <w:rsid w:val="001B2F75"/>
    <w:rsid w:val="001D4DD2"/>
    <w:rsid w:val="001F2716"/>
    <w:rsid w:val="00200F1B"/>
    <w:rsid w:val="002041E3"/>
    <w:rsid w:val="00207617"/>
    <w:rsid w:val="0023134B"/>
    <w:rsid w:val="00277CB5"/>
    <w:rsid w:val="00283659"/>
    <w:rsid w:val="002C6BD4"/>
    <w:rsid w:val="002D68BF"/>
    <w:rsid w:val="002E476B"/>
    <w:rsid w:val="002F6B98"/>
    <w:rsid w:val="00307FF9"/>
    <w:rsid w:val="00327658"/>
    <w:rsid w:val="00336CBF"/>
    <w:rsid w:val="00343FE3"/>
    <w:rsid w:val="003546C8"/>
    <w:rsid w:val="003A7CF2"/>
    <w:rsid w:val="003B4263"/>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1DCA"/>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B7A00"/>
    <w:rsid w:val="005D10AB"/>
    <w:rsid w:val="005F7FA2"/>
    <w:rsid w:val="00601D8F"/>
    <w:rsid w:val="006215B3"/>
    <w:rsid w:val="00653E97"/>
    <w:rsid w:val="00684A74"/>
    <w:rsid w:val="00690B8A"/>
    <w:rsid w:val="006B2B73"/>
    <w:rsid w:val="006C4296"/>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5D3C"/>
    <w:rsid w:val="007C1919"/>
    <w:rsid w:val="007C6EA1"/>
    <w:rsid w:val="00821B72"/>
    <w:rsid w:val="00823EF2"/>
    <w:rsid w:val="008303B8"/>
    <w:rsid w:val="00832CBE"/>
    <w:rsid w:val="00833DCE"/>
    <w:rsid w:val="00842F3A"/>
    <w:rsid w:val="00856C34"/>
    <w:rsid w:val="00871D34"/>
    <w:rsid w:val="00872D99"/>
    <w:rsid w:val="00885551"/>
    <w:rsid w:val="00887DA7"/>
    <w:rsid w:val="008A01DD"/>
    <w:rsid w:val="008A151B"/>
    <w:rsid w:val="008B270C"/>
    <w:rsid w:val="008B4F43"/>
    <w:rsid w:val="008B5078"/>
    <w:rsid w:val="008C3D3D"/>
    <w:rsid w:val="008D4131"/>
    <w:rsid w:val="008F0203"/>
    <w:rsid w:val="008F1932"/>
    <w:rsid w:val="008F1BC2"/>
    <w:rsid w:val="00921062"/>
    <w:rsid w:val="009407F7"/>
    <w:rsid w:val="00954871"/>
    <w:rsid w:val="009722BC"/>
    <w:rsid w:val="009727A3"/>
    <w:rsid w:val="00975893"/>
    <w:rsid w:val="00977570"/>
    <w:rsid w:val="00987774"/>
    <w:rsid w:val="0099477E"/>
    <w:rsid w:val="009A11E8"/>
    <w:rsid w:val="009B4673"/>
    <w:rsid w:val="009B6DF5"/>
    <w:rsid w:val="009F5220"/>
    <w:rsid w:val="00A15234"/>
    <w:rsid w:val="00A201AB"/>
    <w:rsid w:val="00A2306E"/>
    <w:rsid w:val="00A31C8B"/>
    <w:rsid w:val="00A50368"/>
    <w:rsid w:val="00A509FA"/>
    <w:rsid w:val="00A77318"/>
    <w:rsid w:val="00A845DC"/>
    <w:rsid w:val="00A9409A"/>
    <w:rsid w:val="00AD17CF"/>
    <w:rsid w:val="00B03727"/>
    <w:rsid w:val="00B26AA2"/>
    <w:rsid w:val="00B3524D"/>
    <w:rsid w:val="00B40F69"/>
    <w:rsid w:val="00B448D5"/>
    <w:rsid w:val="00B46616"/>
    <w:rsid w:val="00B57D66"/>
    <w:rsid w:val="00B655DD"/>
    <w:rsid w:val="00B7040A"/>
    <w:rsid w:val="00B83391"/>
    <w:rsid w:val="00B95326"/>
    <w:rsid w:val="00BB45A9"/>
    <w:rsid w:val="00BD4196"/>
    <w:rsid w:val="00BE2F3A"/>
    <w:rsid w:val="00BF22CA"/>
    <w:rsid w:val="00BF23BB"/>
    <w:rsid w:val="00BF4442"/>
    <w:rsid w:val="00C26032"/>
    <w:rsid w:val="00C345E1"/>
    <w:rsid w:val="00C43BFD"/>
    <w:rsid w:val="00C816AD"/>
    <w:rsid w:val="00CB6E35"/>
    <w:rsid w:val="00CC26E8"/>
    <w:rsid w:val="00CD4CBE"/>
    <w:rsid w:val="00CE1A46"/>
    <w:rsid w:val="00CE590C"/>
    <w:rsid w:val="00CE7550"/>
    <w:rsid w:val="00CF223A"/>
    <w:rsid w:val="00D015C1"/>
    <w:rsid w:val="00D20757"/>
    <w:rsid w:val="00D22636"/>
    <w:rsid w:val="00D40FD9"/>
    <w:rsid w:val="00D53769"/>
    <w:rsid w:val="00D7040C"/>
    <w:rsid w:val="00D85C13"/>
    <w:rsid w:val="00D9111A"/>
    <w:rsid w:val="00D91BE3"/>
    <w:rsid w:val="00D94AFC"/>
    <w:rsid w:val="00D97B17"/>
    <w:rsid w:val="00DA1880"/>
    <w:rsid w:val="00DB1D8D"/>
    <w:rsid w:val="00DB70AE"/>
    <w:rsid w:val="00DC375C"/>
    <w:rsid w:val="00DD5071"/>
    <w:rsid w:val="00DD5C39"/>
    <w:rsid w:val="00DE7DB7"/>
    <w:rsid w:val="00DF5676"/>
    <w:rsid w:val="00E00A0A"/>
    <w:rsid w:val="00E01592"/>
    <w:rsid w:val="00E066DE"/>
    <w:rsid w:val="00E07F57"/>
    <w:rsid w:val="00E20E58"/>
    <w:rsid w:val="00E24E82"/>
    <w:rsid w:val="00E30683"/>
    <w:rsid w:val="00E4074F"/>
    <w:rsid w:val="00E453D8"/>
    <w:rsid w:val="00E500B2"/>
    <w:rsid w:val="00E50BCE"/>
    <w:rsid w:val="00E53BE9"/>
    <w:rsid w:val="00E5536B"/>
    <w:rsid w:val="00E556B8"/>
    <w:rsid w:val="00E574BF"/>
    <w:rsid w:val="00E61292"/>
    <w:rsid w:val="00E77C4D"/>
    <w:rsid w:val="00E81D01"/>
    <w:rsid w:val="00E82519"/>
    <w:rsid w:val="00ED6E0E"/>
    <w:rsid w:val="00EE45D8"/>
    <w:rsid w:val="00F073C4"/>
    <w:rsid w:val="00F17123"/>
    <w:rsid w:val="00F22EDA"/>
    <w:rsid w:val="00F35C16"/>
    <w:rsid w:val="00F3639F"/>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1539</Words>
  <Characters>8775</Characters>
  <Application>Microsoft Office Word</Application>
  <DocSecurity>0</DocSecurity>
  <Lines>73</Lines>
  <Paragraphs>20</Paragraphs>
  <ScaleCrop>false</ScaleCrop>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2018-07-09T15:00:00Z</dcterms:created>
  <dcterms:modified xsi:type="dcterms:W3CDTF">2018-07-09T15:00:00Z</dcterms:modified>
</cp:coreProperties>
</file>