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4BA12" w14:textId="77777777" w:rsidR="00D94AFC" w:rsidRPr="008578D0" w:rsidRDefault="00D94AFC">
      <w:pPr>
        <w:rPr>
          <w:rFonts w:ascii="Arial" w:hAnsi="Arial" w:cs="Arial"/>
          <w:color w:val="000000"/>
        </w:rPr>
      </w:pPr>
    </w:p>
    <w:p w14:paraId="3BB4BA13" w14:textId="77777777" w:rsidR="00F97703" w:rsidRPr="008578D0" w:rsidRDefault="00082D15" w:rsidP="00F97703">
      <w:pPr>
        <w:jc w:val="center"/>
        <w:rPr>
          <w:rFonts w:ascii="Arial" w:hAnsi="Arial" w:cs="Arial"/>
          <w:color w:val="000000"/>
        </w:rPr>
      </w:pPr>
      <w:r w:rsidRPr="008578D0">
        <w:rPr>
          <w:rFonts w:ascii="Arial" w:hAnsi="Arial" w:cs="Arial"/>
          <w:noProof/>
          <w:lang w:val="en-US" w:eastAsia="en-US"/>
        </w:rPr>
        <w:drawing>
          <wp:inline distT="0" distB="0" distL="0" distR="0" wp14:anchorId="3BB4BB07" wp14:editId="3BB4BB08">
            <wp:extent cx="1497965" cy="113474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7965" cy="1134745"/>
                    </a:xfrm>
                    <a:prstGeom prst="rect">
                      <a:avLst/>
                    </a:prstGeom>
                    <a:noFill/>
                    <a:ln>
                      <a:noFill/>
                    </a:ln>
                  </pic:spPr>
                </pic:pic>
              </a:graphicData>
            </a:graphic>
          </wp:inline>
        </w:drawing>
      </w:r>
    </w:p>
    <w:p w14:paraId="3BB4BA14" w14:textId="77777777" w:rsidR="00F97703" w:rsidRPr="008578D0" w:rsidRDefault="576901D2" w:rsidP="576901D2">
      <w:pPr>
        <w:tabs>
          <w:tab w:val="right" w:pos="9720"/>
        </w:tabs>
        <w:ind w:right="-82"/>
        <w:outlineLvl w:val="0"/>
        <w:rPr>
          <w:rFonts w:ascii="Arial" w:eastAsia="Arial" w:hAnsi="Arial" w:cs="Arial"/>
          <w:b/>
          <w:bCs/>
          <w:color w:val="000000" w:themeColor="text1"/>
        </w:rPr>
      </w:pPr>
      <w:r w:rsidRPr="576901D2">
        <w:rPr>
          <w:rFonts w:ascii="Arial" w:eastAsia="Arial" w:hAnsi="Arial" w:cs="Arial"/>
          <w:b/>
          <w:bCs/>
          <w:color w:val="000000" w:themeColor="text1"/>
        </w:rPr>
        <w:t xml:space="preserve">Upper Tribunal </w:t>
      </w:r>
    </w:p>
    <w:p w14:paraId="3BB4BA16" w14:textId="12F75968" w:rsidR="00C345E1" w:rsidRPr="007A47DD" w:rsidRDefault="00F97703" w:rsidP="00641165">
      <w:pPr>
        <w:tabs>
          <w:tab w:val="right" w:pos="9720"/>
        </w:tabs>
        <w:ind w:right="-82"/>
        <w:rPr>
          <w:rFonts w:ascii="Arial" w:hAnsi="Arial" w:cs="Arial"/>
          <w:b/>
          <w:color w:val="000000"/>
        </w:rPr>
      </w:pPr>
      <w:r w:rsidRPr="576901D2">
        <w:rPr>
          <w:rFonts w:ascii="Arial" w:eastAsia="Arial" w:hAnsi="Arial" w:cs="Arial"/>
          <w:b/>
          <w:bCs/>
          <w:color w:val="000000"/>
        </w:rPr>
        <w:t xml:space="preserve">(Immigration and Asylum </w:t>
      </w:r>
      <w:proofErr w:type="gramStart"/>
      <w:r w:rsidRPr="576901D2">
        <w:rPr>
          <w:rFonts w:ascii="Arial" w:eastAsia="Arial" w:hAnsi="Arial" w:cs="Arial"/>
          <w:b/>
          <w:bCs/>
          <w:color w:val="000000"/>
        </w:rPr>
        <w:t>Chamber)</w:t>
      </w:r>
      <w:r w:rsidR="007A47DD">
        <w:rPr>
          <w:rFonts w:ascii="Arial" w:hAnsi="Arial" w:cs="Arial"/>
          <w:b/>
          <w:color w:val="000000"/>
        </w:rPr>
        <w:t xml:space="preserve">   </w:t>
      </w:r>
      <w:proofErr w:type="gramEnd"/>
      <w:r w:rsidR="007A47DD">
        <w:rPr>
          <w:rFonts w:ascii="Arial" w:hAnsi="Arial" w:cs="Arial"/>
          <w:b/>
          <w:color w:val="000000"/>
        </w:rPr>
        <w:t xml:space="preserve">                   </w:t>
      </w:r>
      <w:r w:rsidR="00B3524D" w:rsidRPr="007A47DD">
        <w:rPr>
          <w:rFonts w:ascii="Arial" w:eastAsia="Arial" w:hAnsi="Arial" w:cs="Arial"/>
          <w:b/>
          <w:color w:val="000000"/>
        </w:rPr>
        <w:t>Appeal Number</w:t>
      </w:r>
      <w:r w:rsidR="00D53769" w:rsidRPr="007A47DD">
        <w:rPr>
          <w:rFonts w:ascii="Arial" w:eastAsia="Arial" w:hAnsi="Arial" w:cs="Arial"/>
          <w:b/>
          <w:color w:val="000000"/>
        </w:rPr>
        <w:t>:</w:t>
      </w:r>
      <w:r w:rsidR="00B3524D" w:rsidRPr="007A47DD">
        <w:rPr>
          <w:rFonts w:ascii="Arial" w:eastAsia="Arial" w:hAnsi="Arial" w:cs="Arial"/>
          <w:b/>
          <w:color w:val="000000"/>
        </w:rPr>
        <w:t xml:space="preserve"> </w:t>
      </w:r>
      <w:r w:rsidR="00003F8E" w:rsidRPr="007A47DD">
        <w:rPr>
          <w:rFonts w:ascii="Arial" w:eastAsia="Arial" w:hAnsi="Arial" w:cs="Arial"/>
          <w:b/>
          <w:color w:val="000000"/>
        </w:rPr>
        <w:t>PA/</w:t>
      </w:r>
      <w:r w:rsidR="00C101A6" w:rsidRPr="007A47DD">
        <w:rPr>
          <w:rFonts w:ascii="Arial" w:eastAsia="Arial" w:hAnsi="Arial" w:cs="Arial"/>
          <w:b/>
          <w:color w:val="000000"/>
        </w:rPr>
        <w:t>01</w:t>
      </w:r>
      <w:r w:rsidR="00003F8E" w:rsidRPr="007A47DD">
        <w:rPr>
          <w:rFonts w:ascii="Arial" w:eastAsia="Arial" w:hAnsi="Arial" w:cs="Arial"/>
          <w:b/>
          <w:color w:val="000000"/>
        </w:rPr>
        <w:t>588/2019</w:t>
      </w:r>
      <w:r w:rsidR="008568CF" w:rsidRPr="007A47DD">
        <w:rPr>
          <w:rFonts w:ascii="Arial" w:eastAsia="Arial" w:hAnsi="Arial" w:cs="Arial"/>
          <w:b/>
          <w:color w:val="000000"/>
        </w:rPr>
        <w:t>(P)</w:t>
      </w:r>
    </w:p>
    <w:p w14:paraId="3BB4BA17" w14:textId="77777777" w:rsidR="00C345E1" w:rsidRPr="008578D0" w:rsidRDefault="00C345E1" w:rsidP="00C345E1">
      <w:pPr>
        <w:jc w:val="center"/>
        <w:rPr>
          <w:rFonts w:ascii="Arial" w:hAnsi="Arial" w:cs="Arial"/>
          <w:color w:val="000000"/>
        </w:rPr>
      </w:pPr>
    </w:p>
    <w:p w14:paraId="3BB4BA18" w14:textId="77777777" w:rsidR="00C345E1" w:rsidRPr="008578D0" w:rsidRDefault="576901D2" w:rsidP="576901D2">
      <w:pPr>
        <w:jc w:val="center"/>
        <w:outlineLvl w:val="0"/>
        <w:rPr>
          <w:rFonts w:ascii="Arial" w:eastAsia="Arial" w:hAnsi="Arial" w:cs="Arial"/>
          <w:b/>
          <w:bCs/>
          <w:color w:val="000000" w:themeColor="text1"/>
          <w:u w:val="single"/>
        </w:rPr>
      </w:pPr>
      <w:r w:rsidRPr="576901D2">
        <w:rPr>
          <w:rFonts w:ascii="Arial" w:eastAsia="Arial" w:hAnsi="Arial" w:cs="Arial"/>
          <w:b/>
          <w:bCs/>
          <w:color w:val="000000" w:themeColor="text1"/>
          <w:u w:val="single"/>
        </w:rPr>
        <w:t>THE IMMIGRATION ACTS</w:t>
      </w:r>
    </w:p>
    <w:p w14:paraId="3BB4BA19" w14:textId="77777777" w:rsidR="00C345E1" w:rsidRPr="008578D0" w:rsidRDefault="00C345E1" w:rsidP="00C345E1">
      <w:pPr>
        <w:jc w:val="center"/>
        <w:rPr>
          <w:rFonts w:ascii="Arial" w:hAnsi="Arial" w:cs="Arial"/>
          <w:b/>
          <w:u w:val="single"/>
        </w:rPr>
      </w:pPr>
    </w:p>
    <w:p w14:paraId="3BB4BA1A" w14:textId="77777777" w:rsidR="00C345E1" w:rsidRPr="008578D0" w:rsidRDefault="00C345E1" w:rsidP="00C345E1">
      <w:pPr>
        <w:jc w:val="center"/>
        <w:rPr>
          <w:rFonts w:ascii="Arial" w:hAnsi="Arial" w:cs="Arial"/>
          <w:b/>
          <w:u w:val="single"/>
        </w:rPr>
      </w:pPr>
    </w:p>
    <w:tbl>
      <w:tblPr>
        <w:tblW w:w="0" w:type="auto"/>
        <w:tblLook w:val="01E0" w:firstRow="1" w:lastRow="1" w:firstColumn="1" w:lastColumn="1" w:noHBand="0" w:noVBand="0"/>
      </w:tblPr>
      <w:tblGrid>
        <w:gridCol w:w="5529"/>
        <w:gridCol w:w="4109"/>
      </w:tblGrid>
      <w:tr w:rsidR="00D22636" w:rsidRPr="00FD50E5" w14:paraId="3BB4BA1D" w14:textId="77777777" w:rsidTr="0049566F">
        <w:tc>
          <w:tcPr>
            <w:tcW w:w="5529" w:type="dxa"/>
            <w:shd w:val="clear" w:color="auto" w:fill="auto"/>
          </w:tcPr>
          <w:p w14:paraId="020535B9" w14:textId="77777777" w:rsidR="00D22636" w:rsidRDefault="003C0ED5" w:rsidP="576901D2">
            <w:pPr>
              <w:jc w:val="both"/>
              <w:rPr>
                <w:rFonts w:ascii="Arial" w:eastAsia="Arial" w:hAnsi="Arial" w:cs="Arial"/>
                <w:b/>
                <w:bCs/>
              </w:rPr>
            </w:pPr>
            <w:r>
              <w:rPr>
                <w:rFonts w:ascii="Arial" w:eastAsia="Arial" w:hAnsi="Arial" w:cs="Arial"/>
                <w:b/>
                <w:bCs/>
              </w:rPr>
              <w:t>Decision under Rule 34</w:t>
            </w:r>
          </w:p>
          <w:p w14:paraId="3BB4BA1B" w14:textId="0E65C0AC" w:rsidR="00B5773A" w:rsidRPr="00FD50E5" w:rsidRDefault="00B5773A" w:rsidP="576901D2">
            <w:pPr>
              <w:jc w:val="both"/>
              <w:rPr>
                <w:rFonts w:ascii="Arial" w:eastAsia="Arial" w:hAnsi="Arial" w:cs="Arial"/>
                <w:b/>
                <w:bCs/>
              </w:rPr>
            </w:pPr>
            <w:r>
              <w:rPr>
                <w:rFonts w:ascii="Arial" w:eastAsia="Arial" w:hAnsi="Arial" w:cs="Arial"/>
                <w:b/>
                <w:bCs/>
              </w:rPr>
              <w:t>Without a hearing</w:t>
            </w:r>
          </w:p>
        </w:tc>
        <w:tc>
          <w:tcPr>
            <w:tcW w:w="4109" w:type="dxa"/>
            <w:shd w:val="clear" w:color="auto" w:fill="auto"/>
          </w:tcPr>
          <w:p w14:paraId="3BB4BA1C" w14:textId="4AF630A9" w:rsidR="00D22636" w:rsidRPr="00FD50E5" w:rsidRDefault="576901D2" w:rsidP="576901D2">
            <w:pPr>
              <w:jc w:val="both"/>
              <w:rPr>
                <w:rFonts w:ascii="Arial" w:eastAsia="Arial" w:hAnsi="Arial" w:cs="Arial"/>
                <w:b/>
                <w:bCs/>
                <w:color w:val="000000" w:themeColor="text1"/>
              </w:rPr>
            </w:pPr>
            <w:r w:rsidRPr="576901D2">
              <w:rPr>
                <w:rFonts w:ascii="Arial" w:eastAsia="Arial" w:hAnsi="Arial" w:cs="Arial"/>
                <w:b/>
                <w:bCs/>
                <w:color w:val="000000" w:themeColor="text1"/>
              </w:rPr>
              <w:t>De</w:t>
            </w:r>
            <w:r w:rsidR="0049566F">
              <w:rPr>
                <w:rFonts w:ascii="Arial" w:eastAsia="Arial" w:hAnsi="Arial" w:cs="Arial"/>
                <w:b/>
                <w:bCs/>
                <w:color w:val="000000" w:themeColor="text1"/>
              </w:rPr>
              <w:t>cision &amp; Reasons</w:t>
            </w:r>
            <w:r w:rsidRPr="576901D2">
              <w:rPr>
                <w:rFonts w:ascii="Arial" w:eastAsia="Arial" w:hAnsi="Arial" w:cs="Arial"/>
                <w:b/>
                <w:bCs/>
                <w:color w:val="000000" w:themeColor="text1"/>
              </w:rPr>
              <w:t xml:space="preserve"> Promulgated</w:t>
            </w:r>
          </w:p>
        </w:tc>
      </w:tr>
      <w:tr w:rsidR="00D22636" w:rsidRPr="00FD50E5" w14:paraId="3BB4BA20" w14:textId="77777777" w:rsidTr="0049566F">
        <w:tc>
          <w:tcPr>
            <w:tcW w:w="5529" w:type="dxa"/>
            <w:shd w:val="clear" w:color="auto" w:fill="auto"/>
          </w:tcPr>
          <w:p w14:paraId="3BB4BA1E" w14:textId="72AE6831" w:rsidR="00D22636" w:rsidRPr="00FD50E5" w:rsidRDefault="00760D49" w:rsidP="576901D2">
            <w:pPr>
              <w:jc w:val="both"/>
              <w:rPr>
                <w:rFonts w:ascii="Arial" w:eastAsia="Arial" w:hAnsi="Arial" w:cs="Arial"/>
                <w:b/>
                <w:bCs/>
              </w:rPr>
            </w:pPr>
            <w:r>
              <w:rPr>
                <w:rFonts w:ascii="Arial" w:eastAsia="Arial" w:hAnsi="Arial" w:cs="Arial"/>
                <w:b/>
                <w:bCs/>
              </w:rPr>
              <w:t>25</w:t>
            </w:r>
            <w:r w:rsidRPr="00760D49">
              <w:rPr>
                <w:rFonts w:ascii="Arial" w:eastAsia="Arial" w:hAnsi="Arial" w:cs="Arial"/>
                <w:b/>
                <w:bCs/>
                <w:vertAlign w:val="superscript"/>
              </w:rPr>
              <w:t>th</w:t>
            </w:r>
            <w:r>
              <w:rPr>
                <w:rFonts w:ascii="Arial" w:eastAsia="Arial" w:hAnsi="Arial" w:cs="Arial"/>
                <w:b/>
                <w:bCs/>
              </w:rPr>
              <w:t xml:space="preserve"> </w:t>
            </w:r>
            <w:r w:rsidR="00003F8E">
              <w:rPr>
                <w:rFonts w:ascii="Arial" w:eastAsia="Arial" w:hAnsi="Arial" w:cs="Arial"/>
                <w:b/>
                <w:bCs/>
              </w:rPr>
              <w:t>August 2020</w:t>
            </w:r>
          </w:p>
        </w:tc>
        <w:tc>
          <w:tcPr>
            <w:tcW w:w="4109" w:type="dxa"/>
            <w:shd w:val="clear" w:color="auto" w:fill="auto"/>
          </w:tcPr>
          <w:p w14:paraId="3BB4BA1F" w14:textId="1EF073B0" w:rsidR="00D22636" w:rsidRPr="00FD50E5" w:rsidRDefault="00D36AF6" w:rsidP="00FD50E5">
            <w:pPr>
              <w:jc w:val="both"/>
              <w:rPr>
                <w:rFonts w:ascii="Arial" w:hAnsi="Arial" w:cs="Arial"/>
                <w:b/>
              </w:rPr>
            </w:pPr>
            <w:r>
              <w:rPr>
                <w:rFonts w:ascii="Arial" w:hAnsi="Arial" w:cs="Arial"/>
                <w:b/>
              </w:rPr>
              <w:t>On 27</w:t>
            </w:r>
            <w:r w:rsidRPr="00D36AF6">
              <w:rPr>
                <w:rFonts w:ascii="Arial" w:hAnsi="Arial" w:cs="Arial"/>
                <w:b/>
                <w:vertAlign w:val="superscript"/>
              </w:rPr>
              <w:t>th</w:t>
            </w:r>
            <w:r>
              <w:rPr>
                <w:rFonts w:ascii="Arial" w:hAnsi="Arial" w:cs="Arial"/>
                <w:b/>
              </w:rPr>
              <w:t xml:space="preserve"> August 2020</w:t>
            </w:r>
          </w:p>
        </w:tc>
      </w:tr>
      <w:tr w:rsidR="00D22636" w:rsidRPr="00FD50E5" w14:paraId="3BB4BA23" w14:textId="77777777" w:rsidTr="0049566F">
        <w:tc>
          <w:tcPr>
            <w:tcW w:w="5529" w:type="dxa"/>
            <w:shd w:val="clear" w:color="auto" w:fill="auto"/>
          </w:tcPr>
          <w:p w14:paraId="3BB4BA21" w14:textId="77777777" w:rsidR="00D22636" w:rsidRPr="00FD50E5" w:rsidRDefault="00D22636" w:rsidP="00FD50E5">
            <w:pPr>
              <w:jc w:val="both"/>
              <w:rPr>
                <w:rFonts w:ascii="Arial" w:hAnsi="Arial" w:cs="Arial"/>
                <w:b/>
              </w:rPr>
            </w:pPr>
          </w:p>
        </w:tc>
        <w:tc>
          <w:tcPr>
            <w:tcW w:w="4109" w:type="dxa"/>
            <w:shd w:val="clear" w:color="auto" w:fill="auto"/>
          </w:tcPr>
          <w:p w14:paraId="3BB4BA22" w14:textId="7A920B80" w:rsidR="00D22636" w:rsidRPr="00FD50E5" w:rsidRDefault="00D22636" w:rsidP="576901D2">
            <w:pPr>
              <w:jc w:val="both"/>
              <w:rPr>
                <w:rFonts w:ascii="Arial" w:eastAsia="Arial" w:hAnsi="Arial" w:cs="Arial"/>
                <w:b/>
                <w:bCs/>
              </w:rPr>
            </w:pPr>
          </w:p>
        </w:tc>
      </w:tr>
    </w:tbl>
    <w:p w14:paraId="3BB4BA24" w14:textId="77777777" w:rsidR="00A15234" w:rsidRPr="008578D0" w:rsidRDefault="00A15234" w:rsidP="00A15234">
      <w:pPr>
        <w:jc w:val="center"/>
        <w:rPr>
          <w:rFonts w:ascii="Arial" w:hAnsi="Arial" w:cs="Arial"/>
        </w:rPr>
      </w:pPr>
    </w:p>
    <w:p w14:paraId="3BB4BA25" w14:textId="77777777" w:rsidR="00A15234" w:rsidRPr="008578D0" w:rsidRDefault="00A15234" w:rsidP="00A15234">
      <w:pPr>
        <w:jc w:val="center"/>
        <w:rPr>
          <w:rFonts w:ascii="Arial" w:hAnsi="Arial" w:cs="Arial"/>
        </w:rPr>
      </w:pPr>
    </w:p>
    <w:p w14:paraId="3BB4BA26" w14:textId="77777777" w:rsidR="00A15234" w:rsidRPr="008578D0" w:rsidRDefault="576901D2" w:rsidP="576901D2">
      <w:pPr>
        <w:jc w:val="center"/>
        <w:outlineLvl w:val="0"/>
        <w:rPr>
          <w:rFonts w:ascii="Arial" w:eastAsia="Arial" w:hAnsi="Arial" w:cs="Arial"/>
          <w:b/>
          <w:bCs/>
        </w:rPr>
      </w:pPr>
      <w:r w:rsidRPr="576901D2">
        <w:rPr>
          <w:rFonts w:ascii="Arial" w:eastAsia="Arial" w:hAnsi="Arial" w:cs="Arial"/>
          <w:b/>
          <w:bCs/>
        </w:rPr>
        <w:t>Before</w:t>
      </w:r>
    </w:p>
    <w:p w14:paraId="3BB4BA27" w14:textId="77777777" w:rsidR="00721E7A" w:rsidRPr="008578D0" w:rsidRDefault="00721E7A" w:rsidP="00A15234">
      <w:pPr>
        <w:jc w:val="center"/>
        <w:rPr>
          <w:rFonts w:ascii="Arial" w:hAnsi="Arial" w:cs="Arial"/>
          <w:b/>
        </w:rPr>
      </w:pPr>
    </w:p>
    <w:p w14:paraId="3BB4BA28" w14:textId="77777777" w:rsidR="00D20757" w:rsidRPr="008578D0" w:rsidRDefault="576901D2" w:rsidP="576901D2">
      <w:pPr>
        <w:jc w:val="center"/>
        <w:rPr>
          <w:rFonts w:ascii="Arial" w:eastAsia="Arial" w:hAnsi="Arial" w:cs="Arial"/>
          <w:b/>
          <w:bCs/>
        </w:rPr>
      </w:pPr>
      <w:r w:rsidRPr="576901D2">
        <w:rPr>
          <w:rFonts w:ascii="Arial" w:eastAsia="Arial" w:hAnsi="Arial" w:cs="Arial"/>
          <w:b/>
          <w:bCs/>
        </w:rPr>
        <w:t>UPPER TRIBUNAL JUDGE COKER</w:t>
      </w:r>
    </w:p>
    <w:p w14:paraId="3BB4BA29" w14:textId="77777777" w:rsidR="00D8561E" w:rsidRPr="008578D0" w:rsidRDefault="00D8561E" w:rsidP="00DA4D91">
      <w:pPr>
        <w:jc w:val="center"/>
        <w:outlineLvl w:val="0"/>
        <w:rPr>
          <w:rFonts w:ascii="Arial" w:hAnsi="Arial" w:cs="Arial"/>
          <w:b/>
        </w:rPr>
      </w:pPr>
    </w:p>
    <w:p w14:paraId="3BB4BA2A" w14:textId="77777777" w:rsidR="00A845DC" w:rsidRPr="008578D0" w:rsidRDefault="576901D2" w:rsidP="576901D2">
      <w:pPr>
        <w:jc w:val="center"/>
        <w:outlineLvl w:val="0"/>
        <w:rPr>
          <w:rFonts w:ascii="Arial" w:eastAsia="Arial" w:hAnsi="Arial" w:cs="Arial"/>
          <w:b/>
          <w:bCs/>
        </w:rPr>
      </w:pPr>
      <w:r w:rsidRPr="576901D2">
        <w:rPr>
          <w:rFonts w:ascii="Arial" w:eastAsia="Arial" w:hAnsi="Arial" w:cs="Arial"/>
          <w:b/>
          <w:bCs/>
        </w:rPr>
        <w:t>Between</w:t>
      </w:r>
    </w:p>
    <w:p w14:paraId="3BB4BA2B" w14:textId="77777777" w:rsidR="00A845DC" w:rsidRPr="008578D0" w:rsidRDefault="00A845DC" w:rsidP="00A15234">
      <w:pPr>
        <w:jc w:val="center"/>
        <w:rPr>
          <w:rFonts w:ascii="Arial" w:hAnsi="Arial" w:cs="Arial"/>
          <w:b/>
        </w:rPr>
      </w:pPr>
    </w:p>
    <w:p w14:paraId="3BB4BA2C" w14:textId="77777777" w:rsidR="00172D1A" w:rsidRPr="008578D0" w:rsidRDefault="00172D1A" w:rsidP="00172D1A">
      <w:pPr>
        <w:jc w:val="center"/>
        <w:rPr>
          <w:rFonts w:ascii="Arial" w:hAnsi="Arial" w:cs="Arial"/>
          <w:b/>
        </w:rPr>
      </w:pPr>
    </w:p>
    <w:p w14:paraId="4EEC006D" w14:textId="2D91DA8D" w:rsidR="00370B95" w:rsidRDefault="00003F8E" w:rsidP="576901D2">
      <w:pPr>
        <w:jc w:val="center"/>
        <w:outlineLvl w:val="0"/>
        <w:rPr>
          <w:rFonts w:ascii="Arial" w:eastAsia="Arial" w:hAnsi="Arial" w:cs="Arial"/>
          <w:b/>
          <w:bCs/>
        </w:rPr>
      </w:pPr>
      <w:r>
        <w:rPr>
          <w:rFonts w:ascii="Arial" w:eastAsia="Arial" w:hAnsi="Arial" w:cs="Arial"/>
          <w:b/>
          <w:bCs/>
        </w:rPr>
        <w:t>ZM</w:t>
      </w:r>
    </w:p>
    <w:p w14:paraId="000B8451" w14:textId="11843FFA" w:rsidR="00DE22CC" w:rsidRPr="007A47DD" w:rsidRDefault="007A47DD" w:rsidP="576901D2">
      <w:pPr>
        <w:jc w:val="center"/>
        <w:outlineLvl w:val="0"/>
        <w:rPr>
          <w:rFonts w:ascii="Arial" w:eastAsia="Arial" w:hAnsi="Arial" w:cs="Arial"/>
          <w:bCs/>
        </w:rPr>
      </w:pPr>
      <w:r w:rsidRPr="007A47DD">
        <w:rPr>
          <w:rFonts w:ascii="Arial" w:eastAsia="Arial" w:hAnsi="Arial" w:cs="Arial"/>
          <w:bCs/>
        </w:rPr>
        <w:t>(ANONYMITY ORDER MADE)</w:t>
      </w:r>
    </w:p>
    <w:p w14:paraId="3BB4BA30" w14:textId="77777777" w:rsidR="00704B61" w:rsidRPr="008578D0" w:rsidRDefault="576901D2" w:rsidP="576901D2">
      <w:pPr>
        <w:jc w:val="right"/>
        <w:outlineLvl w:val="0"/>
        <w:rPr>
          <w:rFonts w:ascii="Arial" w:eastAsia="Arial" w:hAnsi="Arial" w:cs="Arial"/>
          <w:u w:val="single"/>
        </w:rPr>
      </w:pPr>
      <w:r w:rsidRPr="576901D2">
        <w:rPr>
          <w:rFonts w:ascii="Arial" w:eastAsia="Arial" w:hAnsi="Arial" w:cs="Arial"/>
          <w:u w:val="single"/>
        </w:rPr>
        <w:t>Appellant</w:t>
      </w:r>
    </w:p>
    <w:p w14:paraId="3BB4BA31" w14:textId="77777777" w:rsidR="00704B61" w:rsidRPr="008578D0" w:rsidRDefault="576901D2" w:rsidP="576901D2">
      <w:pPr>
        <w:jc w:val="center"/>
        <w:rPr>
          <w:rFonts w:ascii="Arial" w:eastAsia="Arial" w:hAnsi="Arial" w:cs="Arial"/>
          <w:b/>
          <w:bCs/>
        </w:rPr>
      </w:pPr>
      <w:r w:rsidRPr="576901D2">
        <w:rPr>
          <w:rFonts w:ascii="Arial" w:eastAsia="Arial" w:hAnsi="Arial" w:cs="Arial"/>
          <w:b/>
          <w:bCs/>
        </w:rPr>
        <w:t>And</w:t>
      </w:r>
    </w:p>
    <w:p w14:paraId="3BB4BA32" w14:textId="77777777" w:rsidR="00172D1A" w:rsidRPr="008578D0" w:rsidRDefault="00172D1A" w:rsidP="00704B61">
      <w:pPr>
        <w:jc w:val="center"/>
        <w:rPr>
          <w:rFonts w:ascii="Arial" w:hAnsi="Arial" w:cs="Arial"/>
          <w:b/>
        </w:rPr>
      </w:pPr>
    </w:p>
    <w:p w14:paraId="3BB4BA33" w14:textId="77777777" w:rsidR="00172D1A" w:rsidRPr="008578D0" w:rsidRDefault="576901D2" w:rsidP="576901D2">
      <w:pPr>
        <w:jc w:val="center"/>
        <w:rPr>
          <w:rFonts w:ascii="Arial" w:eastAsia="Arial" w:hAnsi="Arial" w:cs="Arial"/>
          <w:b/>
          <w:bCs/>
        </w:rPr>
      </w:pPr>
      <w:r w:rsidRPr="576901D2">
        <w:rPr>
          <w:rFonts w:ascii="Arial" w:eastAsia="Arial" w:hAnsi="Arial" w:cs="Arial"/>
          <w:b/>
          <w:bCs/>
        </w:rPr>
        <w:t>SECRETARY OF STATE FOR THE HOME DEPARTMENT</w:t>
      </w:r>
    </w:p>
    <w:p w14:paraId="3BB4BA34" w14:textId="77777777" w:rsidR="00DD5071" w:rsidRPr="008578D0" w:rsidRDefault="576901D2" w:rsidP="576901D2">
      <w:pPr>
        <w:jc w:val="right"/>
        <w:outlineLvl w:val="0"/>
        <w:rPr>
          <w:rFonts w:ascii="Arial" w:eastAsia="Arial" w:hAnsi="Arial" w:cs="Arial"/>
          <w:u w:val="single"/>
        </w:rPr>
      </w:pPr>
      <w:r w:rsidRPr="576901D2">
        <w:rPr>
          <w:rFonts w:ascii="Arial" w:eastAsia="Arial" w:hAnsi="Arial" w:cs="Arial"/>
          <w:u w:val="single"/>
        </w:rPr>
        <w:t>Respondent</w:t>
      </w:r>
    </w:p>
    <w:p w14:paraId="3BB4BA35" w14:textId="77777777" w:rsidR="00DD5071" w:rsidRPr="008578D0" w:rsidRDefault="00DD5071" w:rsidP="00DD5071">
      <w:pPr>
        <w:rPr>
          <w:rFonts w:ascii="Arial" w:hAnsi="Arial" w:cs="Arial"/>
          <w:u w:val="single"/>
        </w:rPr>
      </w:pPr>
    </w:p>
    <w:p w14:paraId="3BB4BA3A" w14:textId="77777777" w:rsidR="00DE7DB7" w:rsidRDefault="00DE7DB7" w:rsidP="00402B9E">
      <w:pPr>
        <w:tabs>
          <w:tab w:val="left" w:pos="2520"/>
        </w:tabs>
        <w:jc w:val="center"/>
        <w:rPr>
          <w:rFonts w:ascii="Arial" w:hAnsi="Arial" w:cs="Arial"/>
        </w:rPr>
      </w:pPr>
    </w:p>
    <w:p w14:paraId="3BB4BA3B" w14:textId="77777777" w:rsidR="00D463AA" w:rsidRPr="008578D0" w:rsidRDefault="00D463AA" w:rsidP="00402B9E">
      <w:pPr>
        <w:tabs>
          <w:tab w:val="left" w:pos="2520"/>
        </w:tabs>
        <w:jc w:val="center"/>
        <w:rPr>
          <w:rFonts w:ascii="Arial" w:hAnsi="Arial" w:cs="Arial"/>
        </w:rPr>
      </w:pPr>
    </w:p>
    <w:p w14:paraId="3BB4BA3C" w14:textId="780D8073" w:rsidR="00DE7DB7" w:rsidRDefault="576901D2" w:rsidP="576901D2">
      <w:pPr>
        <w:tabs>
          <w:tab w:val="left" w:pos="2520"/>
        </w:tabs>
        <w:jc w:val="center"/>
        <w:outlineLvl w:val="0"/>
        <w:rPr>
          <w:rFonts w:ascii="Arial" w:eastAsia="Arial" w:hAnsi="Arial" w:cs="Arial"/>
          <w:b/>
          <w:bCs/>
          <w:u w:val="single"/>
        </w:rPr>
      </w:pPr>
      <w:r w:rsidRPr="576901D2">
        <w:rPr>
          <w:rFonts w:ascii="Arial" w:eastAsia="Arial" w:hAnsi="Arial" w:cs="Arial"/>
          <w:b/>
          <w:bCs/>
          <w:u w:val="single"/>
        </w:rPr>
        <w:t>DETERMINATION AND REASONS</w:t>
      </w:r>
      <w:r w:rsidR="00F6111D">
        <w:rPr>
          <w:rFonts w:ascii="Arial" w:eastAsia="Arial" w:hAnsi="Arial" w:cs="Arial"/>
          <w:b/>
          <w:bCs/>
          <w:u w:val="single"/>
        </w:rPr>
        <w:t xml:space="preserve"> (P)</w:t>
      </w:r>
    </w:p>
    <w:p w14:paraId="3BB4BA3D" w14:textId="77777777" w:rsidR="00673E8F" w:rsidRPr="008578D0" w:rsidRDefault="00673E8F" w:rsidP="00DA4D91">
      <w:pPr>
        <w:tabs>
          <w:tab w:val="left" w:pos="2520"/>
        </w:tabs>
        <w:jc w:val="center"/>
        <w:outlineLvl w:val="0"/>
        <w:rPr>
          <w:rFonts w:ascii="Arial" w:hAnsi="Arial" w:cs="Arial"/>
        </w:rPr>
      </w:pPr>
    </w:p>
    <w:p w14:paraId="3BB4BA3E" w14:textId="24D514BB" w:rsidR="00AB6C32" w:rsidRPr="00673E8F" w:rsidRDefault="576901D2" w:rsidP="576901D2">
      <w:pPr>
        <w:ind w:left="360"/>
        <w:jc w:val="both"/>
        <w:rPr>
          <w:rFonts w:ascii="Arial" w:eastAsia="Arial" w:hAnsi="Arial" w:cs="Arial"/>
          <w:b/>
          <w:bCs/>
          <w:color w:val="000080"/>
        </w:rPr>
      </w:pPr>
      <w:r w:rsidRPr="576901D2">
        <w:rPr>
          <w:rFonts w:ascii="Arial" w:eastAsia="Arial" w:hAnsi="Arial" w:cs="Arial"/>
          <w:b/>
          <w:bCs/>
        </w:rPr>
        <w:t xml:space="preserve">Pursuant to Rule 14 of the Tribunal Procedure (Upper Tribunal) Rules 2008 (SI 2008/269) I make an anonymity order. Unless the Upper Tribunal or a Court directs otherwise, no report of these proceedings or any form of publication thereof shall directly or indirectly identify the appellant in this determination identified as </w:t>
      </w:r>
      <w:r w:rsidR="00003F8E">
        <w:rPr>
          <w:rFonts w:ascii="Arial" w:eastAsia="Arial" w:hAnsi="Arial" w:cs="Arial"/>
          <w:b/>
          <w:bCs/>
        </w:rPr>
        <w:t>ZM</w:t>
      </w:r>
      <w:r w:rsidRPr="576901D2">
        <w:rPr>
          <w:rFonts w:ascii="Arial" w:eastAsia="Arial" w:hAnsi="Arial" w:cs="Arial"/>
          <w:b/>
          <w:bCs/>
        </w:rPr>
        <w:t>. This direction applies to, amongst others, all parties. Any failure to comply with this direction could give rise to contempt of court proceedings</w:t>
      </w:r>
    </w:p>
    <w:p w14:paraId="3BB4BA3F" w14:textId="77777777" w:rsidR="00673E8F" w:rsidRPr="00673E8F" w:rsidRDefault="00673E8F" w:rsidP="00673E8F">
      <w:pPr>
        <w:ind w:left="360"/>
        <w:jc w:val="both"/>
        <w:rPr>
          <w:rFonts w:ascii="Arial" w:hAnsi="Arial" w:cs="Arial"/>
          <w:b/>
          <w:color w:val="000080"/>
        </w:rPr>
      </w:pPr>
    </w:p>
    <w:p w14:paraId="3BB4BA40" w14:textId="77777777" w:rsidR="00402B9E" w:rsidRPr="008578D0" w:rsidRDefault="00402B9E" w:rsidP="00036813">
      <w:pPr>
        <w:tabs>
          <w:tab w:val="left" w:pos="2520"/>
        </w:tabs>
        <w:jc w:val="both"/>
        <w:rPr>
          <w:rFonts w:ascii="Arial" w:hAnsi="Arial" w:cs="Arial"/>
        </w:rPr>
      </w:pPr>
    </w:p>
    <w:p w14:paraId="3BB4BA41" w14:textId="77777777" w:rsidR="00AB6C32" w:rsidRPr="008578D0" w:rsidRDefault="00AB6C32" w:rsidP="00AB6C32">
      <w:pPr>
        <w:pStyle w:val="ListParagraph"/>
        <w:contextualSpacing/>
        <w:jc w:val="both"/>
        <w:rPr>
          <w:rFonts w:ascii="Arial" w:hAnsi="Arial" w:cs="Arial"/>
        </w:rPr>
      </w:pPr>
    </w:p>
    <w:p w14:paraId="3BF84CAF" w14:textId="29096B45" w:rsidR="003C0ED5" w:rsidRDefault="003C0ED5" w:rsidP="576901D2">
      <w:pPr>
        <w:pStyle w:val="ListParagraph"/>
        <w:numPr>
          <w:ilvl w:val="0"/>
          <w:numId w:val="28"/>
        </w:numPr>
        <w:contextualSpacing/>
        <w:jc w:val="both"/>
        <w:rPr>
          <w:rFonts w:ascii="Arial" w:eastAsia="Arial" w:hAnsi="Arial" w:cs="Arial"/>
        </w:rPr>
      </w:pPr>
      <w:proofErr w:type="spellStart"/>
      <w:r>
        <w:rPr>
          <w:rFonts w:ascii="Arial" w:eastAsia="Arial" w:hAnsi="Arial" w:cs="Arial"/>
        </w:rPr>
        <w:t>FtT</w:t>
      </w:r>
      <w:proofErr w:type="spellEnd"/>
      <w:r>
        <w:rPr>
          <w:rFonts w:ascii="Arial" w:eastAsia="Arial" w:hAnsi="Arial" w:cs="Arial"/>
        </w:rPr>
        <w:t xml:space="preserve"> Judge </w:t>
      </w:r>
      <w:r w:rsidR="00003F8E">
        <w:rPr>
          <w:rFonts w:ascii="Arial" w:eastAsia="Arial" w:hAnsi="Arial" w:cs="Arial"/>
        </w:rPr>
        <w:t>Andrew</w:t>
      </w:r>
      <w:r>
        <w:rPr>
          <w:rFonts w:ascii="Arial" w:eastAsia="Arial" w:hAnsi="Arial" w:cs="Arial"/>
        </w:rPr>
        <w:t xml:space="preserve"> dismissed </w:t>
      </w:r>
      <w:r w:rsidR="00003F8E">
        <w:rPr>
          <w:rFonts w:ascii="Arial" w:eastAsia="Arial" w:hAnsi="Arial" w:cs="Arial"/>
        </w:rPr>
        <w:t>ZM</w:t>
      </w:r>
      <w:r>
        <w:rPr>
          <w:rFonts w:ascii="Arial" w:eastAsia="Arial" w:hAnsi="Arial" w:cs="Arial"/>
        </w:rPr>
        <w:t xml:space="preserve">’s appeal against the refusal of his international protection and human rights claim for reasons set out in a decision promulgated on </w:t>
      </w:r>
      <w:r w:rsidR="00003F8E">
        <w:rPr>
          <w:rFonts w:ascii="Arial" w:eastAsia="Arial" w:hAnsi="Arial" w:cs="Arial"/>
        </w:rPr>
        <w:t>26</w:t>
      </w:r>
      <w:r w:rsidR="00003F8E" w:rsidRPr="00003F8E">
        <w:rPr>
          <w:rFonts w:ascii="Arial" w:eastAsia="Arial" w:hAnsi="Arial" w:cs="Arial"/>
          <w:vertAlign w:val="superscript"/>
        </w:rPr>
        <w:t>th</w:t>
      </w:r>
      <w:r w:rsidR="00003F8E">
        <w:rPr>
          <w:rFonts w:ascii="Arial" w:eastAsia="Arial" w:hAnsi="Arial" w:cs="Arial"/>
        </w:rPr>
        <w:t xml:space="preserve"> November 2019</w:t>
      </w:r>
      <w:r>
        <w:rPr>
          <w:rFonts w:ascii="Arial" w:eastAsia="Arial" w:hAnsi="Arial" w:cs="Arial"/>
        </w:rPr>
        <w:t xml:space="preserve">. Permission to appeal was granted by </w:t>
      </w:r>
      <w:r w:rsidR="00003F8E">
        <w:rPr>
          <w:rFonts w:ascii="Arial" w:eastAsia="Arial" w:hAnsi="Arial" w:cs="Arial"/>
        </w:rPr>
        <w:t>UTJ Lane</w:t>
      </w:r>
      <w:r>
        <w:rPr>
          <w:rFonts w:ascii="Arial" w:eastAsia="Arial" w:hAnsi="Arial" w:cs="Arial"/>
        </w:rPr>
        <w:t xml:space="preserve"> on </w:t>
      </w:r>
      <w:r w:rsidR="00003F8E">
        <w:rPr>
          <w:rFonts w:ascii="Arial" w:eastAsia="Arial" w:hAnsi="Arial" w:cs="Arial"/>
        </w:rPr>
        <w:t>10</w:t>
      </w:r>
      <w:r w:rsidR="00003F8E" w:rsidRPr="00003F8E">
        <w:rPr>
          <w:rFonts w:ascii="Arial" w:eastAsia="Arial" w:hAnsi="Arial" w:cs="Arial"/>
          <w:vertAlign w:val="superscript"/>
        </w:rPr>
        <w:t>th</w:t>
      </w:r>
      <w:r w:rsidR="00003F8E">
        <w:rPr>
          <w:rFonts w:ascii="Arial" w:eastAsia="Arial" w:hAnsi="Arial" w:cs="Arial"/>
        </w:rPr>
        <w:t xml:space="preserve"> March </w:t>
      </w:r>
      <w:r w:rsidR="00E5301D">
        <w:rPr>
          <w:rFonts w:ascii="Arial" w:eastAsia="Arial" w:hAnsi="Arial" w:cs="Arial"/>
        </w:rPr>
        <w:t>2020,</w:t>
      </w:r>
      <w:r>
        <w:rPr>
          <w:rFonts w:ascii="Arial" w:eastAsia="Arial" w:hAnsi="Arial" w:cs="Arial"/>
        </w:rPr>
        <w:t xml:space="preserve"> 2020. Directions for the further </w:t>
      </w:r>
      <w:r>
        <w:rPr>
          <w:rFonts w:ascii="Arial" w:eastAsia="Arial" w:hAnsi="Arial" w:cs="Arial"/>
        </w:rPr>
        <w:lastRenderedPageBreak/>
        <w:t xml:space="preserve">conduct of the appeal were sent on </w:t>
      </w:r>
      <w:r w:rsidR="00003F8E">
        <w:rPr>
          <w:rFonts w:ascii="Arial" w:eastAsia="Arial" w:hAnsi="Arial" w:cs="Arial"/>
        </w:rPr>
        <w:t>12</w:t>
      </w:r>
      <w:r w:rsidR="00003F8E" w:rsidRPr="00003F8E">
        <w:rPr>
          <w:rFonts w:ascii="Arial" w:eastAsia="Arial" w:hAnsi="Arial" w:cs="Arial"/>
          <w:vertAlign w:val="superscript"/>
        </w:rPr>
        <w:t>th</w:t>
      </w:r>
      <w:r w:rsidR="00003F8E">
        <w:rPr>
          <w:rFonts w:ascii="Arial" w:eastAsia="Arial" w:hAnsi="Arial" w:cs="Arial"/>
        </w:rPr>
        <w:t xml:space="preserve"> June</w:t>
      </w:r>
      <w:r>
        <w:rPr>
          <w:rFonts w:ascii="Arial" w:eastAsia="Arial" w:hAnsi="Arial" w:cs="Arial"/>
        </w:rPr>
        <w:t xml:space="preserve"> 2020 and, in the circumstances surrounding COVID 19, provision was made for the question of whether there was an error of law and if so whether the decision of the </w:t>
      </w:r>
      <w:proofErr w:type="spellStart"/>
      <w:r>
        <w:rPr>
          <w:rFonts w:ascii="Arial" w:eastAsia="Arial" w:hAnsi="Arial" w:cs="Arial"/>
        </w:rPr>
        <w:t>FtT</w:t>
      </w:r>
      <w:proofErr w:type="spellEnd"/>
      <w:r>
        <w:rPr>
          <w:rFonts w:ascii="Arial" w:eastAsia="Arial" w:hAnsi="Arial" w:cs="Arial"/>
        </w:rPr>
        <w:t xml:space="preserve"> Judge should be set aside to be determined on the papers.</w:t>
      </w:r>
    </w:p>
    <w:p w14:paraId="5F726434" w14:textId="77777777" w:rsidR="003C0ED5" w:rsidRDefault="003C0ED5" w:rsidP="003C0ED5">
      <w:pPr>
        <w:pStyle w:val="ListParagraph"/>
        <w:ind w:left="1560"/>
        <w:contextualSpacing/>
        <w:jc w:val="both"/>
        <w:rPr>
          <w:rFonts w:ascii="Arial" w:eastAsia="Arial" w:hAnsi="Arial" w:cs="Arial"/>
        </w:rPr>
      </w:pPr>
    </w:p>
    <w:p w14:paraId="17FE5B81" w14:textId="0A399A69" w:rsidR="00EC1BA4" w:rsidRDefault="003C0ED5" w:rsidP="576901D2">
      <w:pPr>
        <w:pStyle w:val="ListParagraph"/>
        <w:numPr>
          <w:ilvl w:val="0"/>
          <w:numId w:val="28"/>
        </w:numPr>
        <w:contextualSpacing/>
        <w:jc w:val="both"/>
        <w:rPr>
          <w:rFonts w:ascii="Arial" w:eastAsia="Arial" w:hAnsi="Arial" w:cs="Arial"/>
        </w:rPr>
      </w:pPr>
      <w:r>
        <w:rPr>
          <w:rFonts w:ascii="Arial" w:eastAsia="Arial" w:hAnsi="Arial" w:cs="Arial"/>
        </w:rPr>
        <w:t xml:space="preserve">Both parties </w:t>
      </w:r>
      <w:r w:rsidR="00003F8E">
        <w:rPr>
          <w:rFonts w:ascii="Arial" w:eastAsia="Arial" w:hAnsi="Arial" w:cs="Arial"/>
        </w:rPr>
        <w:t xml:space="preserve">made written submissions. </w:t>
      </w:r>
      <w:r w:rsidR="00F04B1E">
        <w:rPr>
          <w:rFonts w:ascii="Arial" w:eastAsia="Arial" w:hAnsi="Arial" w:cs="Arial"/>
        </w:rPr>
        <w:t>Despite</w:t>
      </w:r>
      <w:r w:rsidR="00003F8E">
        <w:rPr>
          <w:rFonts w:ascii="Arial" w:eastAsia="Arial" w:hAnsi="Arial" w:cs="Arial"/>
        </w:rPr>
        <w:t xml:space="preserve"> being directed to state whether they objected to a decision being taken on the papers, the appellant’s </w:t>
      </w:r>
      <w:r w:rsidR="00F6035E">
        <w:rPr>
          <w:rFonts w:ascii="Arial" w:eastAsia="Arial" w:hAnsi="Arial" w:cs="Arial"/>
        </w:rPr>
        <w:t>representatives</w:t>
      </w:r>
      <w:r w:rsidR="00003F8E">
        <w:rPr>
          <w:rFonts w:ascii="Arial" w:eastAsia="Arial" w:hAnsi="Arial" w:cs="Arial"/>
        </w:rPr>
        <w:t xml:space="preserve"> did not express a view. The respondent stated she had no objection to a decision being taken on the papers.</w:t>
      </w:r>
    </w:p>
    <w:p w14:paraId="14091458" w14:textId="77777777" w:rsidR="00EC1BA4" w:rsidRPr="00EC1BA4" w:rsidRDefault="00EC1BA4" w:rsidP="00EC1BA4">
      <w:pPr>
        <w:pStyle w:val="ListParagraph"/>
        <w:rPr>
          <w:rFonts w:ascii="Arial" w:eastAsia="Arial" w:hAnsi="Arial" w:cs="Arial"/>
        </w:rPr>
      </w:pPr>
    </w:p>
    <w:p w14:paraId="18245031" w14:textId="77777777" w:rsidR="00003F8E" w:rsidRDefault="00EC1BA4" w:rsidP="576901D2">
      <w:pPr>
        <w:pStyle w:val="ListParagraph"/>
        <w:numPr>
          <w:ilvl w:val="0"/>
          <w:numId w:val="28"/>
        </w:numPr>
        <w:contextualSpacing/>
        <w:jc w:val="both"/>
        <w:rPr>
          <w:rFonts w:ascii="Arial" w:eastAsia="Arial" w:hAnsi="Arial" w:cs="Arial"/>
        </w:rPr>
      </w:pPr>
      <w:r>
        <w:rPr>
          <w:rFonts w:ascii="Arial" w:eastAsia="Arial" w:hAnsi="Arial" w:cs="Arial"/>
        </w:rPr>
        <w:t>I am satisfied that the submiss</w:t>
      </w:r>
      <w:r w:rsidR="00741899">
        <w:rPr>
          <w:rFonts w:ascii="Arial" w:eastAsia="Arial" w:hAnsi="Arial" w:cs="Arial"/>
        </w:rPr>
        <w:t>ions</w:t>
      </w:r>
      <w:r>
        <w:rPr>
          <w:rFonts w:ascii="Arial" w:eastAsia="Arial" w:hAnsi="Arial" w:cs="Arial"/>
        </w:rPr>
        <w:t xml:space="preserve"> made on behalf of the appellant and the respondent together with the papers before me</w:t>
      </w:r>
      <w:r w:rsidR="00DE21AB">
        <w:rPr>
          <w:rStyle w:val="FootnoteReference"/>
          <w:rFonts w:ascii="Arial" w:eastAsia="Arial" w:hAnsi="Arial" w:cs="Arial"/>
        </w:rPr>
        <w:footnoteReference w:id="1"/>
      </w:r>
      <w:r>
        <w:rPr>
          <w:rFonts w:ascii="Arial" w:eastAsia="Arial" w:hAnsi="Arial" w:cs="Arial"/>
        </w:rPr>
        <w:t xml:space="preserve"> are sufficient to enable me to be able to take a decision on whether there is an error of law in the decision of the </w:t>
      </w:r>
      <w:proofErr w:type="spellStart"/>
      <w:r>
        <w:rPr>
          <w:rFonts w:ascii="Arial" w:eastAsia="Arial" w:hAnsi="Arial" w:cs="Arial"/>
        </w:rPr>
        <w:t>FtT</w:t>
      </w:r>
      <w:proofErr w:type="spellEnd"/>
      <w:r>
        <w:rPr>
          <w:rFonts w:ascii="Arial" w:eastAsia="Arial" w:hAnsi="Arial" w:cs="Arial"/>
        </w:rPr>
        <w:t xml:space="preserve"> and if so whether the decision should be set aside, on the papers and without hearing oral submissions. </w:t>
      </w:r>
    </w:p>
    <w:p w14:paraId="44251CED" w14:textId="77777777" w:rsidR="00003F8E" w:rsidRPr="00003F8E" w:rsidRDefault="00003F8E" w:rsidP="00003F8E">
      <w:pPr>
        <w:pStyle w:val="ListParagraph"/>
        <w:rPr>
          <w:rFonts w:ascii="Arial" w:eastAsia="Arial" w:hAnsi="Arial" w:cs="Arial"/>
        </w:rPr>
      </w:pPr>
    </w:p>
    <w:p w14:paraId="5F2CEC0F" w14:textId="77777777" w:rsidR="00003F8E" w:rsidRDefault="00003F8E" w:rsidP="001877BD">
      <w:pPr>
        <w:pStyle w:val="ListParagraph"/>
        <w:ind w:left="1563"/>
        <w:contextualSpacing/>
        <w:jc w:val="both"/>
        <w:rPr>
          <w:rFonts w:ascii="Arial" w:eastAsia="Arial" w:hAnsi="Arial" w:cs="Arial"/>
        </w:rPr>
      </w:pPr>
      <w:proofErr w:type="spellStart"/>
      <w:r>
        <w:rPr>
          <w:rFonts w:ascii="Arial" w:eastAsia="Arial" w:hAnsi="Arial" w:cs="Arial"/>
        </w:rPr>
        <w:t>FtT</w:t>
      </w:r>
      <w:proofErr w:type="spellEnd"/>
      <w:r>
        <w:rPr>
          <w:rFonts w:ascii="Arial" w:eastAsia="Arial" w:hAnsi="Arial" w:cs="Arial"/>
        </w:rPr>
        <w:t xml:space="preserve"> Decision</w:t>
      </w:r>
    </w:p>
    <w:p w14:paraId="5968E9F8" w14:textId="77777777" w:rsidR="00003F8E" w:rsidRPr="00003F8E" w:rsidRDefault="00003F8E" w:rsidP="00003F8E">
      <w:pPr>
        <w:pStyle w:val="ListParagraph"/>
        <w:rPr>
          <w:rFonts w:ascii="Arial" w:eastAsia="Arial" w:hAnsi="Arial" w:cs="Arial"/>
        </w:rPr>
      </w:pPr>
    </w:p>
    <w:p w14:paraId="787AC189" w14:textId="294E96EB" w:rsidR="00003F8E" w:rsidRDefault="00003F8E" w:rsidP="576901D2">
      <w:pPr>
        <w:pStyle w:val="ListParagraph"/>
        <w:numPr>
          <w:ilvl w:val="0"/>
          <w:numId w:val="28"/>
        </w:numPr>
        <w:contextualSpacing/>
        <w:jc w:val="both"/>
        <w:rPr>
          <w:rFonts w:ascii="Arial" w:eastAsia="Arial" w:hAnsi="Arial" w:cs="Arial"/>
        </w:rPr>
      </w:pPr>
      <w:r>
        <w:rPr>
          <w:rFonts w:ascii="Arial" w:eastAsia="Arial" w:hAnsi="Arial" w:cs="Arial"/>
        </w:rPr>
        <w:t xml:space="preserve">ZM is an Iranian Kurd. The </w:t>
      </w:r>
      <w:proofErr w:type="spellStart"/>
      <w:r>
        <w:rPr>
          <w:rFonts w:ascii="Arial" w:eastAsia="Arial" w:hAnsi="Arial" w:cs="Arial"/>
        </w:rPr>
        <w:t>FtT</w:t>
      </w:r>
      <w:proofErr w:type="spellEnd"/>
      <w:r>
        <w:rPr>
          <w:rFonts w:ascii="Arial" w:eastAsia="Arial" w:hAnsi="Arial" w:cs="Arial"/>
        </w:rPr>
        <w:t xml:space="preserve"> judge </w:t>
      </w:r>
      <w:r w:rsidR="00F7091A">
        <w:rPr>
          <w:rFonts w:ascii="Arial" w:eastAsia="Arial" w:hAnsi="Arial" w:cs="Arial"/>
        </w:rPr>
        <w:t>accepted</w:t>
      </w:r>
      <w:r>
        <w:rPr>
          <w:rFonts w:ascii="Arial" w:eastAsia="Arial" w:hAnsi="Arial" w:cs="Arial"/>
        </w:rPr>
        <w:t xml:space="preserve"> that smuggling activities took place across the Iran/Iraq border. </w:t>
      </w:r>
      <w:r w:rsidR="001877BD">
        <w:rPr>
          <w:rFonts w:ascii="Arial" w:eastAsia="Arial" w:hAnsi="Arial" w:cs="Arial"/>
        </w:rPr>
        <w:t>She</w:t>
      </w:r>
      <w:r>
        <w:rPr>
          <w:rFonts w:ascii="Arial" w:eastAsia="Arial" w:hAnsi="Arial" w:cs="Arial"/>
        </w:rPr>
        <w:t xml:space="preserve"> identified that the question to be asked was whether the appellant took part in such smuggling activities and if so, was he intercepted by </w:t>
      </w:r>
      <w:proofErr w:type="spellStart"/>
      <w:r>
        <w:rPr>
          <w:rFonts w:ascii="Arial" w:eastAsia="Arial" w:hAnsi="Arial" w:cs="Arial"/>
        </w:rPr>
        <w:t>Etelaat</w:t>
      </w:r>
      <w:proofErr w:type="spellEnd"/>
      <w:r>
        <w:rPr>
          <w:rFonts w:ascii="Arial" w:eastAsia="Arial" w:hAnsi="Arial" w:cs="Arial"/>
        </w:rPr>
        <w:t xml:space="preserve">. The judge accepted the appellant’s account of being involved in smuggling and that he had carried illegal goods and on about four occasions, material for his friend H across the border.  </w:t>
      </w:r>
      <w:r w:rsidR="002F2E5E">
        <w:rPr>
          <w:rFonts w:ascii="Arial" w:eastAsia="Arial" w:hAnsi="Arial" w:cs="Arial"/>
        </w:rPr>
        <w:t>She</w:t>
      </w:r>
      <w:r>
        <w:rPr>
          <w:rFonts w:ascii="Arial" w:eastAsia="Arial" w:hAnsi="Arial" w:cs="Arial"/>
        </w:rPr>
        <w:t xml:space="preserve"> further found:</w:t>
      </w:r>
    </w:p>
    <w:p w14:paraId="185FAE31" w14:textId="77777777" w:rsidR="00003F8E" w:rsidRPr="00003F8E" w:rsidRDefault="00003F8E" w:rsidP="00003F8E">
      <w:pPr>
        <w:pStyle w:val="ListParagraph"/>
        <w:rPr>
          <w:rFonts w:ascii="Arial" w:eastAsia="Arial" w:hAnsi="Arial" w:cs="Arial"/>
        </w:rPr>
      </w:pPr>
    </w:p>
    <w:p w14:paraId="11C26213" w14:textId="50825473" w:rsidR="00003F8E" w:rsidRDefault="00003F8E" w:rsidP="00003F8E">
      <w:pPr>
        <w:pStyle w:val="ListParagraph"/>
        <w:numPr>
          <w:ilvl w:val="0"/>
          <w:numId w:val="37"/>
        </w:numPr>
        <w:contextualSpacing/>
        <w:jc w:val="both"/>
        <w:rPr>
          <w:rFonts w:ascii="Arial" w:eastAsia="Arial" w:hAnsi="Arial" w:cs="Arial"/>
        </w:rPr>
      </w:pPr>
      <w:r>
        <w:rPr>
          <w:rFonts w:ascii="Arial" w:eastAsia="Arial" w:hAnsi="Arial" w:cs="Arial"/>
        </w:rPr>
        <w:t xml:space="preserve">However, was he ambushed on a night in </w:t>
      </w:r>
      <w:r w:rsidR="002F2E5E">
        <w:rPr>
          <w:rFonts w:ascii="Arial" w:eastAsia="Arial" w:hAnsi="Arial" w:cs="Arial"/>
        </w:rPr>
        <w:t>A</w:t>
      </w:r>
      <w:r>
        <w:rPr>
          <w:rFonts w:ascii="Arial" w:eastAsia="Arial" w:hAnsi="Arial" w:cs="Arial"/>
        </w:rPr>
        <w:t xml:space="preserve">ugust 2015 as he claims? I do not find there is any great inconsistency in the Appellant’s claims that he was caught by the </w:t>
      </w:r>
      <w:r w:rsidR="00F71664">
        <w:rPr>
          <w:rFonts w:ascii="Arial" w:eastAsia="Arial" w:hAnsi="Arial" w:cs="Arial"/>
        </w:rPr>
        <w:t>authorities</w:t>
      </w:r>
      <w:r>
        <w:rPr>
          <w:rFonts w:ascii="Arial" w:eastAsia="Arial" w:hAnsi="Arial" w:cs="Arial"/>
        </w:rPr>
        <w:t xml:space="preserve"> and managed to escape and that he was at the end of the group and managed to run off. The fact remains that if he is credible the Iranian authorities stopped the group, so the group was ‘caught’ but as he was at the back the appellant managed to run away. I see no inconsistency in this.</w:t>
      </w:r>
    </w:p>
    <w:p w14:paraId="614A5DF3" w14:textId="08846848" w:rsidR="00003F8E" w:rsidRDefault="00003F8E" w:rsidP="00003F8E">
      <w:pPr>
        <w:pStyle w:val="ListParagraph"/>
        <w:numPr>
          <w:ilvl w:val="0"/>
          <w:numId w:val="37"/>
        </w:numPr>
        <w:contextualSpacing/>
        <w:jc w:val="both"/>
        <w:rPr>
          <w:rFonts w:ascii="Arial" w:eastAsia="Arial" w:hAnsi="Arial" w:cs="Arial"/>
        </w:rPr>
      </w:pPr>
      <w:r>
        <w:rPr>
          <w:rFonts w:ascii="Arial" w:eastAsia="Arial" w:hAnsi="Arial" w:cs="Arial"/>
        </w:rPr>
        <w:t xml:space="preserve">However what concerns me in </w:t>
      </w:r>
      <w:r w:rsidR="00611B4D">
        <w:rPr>
          <w:rFonts w:ascii="Arial" w:eastAsia="Arial" w:hAnsi="Arial" w:cs="Arial"/>
        </w:rPr>
        <w:t>relation</w:t>
      </w:r>
      <w:r>
        <w:rPr>
          <w:rFonts w:ascii="Arial" w:eastAsia="Arial" w:hAnsi="Arial" w:cs="Arial"/>
        </w:rPr>
        <w:t xml:space="preserve"> to the Appellant’s claim is that he ran to the house of his maternal uncle. There are however inconsistencies in his claims which are highlighted in the refusal letter at paragraph 49. These inconsistencies have not been addressed by the Appellant either in his evidence [or] rebuttal statement which appears at pages 11 to 13 of the Appellant’s bundle.</w:t>
      </w:r>
    </w:p>
    <w:p w14:paraId="4A3EF9D8" w14:textId="203FB309" w:rsidR="003670DB" w:rsidRDefault="002F5310" w:rsidP="00003F8E">
      <w:pPr>
        <w:pStyle w:val="ListParagraph"/>
        <w:numPr>
          <w:ilvl w:val="0"/>
          <w:numId w:val="37"/>
        </w:numPr>
        <w:contextualSpacing/>
        <w:jc w:val="both"/>
        <w:rPr>
          <w:rFonts w:ascii="Arial" w:eastAsia="Arial" w:hAnsi="Arial" w:cs="Arial"/>
        </w:rPr>
      </w:pPr>
      <w:r>
        <w:rPr>
          <w:rFonts w:ascii="Arial" w:eastAsia="Arial" w:hAnsi="Arial" w:cs="Arial"/>
        </w:rPr>
        <w:t xml:space="preserve">Further, it is the appellant’s claim that he remained at his </w:t>
      </w:r>
      <w:r w:rsidR="00E411F4">
        <w:rPr>
          <w:rFonts w:ascii="Arial" w:eastAsia="Arial" w:hAnsi="Arial" w:cs="Arial"/>
        </w:rPr>
        <w:t>uncle’s</w:t>
      </w:r>
      <w:r>
        <w:rPr>
          <w:rFonts w:ascii="Arial" w:eastAsia="Arial" w:hAnsi="Arial" w:cs="Arial"/>
        </w:rPr>
        <w:t xml:space="preserve"> house for five days before leaving Iran. (Question 100 AIR) given that the Iranian forces are well-organised I am satisfied </w:t>
      </w:r>
      <w:r w:rsidR="00D70FBF">
        <w:rPr>
          <w:rFonts w:ascii="Arial" w:eastAsia="Arial" w:hAnsi="Arial" w:cs="Arial"/>
        </w:rPr>
        <w:t>that there</w:t>
      </w:r>
      <w:r>
        <w:rPr>
          <w:rFonts w:ascii="Arial" w:eastAsia="Arial" w:hAnsi="Arial" w:cs="Arial"/>
        </w:rPr>
        <w:t xml:space="preserve"> is a reasonable likelihood they would have been able to trace the Appellant to his uncle’s </w:t>
      </w:r>
      <w:r>
        <w:rPr>
          <w:rFonts w:ascii="Arial" w:eastAsia="Arial" w:hAnsi="Arial" w:cs="Arial"/>
        </w:rPr>
        <w:lastRenderedPageBreak/>
        <w:t>home within that period of five days</w:t>
      </w:r>
      <w:r w:rsidR="003670DB">
        <w:rPr>
          <w:rFonts w:ascii="Arial" w:eastAsia="Arial" w:hAnsi="Arial" w:cs="Arial"/>
        </w:rPr>
        <w:t xml:space="preserve">. The fact that they did not do so leads me to find that the Appellant’s claims are not credible. </w:t>
      </w:r>
    </w:p>
    <w:p w14:paraId="03CCFA59" w14:textId="7F955261" w:rsidR="00526523" w:rsidRDefault="003670DB" w:rsidP="00003F8E">
      <w:pPr>
        <w:pStyle w:val="ListParagraph"/>
        <w:numPr>
          <w:ilvl w:val="0"/>
          <w:numId w:val="37"/>
        </w:numPr>
        <w:contextualSpacing/>
        <w:jc w:val="both"/>
        <w:rPr>
          <w:rFonts w:ascii="Arial" w:eastAsia="Arial" w:hAnsi="Arial" w:cs="Arial"/>
        </w:rPr>
      </w:pPr>
      <w:r>
        <w:rPr>
          <w:rFonts w:ascii="Arial" w:eastAsia="Arial" w:hAnsi="Arial" w:cs="Arial"/>
        </w:rPr>
        <w:t xml:space="preserve">Further the Appellant claims that the </w:t>
      </w:r>
      <w:r w:rsidR="008628DD">
        <w:rPr>
          <w:rFonts w:ascii="Arial" w:eastAsia="Arial" w:hAnsi="Arial" w:cs="Arial"/>
        </w:rPr>
        <w:t>authorities</w:t>
      </w:r>
      <w:r>
        <w:rPr>
          <w:rFonts w:ascii="Arial" w:eastAsia="Arial" w:hAnsi="Arial" w:cs="Arial"/>
        </w:rPr>
        <w:t xml:space="preserve"> visited his home but, at question</w:t>
      </w:r>
      <w:r w:rsidR="00526523">
        <w:rPr>
          <w:rFonts w:ascii="Arial" w:eastAsia="Arial" w:hAnsi="Arial" w:cs="Arial"/>
        </w:rPr>
        <w:t xml:space="preserve">s 95 of the AIR, none of his family were arrested. The Appellant then goes on in the AIR to suggest that his uncle had not talked to him about arrest. However, the Appellant was clear in his first answer. I am satisfied that had the </w:t>
      </w:r>
      <w:r w:rsidR="00195966">
        <w:rPr>
          <w:rFonts w:ascii="Arial" w:eastAsia="Arial" w:hAnsi="Arial" w:cs="Arial"/>
        </w:rPr>
        <w:t>authorities</w:t>
      </w:r>
      <w:r w:rsidR="00526523">
        <w:rPr>
          <w:rFonts w:ascii="Arial" w:eastAsia="Arial" w:hAnsi="Arial" w:cs="Arial"/>
        </w:rPr>
        <w:t xml:space="preserve"> been looking for the Appellant as he claims, then it is reasonably likely that his father would have been detained by the authorities and questioned </w:t>
      </w:r>
      <w:r w:rsidR="007841D5">
        <w:rPr>
          <w:rFonts w:ascii="Arial" w:eastAsia="Arial" w:hAnsi="Arial" w:cs="Arial"/>
        </w:rPr>
        <w:t>as to</w:t>
      </w:r>
      <w:r w:rsidR="00526523">
        <w:rPr>
          <w:rFonts w:ascii="Arial" w:eastAsia="Arial" w:hAnsi="Arial" w:cs="Arial"/>
        </w:rPr>
        <w:t xml:space="preserve"> the Appellant’s whereabouts.</w:t>
      </w:r>
    </w:p>
    <w:p w14:paraId="2FAD2489" w14:textId="06D1E87C" w:rsidR="001C46ED" w:rsidRDefault="00526523" w:rsidP="00003F8E">
      <w:pPr>
        <w:pStyle w:val="ListParagraph"/>
        <w:numPr>
          <w:ilvl w:val="0"/>
          <w:numId w:val="37"/>
        </w:numPr>
        <w:contextualSpacing/>
        <w:jc w:val="both"/>
        <w:rPr>
          <w:rFonts w:ascii="Arial" w:eastAsia="Arial" w:hAnsi="Arial" w:cs="Arial"/>
        </w:rPr>
      </w:pPr>
      <w:r>
        <w:rPr>
          <w:rFonts w:ascii="Arial" w:eastAsia="Arial" w:hAnsi="Arial" w:cs="Arial"/>
        </w:rPr>
        <w:t xml:space="preserve">The Appellant also told me in evidence that it was his uncle who paid for his journey to the United Kingdom. I asked him what his uncle did, and he told me that he was a </w:t>
      </w:r>
      <w:r w:rsidR="00FC20B0">
        <w:rPr>
          <w:rFonts w:ascii="Arial" w:eastAsia="Arial" w:hAnsi="Arial" w:cs="Arial"/>
        </w:rPr>
        <w:t>shepherd</w:t>
      </w:r>
      <w:r>
        <w:rPr>
          <w:rFonts w:ascii="Arial" w:eastAsia="Arial" w:hAnsi="Arial" w:cs="Arial"/>
        </w:rPr>
        <w:t xml:space="preserve"> who herds sheep. He also said that his uncle had ‘a high standard of living’. The Appellant did not know how much his journey to the United Kingdom cost</w:t>
      </w:r>
      <w:r w:rsidR="001C46ED">
        <w:rPr>
          <w:rFonts w:ascii="Arial" w:eastAsia="Arial" w:hAnsi="Arial" w:cs="Arial"/>
        </w:rPr>
        <w:t xml:space="preserve"> but based on the evidence as to his uncle’s means – he was a shepherd who herded sheep, I am satisfied there is no reasonable likelihood the Appellant’s uncle would have been able to arrange funds within such a short period of time to allow for the Appellant’s flight from Iran.</w:t>
      </w:r>
    </w:p>
    <w:p w14:paraId="5E8022E7" w14:textId="107A2E6A" w:rsidR="001C4122" w:rsidRDefault="001C53E2" w:rsidP="00003F8E">
      <w:pPr>
        <w:pStyle w:val="ListParagraph"/>
        <w:numPr>
          <w:ilvl w:val="0"/>
          <w:numId w:val="37"/>
        </w:numPr>
        <w:contextualSpacing/>
        <w:jc w:val="both"/>
        <w:rPr>
          <w:rFonts w:ascii="Arial" w:eastAsia="Arial" w:hAnsi="Arial" w:cs="Arial"/>
        </w:rPr>
      </w:pPr>
      <w:r>
        <w:rPr>
          <w:rFonts w:ascii="Arial" w:eastAsia="Arial" w:hAnsi="Arial" w:cs="Arial"/>
        </w:rPr>
        <w:t xml:space="preserve">In addition to this the </w:t>
      </w:r>
      <w:r w:rsidR="0002290D">
        <w:rPr>
          <w:rFonts w:ascii="Arial" w:eastAsia="Arial" w:hAnsi="Arial" w:cs="Arial"/>
        </w:rPr>
        <w:t>A</w:t>
      </w:r>
      <w:r>
        <w:rPr>
          <w:rFonts w:ascii="Arial" w:eastAsia="Arial" w:hAnsi="Arial" w:cs="Arial"/>
        </w:rPr>
        <w:t xml:space="preserve">ppellant claims he has had </w:t>
      </w:r>
      <w:r w:rsidR="00331EF3">
        <w:rPr>
          <w:rFonts w:ascii="Arial" w:eastAsia="Arial" w:hAnsi="Arial" w:cs="Arial"/>
        </w:rPr>
        <w:t>no contact</w:t>
      </w:r>
      <w:r>
        <w:rPr>
          <w:rFonts w:ascii="Arial" w:eastAsia="Arial" w:hAnsi="Arial" w:cs="Arial"/>
        </w:rPr>
        <w:t xml:space="preserve"> at all with any members of </w:t>
      </w:r>
      <w:r w:rsidR="00FC5ADA">
        <w:rPr>
          <w:rFonts w:ascii="Arial" w:eastAsia="Arial" w:hAnsi="Arial" w:cs="Arial"/>
        </w:rPr>
        <w:t>his</w:t>
      </w:r>
      <w:r>
        <w:rPr>
          <w:rFonts w:ascii="Arial" w:eastAsia="Arial" w:hAnsi="Arial" w:cs="Arial"/>
        </w:rPr>
        <w:t xml:space="preserve"> family since he left Iran. Once again, I consider that there is a reasonable likelihood that, having spent a considerable amount of money to send the Appellant to the United Kingdom, his uncle would wish to know of his safe arrival. The Appellant thought his uncle would obtain the information from the agent but, of course, the agent could have told his uncle anything. I am satisfied there is a reasonable likelihood he would have wanted to hear </w:t>
      </w:r>
      <w:r w:rsidR="001C4122">
        <w:rPr>
          <w:rFonts w:ascii="Arial" w:eastAsia="Arial" w:hAnsi="Arial" w:cs="Arial"/>
        </w:rPr>
        <w:t xml:space="preserve">direct </w:t>
      </w:r>
      <w:r>
        <w:rPr>
          <w:rFonts w:ascii="Arial" w:eastAsia="Arial" w:hAnsi="Arial" w:cs="Arial"/>
        </w:rPr>
        <w:t xml:space="preserve">from the Appellant </w:t>
      </w:r>
      <w:r w:rsidR="001C4122">
        <w:rPr>
          <w:rFonts w:ascii="Arial" w:eastAsia="Arial" w:hAnsi="Arial" w:cs="Arial"/>
        </w:rPr>
        <w:t>as to his safe arrival.</w:t>
      </w:r>
    </w:p>
    <w:p w14:paraId="4781EAD8" w14:textId="77777777" w:rsidR="00BA0896" w:rsidRDefault="001C4122" w:rsidP="00003F8E">
      <w:pPr>
        <w:pStyle w:val="ListParagraph"/>
        <w:numPr>
          <w:ilvl w:val="0"/>
          <w:numId w:val="37"/>
        </w:numPr>
        <w:contextualSpacing/>
        <w:jc w:val="both"/>
        <w:rPr>
          <w:rFonts w:ascii="Arial" w:eastAsia="Arial" w:hAnsi="Arial" w:cs="Arial"/>
        </w:rPr>
      </w:pPr>
      <w:r>
        <w:rPr>
          <w:rFonts w:ascii="Arial" w:eastAsia="Arial" w:hAnsi="Arial" w:cs="Arial"/>
        </w:rPr>
        <w:t xml:space="preserve">All this leads me to find that even if the Appellant’s occupation in Iran was a smuggler he had not been intercepted and was wanted by the Iranian authorities. </w:t>
      </w:r>
    </w:p>
    <w:p w14:paraId="1E39F492" w14:textId="74D2C8E8" w:rsidR="00EC515A" w:rsidRDefault="00C720DB" w:rsidP="00003F8E">
      <w:pPr>
        <w:pStyle w:val="ListParagraph"/>
        <w:numPr>
          <w:ilvl w:val="0"/>
          <w:numId w:val="37"/>
        </w:numPr>
        <w:contextualSpacing/>
        <w:jc w:val="both"/>
        <w:rPr>
          <w:rFonts w:ascii="Arial" w:eastAsia="Arial" w:hAnsi="Arial" w:cs="Arial"/>
        </w:rPr>
      </w:pPr>
      <w:r>
        <w:rPr>
          <w:rFonts w:ascii="Arial" w:eastAsia="Arial" w:hAnsi="Arial" w:cs="Arial"/>
        </w:rPr>
        <w:t xml:space="preserve">Further I do not find </w:t>
      </w:r>
      <w:r w:rsidR="00606606">
        <w:rPr>
          <w:rFonts w:ascii="Arial" w:eastAsia="Arial" w:hAnsi="Arial" w:cs="Arial"/>
        </w:rPr>
        <w:t xml:space="preserve">that the Iranian authorities will consider that the </w:t>
      </w:r>
      <w:r w:rsidR="00156872">
        <w:rPr>
          <w:rFonts w:ascii="Arial" w:eastAsia="Arial" w:hAnsi="Arial" w:cs="Arial"/>
        </w:rPr>
        <w:t>Appellant</w:t>
      </w:r>
      <w:r w:rsidR="00606606">
        <w:rPr>
          <w:rFonts w:ascii="Arial" w:eastAsia="Arial" w:hAnsi="Arial" w:cs="Arial"/>
        </w:rPr>
        <w:t xml:space="preserve"> has any political profile on return to Iran. I accept that at question 62 of the AIR he claims he </w:t>
      </w:r>
      <w:r w:rsidR="00CA4F17">
        <w:rPr>
          <w:rFonts w:ascii="Arial" w:eastAsia="Arial" w:hAnsi="Arial" w:cs="Arial"/>
        </w:rPr>
        <w:t>discussed the</w:t>
      </w:r>
      <w:r w:rsidR="00606606">
        <w:rPr>
          <w:rFonts w:ascii="Arial" w:eastAsia="Arial" w:hAnsi="Arial" w:cs="Arial"/>
        </w:rPr>
        <w:t xml:space="preserve"> regime with H</w:t>
      </w:r>
      <w:r w:rsidR="002C1271">
        <w:rPr>
          <w:rFonts w:ascii="Arial" w:eastAsia="Arial" w:hAnsi="Arial" w:cs="Arial"/>
        </w:rPr>
        <w:t>…. At</w:t>
      </w:r>
      <w:r w:rsidR="00EC515A">
        <w:rPr>
          <w:rFonts w:ascii="Arial" w:eastAsia="Arial" w:hAnsi="Arial" w:cs="Arial"/>
        </w:rPr>
        <w:t xml:space="preserve"> question 63 the Appellant confirms that he a snot a supporter if any political </w:t>
      </w:r>
      <w:r w:rsidR="003B4A63">
        <w:rPr>
          <w:rFonts w:ascii="Arial" w:eastAsia="Arial" w:hAnsi="Arial" w:cs="Arial"/>
        </w:rPr>
        <w:t>party</w:t>
      </w:r>
      <w:r w:rsidR="00EC515A">
        <w:rPr>
          <w:rFonts w:ascii="Arial" w:eastAsia="Arial" w:hAnsi="Arial" w:cs="Arial"/>
        </w:rPr>
        <w:t xml:space="preserve"> in Iran: ‘No I had only known Mr H’.</w:t>
      </w:r>
    </w:p>
    <w:p w14:paraId="003F1CCD" w14:textId="27173893" w:rsidR="00EC515A" w:rsidRPr="00764D1A" w:rsidRDefault="00764D1A" w:rsidP="00764D1A">
      <w:pPr>
        <w:ind w:left="1701"/>
        <w:contextualSpacing/>
        <w:jc w:val="both"/>
        <w:rPr>
          <w:rFonts w:ascii="Arial" w:eastAsia="Arial" w:hAnsi="Arial" w:cs="Arial"/>
        </w:rPr>
      </w:pPr>
      <w:r>
        <w:rPr>
          <w:rFonts w:ascii="Arial" w:eastAsia="Arial" w:hAnsi="Arial" w:cs="Arial"/>
        </w:rPr>
        <w:t>…</w:t>
      </w:r>
    </w:p>
    <w:p w14:paraId="57075015" w14:textId="616897AF" w:rsidR="00557B6C" w:rsidRDefault="00557B6C" w:rsidP="00557B6C">
      <w:pPr>
        <w:pStyle w:val="ListParagraph"/>
        <w:numPr>
          <w:ilvl w:val="0"/>
          <w:numId w:val="38"/>
        </w:numPr>
        <w:contextualSpacing/>
        <w:jc w:val="both"/>
        <w:rPr>
          <w:rFonts w:ascii="Arial" w:eastAsia="Arial" w:hAnsi="Arial" w:cs="Arial"/>
        </w:rPr>
      </w:pPr>
      <w:r>
        <w:rPr>
          <w:rFonts w:ascii="Arial" w:eastAsia="Arial" w:hAnsi="Arial" w:cs="Arial"/>
        </w:rPr>
        <w:t xml:space="preserve">I am </w:t>
      </w:r>
      <w:r w:rsidR="001B6C3A">
        <w:rPr>
          <w:rFonts w:ascii="Arial" w:eastAsia="Arial" w:hAnsi="Arial" w:cs="Arial"/>
        </w:rPr>
        <w:t>aware</w:t>
      </w:r>
      <w:r>
        <w:rPr>
          <w:rFonts w:ascii="Arial" w:eastAsia="Arial" w:hAnsi="Arial" w:cs="Arial"/>
        </w:rPr>
        <w:t xml:space="preserve"> of the guidance in HB (Kurds) Iran CG [2018] UKUT 430 (IAC). I note at paragraph 71(x) the Iranian </w:t>
      </w:r>
      <w:r w:rsidR="00E22822">
        <w:rPr>
          <w:rFonts w:ascii="Arial" w:eastAsia="Arial" w:hAnsi="Arial" w:cs="Arial"/>
        </w:rPr>
        <w:t>authorities</w:t>
      </w:r>
      <w:r>
        <w:rPr>
          <w:rFonts w:ascii="Arial" w:eastAsia="Arial" w:hAnsi="Arial" w:cs="Arial"/>
        </w:rPr>
        <w:t xml:space="preserve"> demonstrate what can only be described as a ‘hair trigger’ approach to those suspected or perceived to be involved in Kurdish political activities or support for Kurdish rights. This means </w:t>
      </w:r>
      <w:r w:rsidR="00B55BE1">
        <w:rPr>
          <w:rFonts w:ascii="Arial" w:eastAsia="Arial" w:hAnsi="Arial" w:cs="Arial"/>
        </w:rPr>
        <w:t>that</w:t>
      </w:r>
      <w:r>
        <w:rPr>
          <w:rFonts w:ascii="Arial" w:eastAsia="Arial" w:hAnsi="Arial" w:cs="Arial"/>
        </w:rPr>
        <w:t xml:space="preserve"> </w:t>
      </w:r>
      <w:r w:rsidR="004D0789">
        <w:rPr>
          <w:rFonts w:ascii="Arial" w:eastAsia="Arial" w:hAnsi="Arial" w:cs="Arial"/>
        </w:rPr>
        <w:t>the</w:t>
      </w:r>
      <w:r>
        <w:rPr>
          <w:rFonts w:ascii="Arial" w:eastAsia="Arial" w:hAnsi="Arial" w:cs="Arial"/>
        </w:rPr>
        <w:t xml:space="preserve"> threshold for suspicion is low and the reaction of the authorities is </w:t>
      </w:r>
      <w:r w:rsidR="003273BA">
        <w:rPr>
          <w:rFonts w:ascii="Arial" w:eastAsia="Arial" w:hAnsi="Arial" w:cs="Arial"/>
        </w:rPr>
        <w:t>likely</w:t>
      </w:r>
      <w:r>
        <w:rPr>
          <w:rFonts w:ascii="Arial" w:eastAsia="Arial" w:hAnsi="Arial" w:cs="Arial"/>
        </w:rPr>
        <w:t xml:space="preserve"> to be extreme.</w:t>
      </w:r>
    </w:p>
    <w:p w14:paraId="217CF666" w14:textId="77777777" w:rsidR="00883632" w:rsidRDefault="00557B6C" w:rsidP="00557B6C">
      <w:pPr>
        <w:pStyle w:val="ListParagraph"/>
        <w:numPr>
          <w:ilvl w:val="0"/>
          <w:numId w:val="38"/>
        </w:numPr>
        <w:contextualSpacing/>
        <w:jc w:val="both"/>
        <w:rPr>
          <w:rFonts w:ascii="Arial" w:eastAsia="Arial" w:hAnsi="Arial" w:cs="Arial"/>
        </w:rPr>
      </w:pPr>
      <w:r>
        <w:rPr>
          <w:rFonts w:ascii="Arial" w:eastAsia="Arial" w:hAnsi="Arial" w:cs="Arial"/>
        </w:rPr>
        <w:t>I accept, as did the respondent</w:t>
      </w:r>
      <w:r w:rsidR="000346B4">
        <w:rPr>
          <w:rFonts w:ascii="Arial" w:eastAsia="Arial" w:hAnsi="Arial" w:cs="Arial"/>
        </w:rPr>
        <w:t xml:space="preserve">, that the Appellant is a Kurd. I do not accept his reasons for leaving Iran I accept he would be scrutinised very carefully </w:t>
      </w:r>
      <w:r w:rsidR="00D06DBC">
        <w:rPr>
          <w:rFonts w:ascii="Arial" w:eastAsia="Arial" w:hAnsi="Arial" w:cs="Arial"/>
        </w:rPr>
        <w:t xml:space="preserve">by the authorities on return to Iran but for the reasons I have given above, I do not find that the appellant has proved, even to the lower standard that he faces a risk of harm </w:t>
      </w:r>
      <w:r w:rsidR="00883632">
        <w:rPr>
          <w:rFonts w:ascii="Arial" w:eastAsia="Arial" w:hAnsi="Arial" w:cs="Arial"/>
        </w:rPr>
        <w:t>in Iran.</w:t>
      </w:r>
    </w:p>
    <w:p w14:paraId="21BC9BFE" w14:textId="77777777" w:rsidR="007A47DD" w:rsidRDefault="007A47DD" w:rsidP="008F7788">
      <w:pPr>
        <w:pStyle w:val="ListParagraph"/>
        <w:ind w:left="1563"/>
        <w:contextualSpacing/>
        <w:jc w:val="both"/>
        <w:rPr>
          <w:rFonts w:ascii="Arial" w:eastAsia="Arial" w:hAnsi="Arial" w:cs="Arial"/>
        </w:rPr>
      </w:pPr>
    </w:p>
    <w:p w14:paraId="6827C95D" w14:textId="77777777" w:rsidR="007A47DD" w:rsidRDefault="007A47DD" w:rsidP="008F7788">
      <w:pPr>
        <w:pStyle w:val="ListParagraph"/>
        <w:ind w:left="1563"/>
        <w:contextualSpacing/>
        <w:jc w:val="both"/>
        <w:rPr>
          <w:rFonts w:ascii="Arial" w:eastAsia="Arial" w:hAnsi="Arial" w:cs="Arial"/>
        </w:rPr>
      </w:pPr>
    </w:p>
    <w:p w14:paraId="1122DF11" w14:textId="77777777" w:rsidR="007A47DD" w:rsidRDefault="007A47DD" w:rsidP="008F7788">
      <w:pPr>
        <w:pStyle w:val="ListParagraph"/>
        <w:ind w:left="1563"/>
        <w:contextualSpacing/>
        <w:jc w:val="both"/>
        <w:rPr>
          <w:rFonts w:ascii="Arial" w:eastAsia="Arial" w:hAnsi="Arial" w:cs="Arial"/>
        </w:rPr>
      </w:pPr>
    </w:p>
    <w:p w14:paraId="4A43ED5A" w14:textId="77777777" w:rsidR="007A47DD" w:rsidRDefault="007A47DD" w:rsidP="008F7788">
      <w:pPr>
        <w:pStyle w:val="ListParagraph"/>
        <w:ind w:left="1563"/>
        <w:contextualSpacing/>
        <w:jc w:val="both"/>
        <w:rPr>
          <w:rFonts w:ascii="Arial" w:eastAsia="Arial" w:hAnsi="Arial" w:cs="Arial"/>
        </w:rPr>
      </w:pPr>
    </w:p>
    <w:p w14:paraId="264BB1DC" w14:textId="77777777" w:rsidR="007A47DD" w:rsidRDefault="007A47DD" w:rsidP="008F7788">
      <w:pPr>
        <w:pStyle w:val="ListParagraph"/>
        <w:ind w:left="1563"/>
        <w:contextualSpacing/>
        <w:jc w:val="both"/>
        <w:rPr>
          <w:rFonts w:ascii="Arial" w:eastAsia="Arial" w:hAnsi="Arial" w:cs="Arial"/>
        </w:rPr>
      </w:pPr>
    </w:p>
    <w:p w14:paraId="7620D38D" w14:textId="2AF579BB" w:rsidR="008F7788" w:rsidRDefault="008F7788" w:rsidP="008F7788">
      <w:pPr>
        <w:pStyle w:val="ListParagraph"/>
        <w:ind w:left="1563"/>
        <w:contextualSpacing/>
        <w:jc w:val="both"/>
        <w:rPr>
          <w:rFonts w:ascii="Arial" w:eastAsia="Arial" w:hAnsi="Arial" w:cs="Arial"/>
        </w:rPr>
      </w:pPr>
      <w:r>
        <w:rPr>
          <w:rFonts w:ascii="Arial" w:eastAsia="Arial" w:hAnsi="Arial" w:cs="Arial"/>
        </w:rPr>
        <w:t>Error of law</w:t>
      </w:r>
    </w:p>
    <w:p w14:paraId="6D43EE61" w14:textId="6110A72E" w:rsidR="008F7788" w:rsidRDefault="008F7788" w:rsidP="008F7788">
      <w:pPr>
        <w:pStyle w:val="ListParagraph"/>
        <w:ind w:left="1563"/>
        <w:contextualSpacing/>
        <w:jc w:val="both"/>
        <w:rPr>
          <w:rFonts w:ascii="Arial" w:eastAsia="Arial" w:hAnsi="Arial" w:cs="Arial"/>
        </w:rPr>
      </w:pPr>
    </w:p>
    <w:p w14:paraId="56EA6DBF" w14:textId="49776B4B" w:rsidR="00A12266" w:rsidRDefault="00A12266" w:rsidP="008F7788">
      <w:pPr>
        <w:pStyle w:val="ListParagraph"/>
        <w:ind w:left="1563"/>
        <w:contextualSpacing/>
        <w:jc w:val="both"/>
        <w:rPr>
          <w:rFonts w:ascii="Arial" w:eastAsia="Arial" w:hAnsi="Arial" w:cs="Arial"/>
        </w:rPr>
      </w:pPr>
      <w:r>
        <w:rPr>
          <w:rFonts w:ascii="Arial" w:eastAsia="Arial" w:hAnsi="Arial" w:cs="Arial"/>
        </w:rPr>
        <w:t>Ground 1</w:t>
      </w:r>
    </w:p>
    <w:p w14:paraId="055C048D" w14:textId="77777777" w:rsidR="00A12266" w:rsidRDefault="00A12266" w:rsidP="008F7788">
      <w:pPr>
        <w:pStyle w:val="ListParagraph"/>
        <w:ind w:left="1563"/>
        <w:contextualSpacing/>
        <w:jc w:val="both"/>
        <w:rPr>
          <w:rFonts w:ascii="Arial" w:eastAsia="Arial" w:hAnsi="Arial" w:cs="Arial"/>
        </w:rPr>
      </w:pPr>
    </w:p>
    <w:p w14:paraId="36EE912D" w14:textId="7F9AE19A" w:rsidR="00720051" w:rsidRDefault="008F7788" w:rsidP="00883632">
      <w:pPr>
        <w:pStyle w:val="ListParagraph"/>
        <w:numPr>
          <w:ilvl w:val="0"/>
          <w:numId w:val="28"/>
        </w:numPr>
        <w:contextualSpacing/>
        <w:jc w:val="both"/>
        <w:rPr>
          <w:rFonts w:ascii="Arial" w:eastAsia="Arial" w:hAnsi="Arial" w:cs="Arial"/>
        </w:rPr>
      </w:pPr>
      <w:r>
        <w:rPr>
          <w:rFonts w:ascii="Arial" w:eastAsia="Arial" w:hAnsi="Arial" w:cs="Arial"/>
        </w:rPr>
        <w:t>The appellant submits th</w:t>
      </w:r>
      <w:r w:rsidR="00F42D47">
        <w:rPr>
          <w:rFonts w:ascii="Arial" w:eastAsia="Arial" w:hAnsi="Arial" w:cs="Arial"/>
        </w:rPr>
        <w:t xml:space="preserve">e </w:t>
      </w:r>
      <w:proofErr w:type="spellStart"/>
      <w:r w:rsidR="00F42D47">
        <w:rPr>
          <w:rFonts w:ascii="Arial" w:eastAsia="Arial" w:hAnsi="Arial" w:cs="Arial"/>
        </w:rPr>
        <w:t>FtT</w:t>
      </w:r>
      <w:proofErr w:type="spellEnd"/>
      <w:r w:rsidR="00F42D47">
        <w:rPr>
          <w:rFonts w:ascii="Arial" w:eastAsia="Arial" w:hAnsi="Arial" w:cs="Arial"/>
        </w:rPr>
        <w:t xml:space="preserve"> Judge incorrectly </w:t>
      </w:r>
      <w:r w:rsidR="00D05D0E">
        <w:rPr>
          <w:rFonts w:ascii="Arial" w:eastAsia="Arial" w:hAnsi="Arial" w:cs="Arial"/>
        </w:rPr>
        <w:t>raised</w:t>
      </w:r>
      <w:r w:rsidR="00346650">
        <w:rPr>
          <w:rFonts w:ascii="Arial" w:eastAsia="Arial" w:hAnsi="Arial" w:cs="Arial"/>
        </w:rPr>
        <w:t xml:space="preserve"> the burden upon the appellant as </w:t>
      </w:r>
      <w:r w:rsidR="00B369B3">
        <w:rPr>
          <w:rFonts w:ascii="Arial" w:eastAsia="Arial" w:hAnsi="Arial" w:cs="Arial"/>
        </w:rPr>
        <w:t>requiring</w:t>
      </w:r>
      <w:r w:rsidR="00346650">
        <w:rPr>
          <w:rFonts w:ascii="Arial" w:eastAsia="Arial" w:hAnsi="Arial" w:cs="Arial"/>
        </w:rPr>
        <w:t xml:space="preserve"> a political profile contrary to HB(Iran</w:t>
      </w:r>
      <w:r w:rsidR="006E4A09">
        <w:rPr>
          <w:rFonts w:ascii="Arial" w:eastAsia="Arial" w:hAnsi="Arial" w:cs="Arial"/>
        </w:rPr>
        <w:t>);</w:t>
      </w:r>
      <w:r w:rsidR="00144F27">
        <w:rPr>
          <w:rFonts w:ascii="Arial" w:eastAsia="Arial" w:hAnsi="Arial" w:cs="Arial"/>
        </w:rPr>
        <w:t xml:space="preserve"> submitting that </w:t>
      </w:r>
      <w:r w:rsidR="00EC046B">
        <w:rPr>
          <w:rFonts w:ascii="Arial" w:eastAsia="Arial" w:hAnsi="Arial" w:cs="Arial"/>
        </w:rPr>
        <w:t xml:space="preserve">“merely speaking out for Kurdish rights or even charitable events” was </w:t>
      </w:r>
      <w:proofErr w:type="gramStart"/>
      <w:r w:rsidR="00EC046B">
        <w:rPr>
          <w:rFonts w:ascii="Arial" w:eastAsia="Arial" w:hAnsi="Arial" w:cs="Arial"/>
        </w:rPr>
        <w:t>sufficient</w:t>
      </w:r>
      <w:proofErr w:type="gramEnd"/>
      <w:r w:rsidR="00EC046B">
        <w:rPr>
          <w:rFonts w:ascii="Arial" w:eastAsia="Arial" w:hAnsi="Arial" w:cs="Arial"/>
        </w:rPr>
        <w:t xml:space="preserve"> given the ‘hair-trigger’ approach of the Iranian </w:t>
      </w:r>
      <w:r w:rsidR="00FF781D">
        <w:rPr>
          <w:rFonts w:ascii="Arial" w:eastAsia="Arial" w:hAnsi="Arial" w:cs="Arial"/>
        </w:rPr>
        <w:t>authorities</w:t>
      </w:r>
      <w:r w:rsidR="00EC046B">
        <w:rPr>
          <w:rFonts w:ascii="Arial" w:eastAsia="Arial" w:hAnsi="Arial" w:cs="Arial"/>
        </w:rPr>
        <w:t>.</w:t>
      </w:r>
      <w:r w:rsidR="00CF3E98">
        <w:rPr>
          <w:rFonts w:ascii="Arial" w:eastAsia="Arial" w:hAnsi="Arial" w:cs="Arial"/>
        </w:rPr>
        <w:t xml:space="preserve"> </w:t>
      </w:r>
      <w:r w:rsidR="00720051">
        <w:rPr>
          <w:rFonts w:ascii="Arial" w:eastAsia="Arial" w:hAnsi="Arial" w:cs="Arial"/>
        </w:rPr>
        <w:t xml:space="preserve">The appellant submitted that the judge failed to consider whether there was a </w:t>
      </w:r>
      <w:r w:rsidR="00D268D7">
        <w:rPr>
          <w:rFonts w:ascii="Arial" w:eastAsia="Arial" w:hAnsi="Arial" w:cs="Arial"/>
        </w:rPr>
        <w:t>reasonable</w:t>
      </w:r>
      <w:r w:rsidR="00720051">
        <w:rPr>
          <w:rFonts w:ascii="Arial" w:eastAsia="Arial" w:hAnsi="Arial" w:cs="Arial"/>
        </w:rPr>
        <w:t xml:space="preserve"> likelihood that under scrutiny the appellant would disclose matters that would cross the threshold. </w:t>
      </w:r>
    </w:p>
    <w:p w14:paraId="312643F0" w14:textId="77777777" w:rsidR="005B35F3" w:rsidRDefault="005B35F3" w:rsidP="005B35F3">
      <w:pPr>
        <w:pStyle w:val="ListParagraph"/>
        <w:ind w:left="1563"/>
        <w:contextualSpacing/>
        <w:jc w:val="both"/>
        <w:rPr>
          <w:rFonts w:ascii="Arial" w:eastAsia="Arial" w:hAnsi="Arial" w:cs="Arial"/>
        </w:rPr>
      </w:pPr>
    </w:p>
    <w:p w14:paraId="0E6B2930" w14:textId="6C317723" w:rsidR="00DC26A7" w:rsidRDefault="005B35F3" w:rsidP="00883632">
      <w:pPr>
        <w:pStyle w:val="ListParagraph"/>
        <w:numPr>
          <w:ilvl w:val="0"/>
          <w:numId w:val="28"/>
        </w:numPr>
        <w:contextualSpacing/>
        <w:jc w:val="both"/>
        <w:rPr>
          <w:rFonts w:ascii="Arial" w:eastAsia="Arial" w:hAnsi="Arial" w:cs="Arial"/>
        </w:rPr>
      </w:pPr>
      <w:r>
        <w:rPr>
          <w:rFonts w:ascii="Arial" w:eastAsia="Arial" w:hAnsi="Arial" w:cs="Arial"/>
        </w:rPr>
        <w:t>The appellant’s evidence was that he was not a supporter of any political party. H</w:t>
      </w:r>
      <w:r w:rsidR="00D370B0">
        <w:rPr>
          <w:rFonts w:ascii="Arial" w:eastAsia="Arial" w:hAnsi="Arial" w:cs="Arial"/>
        </w:rPr>
        <w:t>is evidence of conversations with H</w:t>
      </w:r>
      <w:bookmarkStart w:id="0" w:name="_GoBack"/>
      <w:bookmarkEnd w:id="0"/>
      <w:r w:rsidR="00D370B0">
        <w:rPr>
          <w:rFonts w:ascii="Arial" w:eastAsia="Arial" w:hAnsi="Arial" w:cs="Arial"/>
        </w:rPr>
        <w:t xml:space="preserve"> was limited; there was no evidence that </w:t>
      </w:r>
      <w:r w:rsidR="00967E53">
        <w:rPr>
          <w:rFonts w:ascii="Arial" w:eastAsia="Arial" w:hAnsi="Arial" w:cs="Arial"/>
        </w:rPr>
        <w:t>H</w:t>
      </w:r>
      <w:r w:rsidR="00D370B0">
        <w:rPr>
          <w:rFonts w:ascii="Arial" w:eastAsia="Arial" w:hAnsi="Arial" w:cs="Arial"/>
        </w:rPr>
        <w:t xml:space="preserve"> was known to the Iranian </w:t>
      </w:r>
      <w:r w:rsidR="00192676">
        <w:rPr>
          <w:rFonts w:ascii="Arial" w:eastAsia="Arial" w:hAnsi="Arial" w:cs="Arial"/>
        </w:rPr>
        <w:t>authorities</w:t>
      </w:r>
      <w:r w:rsidR="00D370B0">
        <w:rPr>
          <w:rFonts w:ascii="Arial" w:eastAsia="Arial" w:hAnsi="Arial" w:cs="Arial"/>
        </w:rPr>
        <w:t xml:space="preserve"> or that he had had any problems with the </w:t>
      </w:r>
      <w:r w:rsidR="00320A0A">
        <w:rPr>
          <w:rFonts w:ascii="Arial" w:eastAsia="Arial" w:hAnsi="Arial" w:cs="Arial"/>
        </w:rPr>
        <w:t>authorities</w:t>
      </w:r>
      <w:r w:rsidR="00D370B0">
        <w:rPr>
          <w:rFonts w:ascii="Arial" w:eastAsia="Arial" w:hAnsi="Arial" w:cs="Arial"/>
        </w:rPr>
        <w:t xml:space="preserve">. </w:t>
      </w:r>
      <w:r w:rsidR="00E642AB">
        <w:rPr>
          <w:rFonts w:ascii="Arial" w:eastAsia="Arial" w:hAnsi="Arial" w:cs="Arial"/>
        </w:rPr>
        <w:t>There was no evidence the appellant had been speaking out on Kurdish Rights other than the Facebook evidence</w:t>
      </w:r>
      <w:r w:rsidR="008623D4">
        <w:rPr>
          <w:rFonts w:ascii="Arial" w:eastAsia="Arial" w:hAnsi="Arial" w:cs="Arial"/>
        </w:rPr>
        <w:t>,</w:t>
      </w:r>
      <w:r w:rsidR="00E642AB">
        <w:rPr>
          <w:rFonts w:ascii="Arial" w:eastAsia="Arial" w:hAnsi="Arial" w:cs="Arial"/>
        </w:rPr>
        <w:t xml:space="preserve"> which was not supported by copies of the </w:t>
      </w:r>
      <w:r w:rsidR="00CE4394">
        <w:rPr>
          <w:rFonts w:ascii="Arial" w:eastAsia="Arial" w:hAnsi="Arial" w:cs="Arial"/>
        </w:rPr>
        <w:t>Facebook</w:t>
      </w:r>
      <w:r w:rsidR="00E642AB">
        <w:rPr>
          <w:rFonts w:ascii="Arial" w:eastAsia="Arial" w:hAnsi="Arial" w:cs="Arial"/>
        </w:rPr>
        <w:t xml:space="preserve"> entries and was only introduced in oral evidence – taking the appellant’s </w:t>
      </w:r>
      <w:r w:rsidR="001F35CE">
        <w:rPr>
          <w:rFonts w:ascii="Arial" w:eastAsia="Arial" w:hAnsi="Arial" w:cs="Arial"/>
        </w:rPr>
        <w:t>representatives</w:t>
      </w:r>
      <w:r w:rsidR="00E642AB">
        <w:rPr>
          <w:rFonts w:ascii="Arial" w:eastAsia="Arial" w:hAnsi="Arial" w:cs="Arial"/>
        </w:rPr>
        <w:t xml:space="preserve"> by surprise. It was not apparent that the appellant knew what he had posted in any event, even if there were a Facebook account</w:t>
      </w:r>
      <w:r w:rsidR="00402BE4">
        <w:rPr>
          <w:rFonts w:ascii="Arial" w:eastAsia="Arial" w:hAnsi="Arial" w:cs="Arial"/>
        </w:rPr>
        <w:t xml:space="preserve">. </w:t>
      </w:r>
      <w:r w:rsidR="00805C10">
        <w:rPr>
          <w:rFonts w:ascii="Arial" w:eastAsia="Arial" w:hAnsi="Arial" w:cs="Arial"/>
        </w:rPr>
        <w:t>The appellant has not joined any groups</w:t>
      </w:r>
      <w:r w:rsidR="00AA20B4">
        <w:rPr>
          <w:rFonts w:ascii="Arial" w:eastAsia="Arial" w:hAnsi="Arial" w:cs="Arial"/>
        </w:rPr>
        <w:t xml:space="preserve"> and has not attended any </w:t>
      </w:r>
      <w:r w:rsidR="001B4B52">
        <w:rPr>
          <w:rFonts w:ascii="Arial" w:eastAsia="Arial" w:hAnsi="Arial" w:cs="Arial"/>
        </w:rPr>
        <w:t>demonstrations</w:t>
      </w:r>
      <w:r w:rsidR="00AA20B4">
        <w:rPr>
          <w:rFonts w:ascii="Arial" w:eastAsia="Arial" w:hAnsi="Arial" w:cs="Arial"/>
        </w:rPr>
        <w:t xml:space="preserve">. The judge’s finding that the appellant would be </w:t>
      </w:r>
      <w:r w:rsidR="001E203F">
        <w:rPr>
          <w:rFonts w:ascii="Arial" w:eastAsia="Arial" w:hAnsi="Arial" w:cs="Arial"/>
        </w:rPr>
        <w:t>scrutinised</w:t>
      </w:r>
      <w:r w:rsidR="00AA20B4">
        <w:rPr>
          <w:rFonts w:ascii="Arial" w:eastAsia="Arial" w:hAnsi="Arial" w:cs="Arial"/>
        </w:rPr>
        <w:t xml:space="preserve"> carefully on </w:t>
      </w:r>
      <w:r w:rsidR="00E2291E">
        <w:rPr>
          <w:rFonts w:ascii="Arial" w:eastAsia="Arial" w:hAnsi="Arial" w:cs="Arial"/>
        </w:rPr>
        <w:t>return,</w:t>
      </w:r>
      <w:r w:rsidR="00AA20B4">
        <w:rPr>
          <w:rFonts w:ascii="Arial" w:eastAsia="Arial" w:hAnsi="Arial" w:cs="Arial"/>
        </w:rPr>
        <w:t xml:space="preserve"> but h</w:t>
      </w:r>
      <w:r w:rsidR="008623D4">
        <w:rPr>
          <w:rFonts w:ascii="Arial" w:eastAsia="Arial" w:hAnsi="Arial" w:cs="Arial"/>
        </w:rPr>
        <w:t xml:space="preserve">e was not such </w:t>
      </w:r>
      <w:r w:rsidR="004E1416">
        <w:rPr>
          <w:rFonts w:ascii="Arial" w:eastAsia="Arial" w:hAnsi="Arial" w:cs="Arial"/>
        </w:rPr>
        <w:t xml:space="preserve">as to be </w:t>
      </w:r>
      <w:r w:rsidR="00A768EE">
        <w:rPr>
          <w:rFonts w:ascii="Arial" w:eastAsia="Arial" w:hAnsi="Arial" w:cs="Arial"/>
        </w:rPr>
        <w:t xml:space="preserve">perceived to be in any way active or at </w:t>
      </w:r>
      <w:r w:rsidR="00693E56">
        <w:rPr>
          <w:rFonts w:ascii="Arial" w:eastAsia="Arial" w:hAnsi="Arial" w:cs="Arial"/>
        </w:rPr>
        <w:t>risk</w:t>
      </w:r>
      <w:r w:rsidR="00A768EE">
        <w:rPr>
          <w:rFonts w:ascii="Arial" w:eastAsia="Arial" w:hAnsi="Arial" w:cs="Arial"/>
        </w:rPr>
        <w:t xml:space="preserve"> of serious harm </w:t>
      </w:r>
      <w:r w:rsidR="00DC26A7">
        <w:rPr>
          <w:rFonts w:ascii="Arial" w:eastAsia="Arial" w:hAnsi="Arial" w:cs="Arial"/>
        </w:rPr>
        <w:t xml:space="preserve">was a finding that was plainly open to her on the evidence before her. </w:t>
      </w:r>
      <w:r w:rsidR="004E1416">
        <w:rPr>
          <w:rFonts w:ascii="Arial" w:eastAsia="Arial" w:hAnsi="Arial" w:cs="Arial"/>
        </w:rPr>
        <w:t xml:space="preserve">That the judge described this is a political profile </w:t>
      </w:r>
      <w:r w:rsidR="00EB310B">
        <w:rPr>
          <w:rFonts w:ascii="Arial" w:eastAsia="Arial" w:hAnsi="Arial" w:cs="Arial"/>
        </w:rPr>
        <w:t>could perhaps have been more specific</w:t>
      </w:r>
      <w:r w:rsidR="002B1586">
        <w:rPr>
          <w:rFonts w:ascii="Arial" w:eastAsia="Arial" w:hAnsi="Arial" w:cs="Arial"/>
        </w:rPr>
        <w:t>,</w:t>
      </w:r>
      <w:r w:rsidR="00EB310B">
        <w:rPr>
          <w:rFonts w:ascii="Arial" w:eastAsia="Arial" w:hAnsi="Arial" w:cs="Arial"/>
        </w:rPr>
        <w:t xml:space="preserve"> but </w:t>
      </w:r>
      <w:proofErr w:type="gramStart"/>
      <w:r w:rsidR="00EB310B">
        <w:rPr>
          <w:rFonts w:ascii="Arial" w:eastAsia="Arial" w:hAnsi="Arial" w:cs="Arial"/>
        </w:rPr>
        <w:t>it is plain that there</w:t>
      </w:r>
      <w:proofErr w:type="gramEnd"/>
      <w:r w:rsidR="00EB310B">
        <w:rPr>
          <w:rFonts w:ascii="Arial" w:eastAsia="Arial" w:hAnsi="Arial" w:cs="Arial"/>
        </w:rPr>
        <w:t xml:space="preserve"> was nothing in the appellant’s account which could have led to any perception of anti-authority activity</w:t>
      </w:r>
      <w:r w:rsidR="000A31CC">
        <w:rPr>
          <w:rFonts w:ascii="Arial" w:eastAsia="Arial" w:hAnsi="Arial" w:cs="Arial"/>
        </w:rPr>
        <w:t>. The judge has not elevated the requirement to that of poli</w:t>
      </w:r>
      <w:r w:rsidR="002B1586">
        <w:rPr>
          <w:rFonts w:ascii="Arial" w:eastAsia="Arial" w:hAnsi="Arial" w:cs="Arial"/>
        </w:rPr>
        <w:t>tical profile but has used those words generically to describe anything that could led to such a perception on the part of the authorities.</w:t>
      </w:r>
    </w:p>
    <w:p w14:paraId="4017D54D" w14:textId="77777777" w:rsidR="00DC26A7" w:rsidRPr="00DC26A7" w:rsidRDefault="00DC26A7" w:rsidP="00DC26A7">
      <w:pPr>
        <w:pStyle w:val="ListParagraph"/>
        <w:rPr>
          <w:rFonts w:ascii="Arial" w:eastAsia="Arial" w:hAnsi="Arial" w:cs="Arial"/>
        </w:rPr>
      </w:pPr>
    </w:p>
    <w:p w14:paraId="4CD862B3" w14:textId="04A3358C" w:rsidR="00DC26A7" w:rsidRDefault="00DC26A7" w:rsidP="00DC26A7">
      <w:pPr>
        <w:pStyle w:val="ListParagraph"/>
        <w:ind w:left="1563"/>
        <w:contextualSpacing/>
        <w:jc w:val="both"/>
        <w:rPr>
          <w:rFonts w:ascii="Arial" w:eastAsia="Arial" w:hAnsi="Arial" w:cs="Arial"/>
        </w:rPr>
      </w:pPr>
      <w:r>
        <w:rPr>
          <w:rFonts w:ascii="Arial" w:eastAsia="Arial" w:hAnsi="Arial" w:cs="Arial"/>
        </w:rPr>
        <w:t>Ground</w:t>
      </w:r>
      <w:r w:rsidR="0007506F">
        <w:rPr>
          <w:rFonts w:ascii="Arial" w:eastAsia="Arial" w:hAnsi="Arial" w:cs="Arial"/>
        </w:rPr>
        <w:t>s</w:t>
      </w:r>
      <w:r>
        <w:rPr>
          <w:rFonts w:ascii="Arial" w:eastAsia="Arial" w:hAnsi="Arial" w:cs="Arial"/>
        </w:rPr>
        <w:t xml:space="preserve"> 2</w:t>
      </w:r>
      <w:r w:rsidR="00FE56D1">
        <w:rPr>
          <w:rFonts w:ascii="Arial" w:eastAsia="Arial" w:hAnsi="Arial" w:cs="Arial"/>
        </w:rPr>
        <w:t xml:space="preserve"> and 3</w:t>
      </w:r>
    </w:p>
    <w:p w14:paraId="244F540E" w14:textId="77777777" w:rsidR="00DC26A7" w:rsidRPr="00DC26A7" w:rsidRDefault="00DC26A7" w:rsidP="00DC26A7">
      <w:pPr>
        <w:pStyle w:val="ListParagraph"/>
        <w:rPr>
          <w:rFonts w:ascii="Arial" w:eastAsia="Arial" w:hAnsi="Arial" w:cs="Arial"/>
        </w:rPr>
      </w:pPr>
    </w:p>
    <w:p w14:paraId="29A020AF" w14:textId="25B4BD09" w:rsidR="007437C5" w:rsidRDefault="00F130F7" w:rsidP="00883632">
      <w:pPr>
        <w:pStyle w:val="ListParagraph"/>
        <w:numPr>
          <w:ilvl w:val="0"/>
          <w:numId w:val="28"/>
        </w:numPr>
        <w:contextualSpacing/>
        <w:jc w:val="both"/>
        <w:rPr>
          <w:rFonts w:ascii="Arial" w:eastAsia="Arial" w:hAnsi="Arial" w:cs="Arial"/>
        </w:rPr>
      </w:pPr>
      <w:r>
        <w:rPr>
          <w:rFonts w:ascii="Arial" w:eastAsia="Arial" w:hAnsi="Arial" w:cs="Arial"/>
        </w:rPr>
        <w:t xml:space="preserve">The appellant </w:t>
      </w:r>
      <w:r w:rsidR="00715D0A">
        <w:rPr>
          <w:rFonts w:ascii="Arial" w:eastAsia="Arial" w:hAnsi="Arial" w:cs="Arial"/>
        </w:rPr>
        <w:t>submits</w:t>
      </w:r>
      <w:r>
        <w:rPr>
          <w:rFonts w:ascii="Arial" w:eastAsia="Arial" w:hAnsi="Arial" w:cs="Arial"/>
        </w:rPr>
        <w:t xml:space="preserve"> that the </w:t>
      </w:r>
      <w:r w:rsidR="00CD3268">
        <w:rPr>
          <w:rFonts w:ascii="Arial" w:eastAsia="Arial" w:hAnsi="Arial" w:cs="Arial"/>
        </w:rPr>
        <w:t>evidence</w:t>
      </w:r>
      <w:r>
        <w:rPr>
          <w:rFonts w:ascii="Arial" w:eastAsia="Arial" w:hAnsi="Arial" w:cs="Arial"/>
        </w:rPr>
        <w:t xml:space="preserve"> has not been considered and assessed in the round but rather as a sequential assessment and thus legally flawed. </w:t>
      </w:r>
      <w:r w:rsidR="00F110B4">
        <w:rPr>
          <w:rFonts w:ascii="Arial" w:eastAsia="Arial" w:hAnsi="Arial" w:cs="Arial"/>
        </w:rPr>
        <w:t xml:space="preserve">He submits </w:t>
      </w:r>
      <w:r w:rsidR="000722F0">
        <w:rPr>
          <w:rFonts w:ascii="Arial" w:eastAsia="Arial" w:hAnsi="Arial" w:cs="Arial"/>
        </w:rPr>
        <w:t>that</w:t>
      </w:r>
      <w:r w:rsidR="00F110B4">
        <w:rPr>
          <w:rFonts w:ascii="Arial" w:eastAsia="Arial" w:hAnsi="Arial" w:cs="Arial"/>
        </w:rPr>
        <w:t xml:space="preserve"> the judge formed an opinion and then sought evidence to </w:t>
      </w:r>
      <w:r w:rsidR="00A82F79">
        <w:rPr>
          <w:rFonts w:ascii="Arial" w:eastAsia="Arial" w:hAnsi="Arial" w:cs="Arial"/>
        </w:rPr>
        <w:t>bolster</w:t>
      </w:r>
      <w:r w:rsidR="00F110B4">
        <w:rPr>
          <w:rFonts w:ascii="Arial" w:eastAsia="Arial" w:hAnsi="Arial" w:cs="Arial"/>
        </w:rPr>
        <w:t xml:space="preserve"> that view rather than considering the evidence first</w:t>
      </w:r>
      <w:r w:rsidR="00FE56D1">
        <w:rPr>
          <w:rFonts w:ascii="Arial" w:eastAsia="Arial" w:hAnsi="Arial" w:cs="Arial"/>
        </w:rPr>
        <w:t xml:space="preserve">, relying on the last sentence of paragraph 21. The appellant also submits the judge failed to </w:t>
      </w:r>
      <w:r w:rsidR="000B41E1">
        <w:rPr>
          <w:rFonts w:ascii="Arial" w:eastAsia="Arial" w:hAnsi="Arial" w:cs="Arial"/>
        </w:rPr>
        <w:t xml:space="preserve">assess whether the appellant had been consistent to a </w:t>
      </w:r>
      <w:r w:rsidR="006C194A">
        <w:rPr>
          <w:rFonts w:ascii="Arial" w:eastAsia="Arial" w:hAnsi="Arial" w:cs="Arial"/>
        </w:rPr>
        <w:t>reasonable</w:t>
      </w:r>
      <w:r w:rsidR="000B41E1">
        <w:rPr>
          <w:rFonts w:ascii="Arial" w:eastAsia="Arial" w:hAnsi="Arial" w:cs="Arial"/>
        </w:rPr>
        <w:t xml:space="preserve"> </w:t>
      </w:r>
      <w:r w:rsidR="00190FEA">
        <w:rPr>
          <w:rFonts w:ascii="Arial" w:eastAsia="Arial" w:hAnsi="Arial" w:cs="Arial"/>
        </w:rPr>
        <w:t>degree and</w:t>
      </w:r>
      <w:r w:rsidR="000B41E1">
        <w:rPr>
          <w:rFonts w:ascii="Arial" w:eastAsia="Arial" w:hAnsi="Arial" w:cs="Arial"/>
        </w:rPr>
        <w:t xml:space="preserve"> had relied upon inconsistencies</w:t>
      </w:r>
      <w:r w:rsidR="007437C5">
        <w:rPr>
          <w:rFonts w:ascii="Arial" w:eastAsia="Arial" w:hAnsi="Arial" w:cs="Arial"/>
        </w:rPr>
        <w:t xml:space="preserve"> which was insufficient to impugn the appellant’s credibility. </w:t>
      </w:r>
    </w:p>
    <w:p w14:paraId="0AB923D9" w14:textId="77777777" w:rsidR="007437C5" w:rsidRDefault="007437C5" w:rsidP="007437C5">
      <w:pPr>
        <w:pStyle w:val="ListParagraph"/>
        <w:ind w:left="1563"/>
        <w:contextualSpacing/>
        <w:jc w:val="both"/>
        <w:rPr>
          <w:rFonts w:ascii="Arial" w:eastAsia="Arial" w:hAnsi="Arial" w:cs="Arial"/>
        </w:rPr>
      </w:pPr>
    </w:p>
    <w:p w14:paraId="3BF2F50D" w14:textId="13013A29" w:rsidR="00806E37" w:rsidRDefault="006F7CFD" w:rsidP="00883632">
      <w:pPr>
        <w:pStyle w:val="ListParagraph"/>
        <w:numPr>
          <w:ilvl w:val="0"/>
          <w:numId w:val="28"/>
        </w:numPr>
        <w:contextualSpacing/>
        <w:jc w:val="both"/>
        <w:rPr>
          <w:rFonts w:ascii="Arial" w:eastAsia="Arial" w:hAnsi="Arial" w:cs="Arial"/>
        </w:rPr>
      </w:pPr>
      <w:r>
        <w:rPr>
          <w:rFonts w:ascii="Arial" w:eastAsia="Arial" w:hAnsi="Arial" w:cs="Arial"/>
        </w:rPr>
        <w:t>The judge refers to paragraph 49</w:t>
      </w:r>
      <w:r w:rsidR="009C6294">
        <w:rPr>
          <w:rStyle w:val="FootnoteReference"/>
          <w:rFonts w:ascii="Arial" w:eastAsia="Arial" w:hAnsi="Arial" w:cs="Arial"/>
        </w:rPr>
        <w:footnoteReference w:id="2"/>
      </w:r>
      <w:r>
        <w:rPr>
          <w:rFonts w:ascii="Arial" w:eastAsia="Arial" w:hAnsi="Arial" w:cs="Arial"/>
        </w:rPr>
        <w:t xml:space="preserve"> of the reasons for refusal letter</w:t>
      </w:r>
      <w:r w:rsidR="006A4531">
        <w:rPr>
          <w:rFonts w:ascii="Arial" w:eastAsia="Arial" w:hAnsi="Arial" w:cs="Arial"/>
        </w:rPr>
        <w:t xml:space="preserve"> and the failure of the appellant to address these </w:t>
      </w:r>
      <w:r w:rsidR="00523730">
        <w:rPr>
          <w:rFonts w:ascii="Arial" w:eastAsia="Arial" w:hAnsi="Arial" w:cs="Arial"/>
        </w:rPr>
        <w:t>inconsistencies</w:t>
      </w:r>
      <w:r w:rsidR="006A4531">
        <w:rPr>
          <w:rFonts w:ascii="Arial" w:eastAsia="Arial" w:hAnsi="Arial" w:cs="Arial"/>
        </w:rPr>
        <w:t xml:space="preserve">. </w:t>
      </w:r>
      <w:r w:rsidR="001F1052">
        <w:rPr>
          <w:rFonts w:ascii="Arial" w:eastAsia="Arial" w:hAnsi="Arial" w:cs="Arial"/>
        </w:rPr>
        <w:t xml:space="preserve">The judge identifies </w:t>
      </w:r>
      <w:r w:rsidR="001F1052">
        <w:rPr>
          <w:rFonts w:ascii="Arial" w:eastAsia="Arial" w:hAnsi="Arial" w:cs="Arial"/>
        </w:rPr>
        <w:lastRenderedPageBreak/>
        <w:t xml:space="preserve">the consistent elements of the appellant’s account including those that are supported by the background country material. It is plain the judge has given a wide appreciation to the appellant of the evidence that was before him. But the judge </w:t>
      </w:r>
      <w:r w:rsidR="00874E45">
        <w:rPr>
          <w:rFonts w:ascii="Arial" w:eastAsia="Arial" w:hAnsi="Arial" w:cs="Arial"/>
        </w:rPr>
        <w:t>was</w:t>
      </w:r>
      <w:r w:rsidR="001F1052">
        <w:rPr>
          <w:rFonts w:ascii="Arial" w:eastAsia="Arial" w:hAnsi="Arial" w:cs="Arial"/>
        </w:rPr>
        <w:t xml:space="preserve"> entitled to </w:t>
      </w:r>
      <w:r w:rsidR="002D77F9">
        <w:rPr>
          <w:rFonts w:ascii="Arial" w:eastAsia="Arial" w:hAnsi="Arial" w:cs="Arial"/>
        </w:rPr>
        <w:t>identify</w:t>
      </w:r>
      <w:r w:rsidR="001F1052">
        <w:rPr>
          <w:rFonts w:ascii="Arial" w:eastAsia="Arial" w:hAnsi="Arial" w:cs="Arial"/>
        </w:rPr>
        <w:t xml:space="preserve"> the inconsistencies</w:t>
      </w:r>
      <w:r w:rsidR="00D17D84">
        <w:rPr>
          <w:rFonts w:ascii="Arial" w:eastAsia="Arial" w:hAnsi="Arial" w:cs="Arial"/>
        </w:rPr>
        <w:t xml:space="preserve"> and lack of explanation in reaching her conclusions. The fact </w:t>
      </w:r>
      <w:r w:rsidR="00971A70">
        <w:rPr>
          <w:rFonts w:ascii="Arial" w:eastAsia="Arial" w:hAnsi="Arial" w:cs="Arial"/>
        </w:rPr>
        <w:t>that part</w:t>
      </w:r>
      <w:r w:rsidR="00D17D84">
        <w:rPr>
          <w:rFonts w:ascii="Arial" w:eastAsia="Arial" w:hAnsi="Arial" w:cs="Arial"/>
        </w:rPr>
        <w:t xml:space="preserve"> of an account is consistent both internally and with external material does not mean that</w:t>
      </w:r>
      <w:r w:rsidR="00806E37">
        <w:rPr>
          <w:rFonts w:ascii="Arial" w:eastAsia="Arial" w:hAnsi="Arial" w:cs="Arial"/>
        </w:rPr>
        <w:t xml:space="preserve"> an account is credible to the lower standard of proof.</w:t>
      </w:r>
    </w:p>
    <w:p w14:paraId="72AFCE02" w14:textId="77777777" w:rsidR="00806E37" w:rsidRPr="00806E37" w:rsidRDefault="00806E37" w:rsidP="00806E37">
      <w:pPr>
        <w:pStyle w:val="ListParagraph"/>
        <w:rPr>
          <w:rFonts w:ascii="Arial" w:eastAsia="Arial" w:hAnsi="Arial" w:cs="Arial"/>
        </w:rPr>
      </w:pPr>
    </w:p>
    <w:p w14:paraId="0027A49F" w14:textId="6DD8D12F" w:rsidR="00721482" w:rsidRDefault="00806E37" w:rsidP="00883632">
      <w:pPr>
        <w:pStyle w:val="ListParagraph"/>
        <w:numPr>
          <w:ilvl w:val="0"/>
          <w:numId w:val="28"/>
        </w:numPr>
        <w:contextualSpacing/>
        <w:jc w:val="both"/>
        <w:rPr>
          <w:rFonts w:ascii="Arial" w:eastAsia="Arial" w:hAnsi="Arial" w:cs="Arial"/>
        </w:rPr>
      </w:pPr>
      <w:r>
        <w:rPr>
          <w:rFonts w:ascii="Arial" w:eastAsia="Arial" w:hAnsi="Arial" w:cs="Arial"/>
        </w:rPr>
        <w:t>The judge pro</w:t>
      </w:r>
      <w:r w:rsidR="00505BE1">
        <w:rPr>
          <w:rFonts w:ascii="Arial" w:eastAsia="Arial" w:hAnsi="Arial" w:cs="Arial"/>
        </w:rPr>
        <w:t xml:space="preserve">perly took account of all the factors. Although she refers in paragraph 21 to </w:t>
      </w:r>
      <w:r w:rsidR="00D66B69">
        <w:rPr>
          <w:rFonts w:ascii="Arial" w:eastAsia="Arial" w:hAnsi="Arial" w:cs="Arial"/>
        </w:rPr>
        <w:t>inconsistencies</w:t>
      </w:r>
      <w:r w:rsidR="00A563E5">
        <w:rPr>
          <w:rFonts w:ascii="Arial" w:eastAsia="Arial" w:hAnsi="Arial" w:cs="Arial"/>
        </w:rPr>
        <w:t xml:space="preserve"> leading to her to doubt </w:t>
      </w:r>
      <w:r w:rsidR="0007506F">
        <w:rPr>
          <w:rFonts w:ascii="Arial" w:eastAsia="Arial" w:hAnsi="Arial" w:cs="Arial"/>
        </w:rPr>
        <w:t>t</w:t>
      </w:r>
      <w:r w:rsidR="00A563E5">
        <w:rPr>
          <w:rFonts w:ascii="Arial" w:eastAsia="Arial" w:hAnsi="Arial" w:cs="Arial"/>
        </w:rPr>
        <w:t xml:space="preserve">he credibility </w:t>
      </w:r>
      <w:r w:rsidR="00C94BB4">
        <w:rPr>
          <w:rFonts w:ascii="Arial" w:eastAsia="Arial" w:hAnsi="Arial" w:cs="Arial"/>
        </w:rPr>
        <w:t>of</w:t>
      </w:r>
      <w:r w:rsidR="00A563E5">
        <w:rPr>
          <w:rFonts w:ascii="Arial" w:eastAsia="Arial" w:hAnsi="Arial" w:cs="Arial"/>
        </w:rPr>
        <w:t xml:space="preserve"> the account, it is plain, when read </w:t>
      </w:r>
      <w:r w:rsidR="0007506F">
        <w:rPr>
          <w:rFonts w:ascii="Arial" w:eastAsia="Arial" w:hAnsi="Arial" w:cs="Arial"/>
        </w:rPr>
        <w:t>that paragraph is read in context that she is referring to the appellant’s claim that he ran to his uncle’s house (or not)</w:t>
      </w:r>
      <w:r w:rsidR="00BF21C9">
        <w:rPr>
          <w:rFonts w:ascii="Arial" w:eastAsia="Arial" w:hAnsi="Arial" w:cs="Arial"/>
        </w:rPr>
        <w:t xml:space="preserve">. In the decision </w:t>
      </w:r>
      <w:proofErr w:type="gramStart"/>
      <w:r w:rsidR="00A563E5">
        <w:rPr>
          <w:rFonts w:ascii="Arial" w:eastAsia="Arial" w:hAnsi="Arial" w:cs="Arial"/>
        </w:rPr>
        <w:t>as a whole that</w:t>
      </w:r>
      <w:proofErr w:type="gramEnd"/>
      <w:r w:rsidR="00A563E5">
        <w:rPr>
          <w:rFonts w:ascii="Arial" w:eastAsia="Arial" w:hAnsi="Arial" w:cs="Arial"/>
        </w:rPr>
        <w:t xml:space="preserve"> the judge has identified all the material upon which she has based her decision. That those matters are written sequentially </w:t>
      </w:r>
      <w:r w:rsidR="003735CD">
        <w:rPr>
          <w:rFonts w:ascii="Arial" w:eastAsia="Arial" w:hAnsi="Arial" w:cs="Arial"/>
        </w:rPr>
        <w:t xml:space="preserve">does not undermine the totality of the findings. The </w:t>
      </w:r>
      <w:r w:rsidR="00721482">
        <w:rPr>
          <w:rFonts w:ascii="Arial" w:eastAsia="Arial" w:hAnsi="Arial" w:cs="Arial"/>
        </w:rPr>
        <w:t xml:space="preserve">unexplained </w:t>
      </w:r>
      <w:r w:rsidR="003735CD">
        <w:rPr>
          <w:rFonts w:ascii="Arial" w:eastAsia="Arial" w:hAnsi="Arial" w:cs="Arial"/>
        </w:rPr>
        <w:t xml:space="preserve">inconsistencies in the account </w:t>
      </w:r>
      <w:r w:rsidR="00721482">
        <w:rPr>
          <w:rFonts w:ascii="Arial" w:eastAsia="Arial" w:hAnsi="Arial" w:cs="Arial"/>
        </w:rPr>
        <w:t xml:space="preserve">are such </w:t>
      </w:r>
      <w:r w:rsidR="005252A3">
        <w:rPr>
          <w:rFonts w:ascii="Arial" w:eastAsia="Arial" w:hAnsi="Arial" w:cs="Arial"/>
        </w:rPr>
        <w:t>that</w:t>
      </w:r>
      <w:r w:rsidR="00721482">
        <w:rPr>
          <w:rFonts w:ascii="Arial" w:eastAsia="Arial" w:hAnsi="Arial" w:cs="Arial"/>
        </w:rPr>
        <w:t xml:space="preserve"> </w:t>
      </w:r>
      <w:r w:rsidR="002F118C">
        <w:rPr>
          <w:rFonts w:ascii="Arial" w:eastAsia="Arial" w:hAnsi="Arial" w:cs="Arial"/>
        </w:rPr>
        <w:t>the</w:t>
      </w:r>
      <w:r w:rsidR="00721482">
        <w:rPr>
          <w:rFonts w:ascii="Arial" w:eastAsia="Arial" w:hAnsi="Arial" w:cs="Arial"/>
        </w:rPr>
        <w:t xml:space="preserve"> judge </w:t>
      </w:r>
      <w:r w:rsidR="004C6C7F">
        <w:rPr>
          <w:rFonts w:ascii="Arial" w:eastAsia="Arial" w:hAnsi="Arial" w:cs="Arial"/>
        </w:rPr>
        <w:t>reached</w:t>
      </w:r>
      <w:r w:rsidR="00721482">
        <w:rPr>
          <w:rFonts w:ascii="Arial" w:eastAsia="Arial" w:hAnsi="Arial" w:cs="Arial"/>
        </w:rPr>
        <w:t xml:space="preserve"> findings that were open to her.</w:t>
      </w:r>
    </w:p>
    <w:p w14:paraId="0BE3183E" w14:textId="77777777" w:rsidR="00721482" w:rsidRPr="00721482" w:rsidRDefault="00721482" w:rsidP="00721482">
      <w:pPr>
        <w:pStyle w:val="ListParagraph"/>
        <w:rPr>
          <w:rFonts w:ascii="Arial" w:eastAsia="Arial" w:hAnsi="Arial" w:cs="Arial"/>
        </w:rPr>
      </w:pPr>
    </w:p>
    <w:p w14:paraId="269B86BC" w14:textId="77777777" w:rsidR="00721482" w:rsidRDefault="00721482" w:rsidP="005F4970">
      <w:pPr>
        <w:pStyle w:val="ListParagraph"/>
        <w:ind w:left="1563"/>
        <w:contextualSpacing/>
        <w:jc w:val="both"/>
        <w:rPr>
          <w:rFonts w:ascii="Arial" w:eastAsia="Arial" w:hAnsi="Arial" w:cs="Arial"/>
        </w:rPr>
      </w:pPr>
      <w:r>
        <w:rPr>
          <w:rFonts w:ascii="Arial" w:eastAsia="Arial" w:hAnsi="Arial" w:cs="Arial"/>
        </w:rPr>
        <w:t>Ground 4</w:t>
      </w:r>
    </w:p>
    <w:p w14:paraId="378CB2A3" w14:textId="77777777" w:rsidR="00721482" w:rsidRPr="00721482" w:rsidRDefault="00721482" w:rsidP="00721482">
      <w:pPr>
        <w:pStyle w:val="ListParagraph"/>
        <w:rPr>
          <w:rFonts w:ascii="Arial" w:eastAsia="Arial" w:hAnsi="Arial" w:cs="Arial"/>
        </w:rPr>
      </w:pPr>
    </w:p>
    <w:p w14:paraId="7FD94529" w14:textId="34822A88" w:rsidR="00D31951" w:rsidRDefault="00316534" w:rsidP="00883632">
      <w:pPr>
        <w:pStyle w:val="ListParagraph"/>
        <w:numPr>
          <w:ilvl w:val="0"/>
          <w:numId w:val="28"/>
        </w:numPr>
        <w:contextualSpacing/>
        <w:jc w:val="both"/>
        <w:rPr>
          <w:rFonts w:ascii="Arial" w:eastAsia="Arial" w:hAnsi="Arial" w:cs="Arial"/>
        </w:rPr>
      </w:pPr>
      <w:r>
        <w:rPr>
          <w:rFonts w:ascii="Arial" w:eastAsia="Arial" w:hAnsi="Arial" w:cs="Arial"/>
        </w:rPr>
        <w:t xml:space="preserve">The appellant submits that the judge has made findings based upon her own perception of the normal course of events and speculated </w:t>
      </w:r>
      <w:r w:rsidR="00BF21C9">
        <w:rPr>
          <w:rFonts w:ascii="Arial" w:eastAsia="Arial" w:hAnsi="Arial" w:cs="Arial"/>
        </w:rPr>
        <w:t xml:space="preserve">unlawfully </w:t>
      </w:r>
      <w:r w:rsidR="00BE7BD2">
        <w:rPr>
          <w:rFonts w:ascii="Arial" w:eastAsia="Arial" w:hAnsi="Arial" w:cs="Arial"/>
        </w:rPr>
        <w:t xml:space="preserve">as to the possibility of </w:t>
      </w:r>
      <w:proofErr w:type="gramStart"/>
      <w:r w:rsidR="00BE7BD2">
        <w:rPr>
          <w:rFonts w:ascii="Arial" w:eastAsia="Arial" w:hAnsi="Arial" w:cs="Arial"/>
        </w:rPr>
        <w:t>particular events</w:t>
      </w:r>
      <w:proofErr w:type="gramEnd"/>
      <w:r w:rsidR="00BE7BD2">
        <w:rPr>
          <w:rFonts w:ascii="Arial" w:eastAsia="Arial" w:hAnsi="Arial" w:cs="Arial"/>
        </w:rPr>
        <w:t xml:space="preserve"> happening. </w:t>
      </w:r>
    </w:p>
    <w:p w14:paraId="4D3F2204" w14:textId="77777777" w:rsidR="00D31951" w:rsidRPr="00D31951" w:rsidRDefault="00D31951" w:rsidP="00D31951">
      <w:pPr>
        <w:pStyle w:val="ListParagraph"/>
        <w:rPr>
          <w:rFonts w:ascii="Arial" w:eastAsia="Arial" w:hAnsi="Arial" w:cs="Arial"/>
        </w:rPr>
      </w:pPr>
    </w:p>
    <w:p w14:paraId="185E000A" w14:textId="463DB719" w:rsidR="00D31951" w:rsidRDefault="00BE7BD2" w:rsidP="00883632">
      <w:pPr>
        <w:pStyle w:val="ListParagraph"/>
        <w:numPr>
          <w:ilvl w:val="0"/>
          <w:numId w:val="28"/>
        </w:numPr>
        <w:contextualSpacing/>
        <w:jc w:val="both"/>
        <w:rPr>
          <w:rFonts w:ascii="Arial" w:eastAsia="Arial" w:hAnsi="Arial" w:cs="Arial"/>
        </w:rPr>
      </w:pPr>
      <w:r>
        <w:rPr>
          <w:rFonts w:ascii="Arial" w:eastAsia="Arial" w:hAnsi="Arial" w:cs="Arial"/>
        </w:rPr>
        <w:t xml:space="preserve">The judge considered the appellant’s evidence in the context of the country evidence. It is not speculation, </w:t>
      </w:r>
      <w:proofErr w:type="gramStart"/>
      <w:r w:rsidR="005751F1">
        <w:rPr>
          <w:rFonts w:ascii="Arial" w:eastAsia="Arial" w:hAnsi="Arial" w:cs="Arial"/>
        </w:rPr>
        <w:t>taking into account</w:t>
      </w:r>
      <w:proofErr w:type="gramEnd"/>
      <w:r>
        <w:rPr>
          <w:rFonts w:ascii="Arial" w:eastAsia="Arial" w:hAnsi="Arial" w:cs="Arial"/>
        </w:rPr>
        <w:t xml:space="preserve"> the ‘hair</w:t>
      </w:r>
      <w:r w:rsidR="005751F1">
        <w:rPr>
          <w:rFonts w:ascii="Arial" w:eastAsia="Arial" w:hAnsi="Arial" w:cs="Arial"/>
        </w:rPr>
        <w:t>-</w:t>
      </w:r>
      <w:r>
        <w:rPr>
          <w:rFonts w:ascii="Arial" w:eastAsia="Arial" w:hAnsi="Arial" w:cs="Arial"/>
        </w:rPr>
        <w:t>trigger’ approach of the authorities</w:t>
      </w:r>
      <w:r w:rsidR="005751F1">
        <w:rPr>
          <w:rFonts w:ascii="Arial" w:eastAsia="Arial" w:hAnsi="Arial" w:cs="Arial"/>
        </w:rPr>
        <w:t>,</w:t>
      </w:r>
      <w:r>
        <w:rPr>
          <w:rFonts w:ascii="Arial" w:eastAsia="Arial" w:hAnsi="Arial" w:cs="Arial"/>
        </w:rPr>
        <w:t xml:space="preserve"> for her to conclude that </w:t>
      </w:r>
      <w:r w:rsidR="00A82157">
        <w:rPr>
          <w:rFonts w:ascii="Arial" w:eastAsia="Arial" w:hAnsi="Arial" w:cs="Arial"/>
        </w:rPr>
        <w:t>he would have been traced to hi</w:t>
      </w:r>
      <w:r w:rsidR="005751F1">
        <w:rPr>
          <w:rFonts w:ascii="Arial" w:eastAsia="Arial" w:hAnsi="Arial" w:cs="Arial"/>
        </w:rPr>
        <w:t>s</w:t>
      </w:r>
      <w:r w:rsidR="00A82157">
        <w:rPr>
          <w:rFonts w:ascii="Arial" w:eastAsia="Arial" w:hAnsi="Arial" w:cs="Arial"/>
        </w:rPr>
        <w:t xml:space="preserve"> uncle’s home or that his father would have been detained. Nor is it </w:t>
      </w:r>
      <w:r w:rsidR="00BC5E43">
        <w:rPr>
          <w:rFonts w:ascii="Arial" w:eastAsia="Arial" w:hAnsi="Arial" w:cs="Arial"/>
        </w:rPr>
        <w:t>speculation</w:t>
      </w:r>
      <w:r w:rsidR="00A82157">
        <w:rPr>
          <w:rFonts w:ascii="Arial" w:eastAsia="Arial" w:hAnsi="Arial" w:cs="Arial"/>
        </w:rPr>
        <w:t xml:space="preserve"> to conclude that having spent such a </w:t>
      </w:r>
      <w:r w:rsidR="00D66144">
        <w:rPr>
          <w:rFonts w:ascii="Arial" w:eastAsia="Arial" w:hAnsi="Arial" w:cs="Arial"/>
        </w:rPr>
        <w:t>comparably</w:t>
      </w:r>
      <w:r w:rsidR="00A82157">
        <w:rPr>
          <w:rFonts w:ascii="Arial" w:eastAsia="Arial" w:hAnsi="Arial" w:cs="Arial"/>
        </w:rPr>
        <w:t xml:space="preserve"> large sum of money, the uncle would wish to hear </w:t>
      </w:r>
      <w:r w:rsidR="00C15F31">
        <w:rPr>
          <w:rFonts w:ascii="Arial" w:eastAsia="Arial" w:hAnsi="Arial" w:cs="Arial"/>
        </w:rPr>
        <w:t>from</w:t>
      </w:r>
      <w:r w:rsidR="00A82157">
        <w:rPr>
          <w:rFonts w:ascii="Arial" w:eastAsia="Arial" w:hAnsi="Arial" w:cs="Arial"/>
        </w:rPr>
        <w:t xml:space="preserve"> the appellant that the money had </w:t>
      </w:r>
      <w:proofErr w:type="gramStart"/>
      <w:r w:rsidR="00A82157">
        <w:rPr>
          <w:rFonts w:ascii="Arial" w:eastAsia="Arial" w:hAnsi="Arial" w:cs="Arial"/>
        </w:rPr>
        <w:t>actually been</w:t>
      </w:r>
      <w:proofErr w:type="gramEnd"/>
      <w:r w:rsidR="00A82157">
        <w:rPr>
          <w:rFonts w:ascii="Arial" w:eastAsia="Arial" w:hAnsi="Arial" w:cs="Arial"/>
        </w:rPr>
        <w:t xml:space="preserve"> spent as provided for.</w:t>
      </w:r>
    </w:p>
    <w:p w14:paraId="69342CD0" w14:textId="77777777" w:rsidR="00D31951" w:rsidRPr="00D31951" w:rsidRDefault="00D31951" w:rsidP="00D31951">
      <w:pPr>
        <w:pStyle w:val="ListParagraph"/>
        <w:rPr>
          <w:rFonts w:ascii="Arial" w:eastAsia="Arial" w:hAnsi="Arial" w:cs="Arial"/>
        </w:rPr>
      </w:pPr>
    </w:p>
    <w:p w14:paraId="3BB4BA7D" w14:textId="77777777" w:rsidR="000C0541" w:rsidRPr="008578D0" w:rsidRDefault="000C0541" w:rsidP="000D572B">
      <w:pPr>
        <w:ind w:left="360"/>
        <w:jc w:val="both"/>
        <w:rPr>
          <w:rFonts w:ascii="Arial" w:hAnsi="Arial" w:cs="Arial"/>
          <w:bCs/>
        </w:rPr>
      </w:pPr>
    </w:p>
    <w:p w14:paraId="3BB4BA7E" w14:textId="77777777" w:rsidR="009C6CC6" w:rsidRPr="008578D0" w:rsidRDefault="009C6CC6" w:rsidP="000D572B">
      <w:pPr>
        <w:tabs>
          <w:tab w:val="left" w:pos="567"/>
        </w:tabs>
        <w:ind w:left="360"/>
        <w:jc w:val="both"/>
        <w:rPr>
          <w:rFonts w:ascii="Arial" w:hAnsi="Arial" w:cs="Arial"/>
        </w:rPr>
      </w:pPr>
    </w:p>
    <w:p w14:paraId="3BB4BA7F" w14:textId="3EF2F2C7" w:rsidR="00F22AA0" w:rsidRPr="008578D0" w:rsidRDefault="576901D2" w:rsidP="003C5D94">
      <w:pPr>
        <w:pStyle w:val="Heading8"/>
        <w:ind w:left="720"/>
        <w:rPr>
          <w:szCs w:val="24"/>
        </w:rPr>
      </w:pPr>
      <w:r>
        <w:t>Con</w:t>
      </w:r>
      <w:r w:rsidR="005F4970">
        <w:t>clusion</w:t>
      </w:r>
      <w:r>
        <w:t xml:space="preserve"> </w:t>
      </w:r>
    </w:p>
    <w:p w14:paraId="3BB4BA80" w14:textId="77777777" w:rsidR="00F22AA0" w:rsidRPr="008578D0" w:rsidRDefault="00F22AA0" w:rsidP="00036813">
      <w:pPr>
        <w:jc w:val="both"/>
        <w:rPr>
          <w:rFonts w:ascii="Arial" w:hAnsi="Arial" w:cs="Arial"/>
        </w:rPr>
      </w:pPr>
    </w:p>
    <w:p w14:paraId="60B9D197" w14:textId="103EFFAE" w:rsidR="00901068" w:rsidRDefault="001F70B1" w:rsidP="00883632">
      <w:pPr>
        <w:numPr>
          <w:ilvl w:val="0"/>
          <w:numId w:val="28"/>
        </w:numPr>
        <w:jc w:val="both"/>
        <w:rPr>
          <w:rFonts w:ascii="Arial" w:eastAsia="Arial" w:hAnsi="Arial" w:cs="Arial"/>
        </w:rPr>
      </w:pPr>
      <w:r>
        <w:rPr>
          <w:rFonts w:ascii="Arial" w:eastAsia="Arial" w:hAnsi="Arial" w:cs="Arial"/>
        </w:rPr>
        <w:t>Although the judge in paragraph 21 states that the evidence led her to conclude a lack of credibility, it is plain, from a re</w:t>
      </w:r>
      <w:r w:rsidR="002710BC">
        <w:rPr>
          <w:rFonts w:ascii="Arial" w:eastAsia="Arial" w:hAnsi="Arial" w:cs="Arial"/>
        </w:rPr>
        <w:t>a</w:t>
      </w:r>
      <w:r>
        <w:rPr>
          <w:rFonts w:ascii="Arial" w:eastAsia="Arial" w:hAnsi="Arial" w:cs="Arial"/>
        </w:rPr>
        <w:t xml:space="preserve">ding of the decision </w:t>
      </w:r>
      <w:proofErr w:type="gramStart"/>
      <w:r>
        <w:rPr>
          <w:rFonts w:ascii="Arial" w:eastAsia="Arial" w:hAnsi="Arial" w:cs="Arial"/>
        </w:rPr>
        <w:t>as a whole that</w:t>
      </w:r>
      <w:proofErr w:type="gramEnd"/>
      <w:r>
        <w:rPr>
          <w:rFonts w:ascii="Arial" w:eastAsia="Arial" w:hAnsi="Arial" w:cs="Arial"/>
        </w:rPr>
        <w:t xml:space="preserve"> she did in fact consider all of the evidence. The reference in paragraph21 </w:t>
      </w:r>
      <w:r w:rsidR="00901068">
        <w:rPr>
          <w:rFonts w:ascii="Arial" w:eastAsia="Arial" w:hAnsi="Arial" w:cs="Arial"/>
        </w:rPr>
        <w:t>was not based on a small or insignificant element of evidence</w:t>
      </w:r>
      <w:r w:rsidR="002710BC">
        <w:rPr>
          <w:rFonts w:ascii="Arial" w:eastAsia="Arial" w:hAnsi="Arial" w:cs="Arial"/>
        </w:rPr>
        <w:t xml:space="preserve"> and was specific to </w:t>
      </w:r>
      <w:r w:rsidR="008C6BEA">
        <w:rPr>
          <w:rFonts w:ascii="Arial" w:eastAsia="Arial" w:hAnsi="Arial" w:cs="Arial"/>
        </w:rPr>
        <w:t>part of the evidence</w:t>
      </w:r>
      <w:r w:rsidR="00901068">
        <w:rPr>
          <w:rFonts w:ascii="Arial" w:eastAsia="Arial" w:hAnsi="Arial" w:cs="Arial"/>
        </w:rPr>
        <w:t>.</w:t>
      </w:r>
    </w:p>
    <w:p w14:paraId="4BA685D8" w14:textId="77777777" w:rsidR="00901068" w:rsidRDefault="00901068" w:rsidP="00901068">
      <w:pPr>
        <w:ind w:left="1563"/>
        <w:jc w:val="both"/>
        <w:rPr>
          <w:rFonts w:ascii="Arial" w:eastAsia="Arial" w:hAnsi="Arial" w:cs="Arial"/>
        </w:rPr>
      </w:pPr>
    </w:p>
    <w:p w14:paraId="3BB4BADA" w14:textId="4E328EE2" w:rsidR="005965E5" w:rsidRPr="00901068" w:rsidRDefault="00901068" w:rsidP="00901068">
      <w:pPr>
        <w:numPr>
          <w:ilvl w:val="0"/>
          <w:numId w:val="28"/>
        </w:numPr>
        <w:jc w:val="both"/>
        <w:rPr>
          <w:rFonts w:ascii="Arial" w:hAnsi="Arial" w:cs="Arial"/>
        </w:rPr>
      </w:pPr>
      <w:r>
        <w:rPr>
          <w:rFonts w:ascii="Arial" w:eastAsia="Arial" w:hAnsi="Arial" w:cs="Arial"/>
        </w:rPr>
        <w:t>The findings of the judge were open to her on the evidence. There is no error of law in the findings such that the decision is set aside to be remade. The appeal is dismissed.</w:t>
      </w:r>
    </w:p>
    <w:p w14:paraId="43C114E4" w14:textId="77777777" w:rsidR="00901068" w:rsidRDefault="00901068" w:rsidP="00901068">
      <w:pPr>
        <w:pStyle w:val="ListParagraph"/>
        <w:rPr>
          <w:rFonts w:ascii="Arial" w:hAnsi="Arial" w:cs="Arial"/>
        </w:rPr>
      </w:pPr>
    </w:p>
    <w:p w14:paraId="5475BC2E" w14:textId="77777777" w:rsidR="00901068" w:rsidRPr="008578D0" w:rsidRDefault="00901068" w:rsidP="00901068">
      <w:pPr>
        <w:ind w:left="1563"/>
        <w:jc w:val="both"/>
        <w:rPr>
          <w:rFonts w:ascii="Arial" w:hAnsi="Arial" w:cs="Arial"/>
        </w:rPr>
      </w:pPr>
    </w:p>
    <w:p w14:paraId="3BB4BADB" w14:textId="77777777" w:rsidR="00EB45D2" w:rsidRPr="008578D0" w:rsidRDefault="576901D2" w:rsidP="576901D2">
      <w:pPr>
        <w:tabs>
          <w:tab w:val="left" w:pos="567"/>
        </w:tabs>
        <w:jc w:val="both"/>
        <w:rPr>
          <w:rFonts w:ascii="Arial" w:eastAsia="Arial" w:hAnsi="Arial" w:cs="Arial"/>
          <w:u w:val="single"/>
        </w:rPr>
      </w:pPr>
      <w:r w:rsidRPr="576901D2">
        <w:rPr>
          <w:rFonts w:ascii="Arial" w:eastAsia="Arial" w:hAnsi="Arial" w:cs="Arial"/>
        </w:rPr>
        <w:t xml:space="preserve">          </w:t>
      </w:r>
      <w:r w:rsidRPr="576901D2">
        <w:rPr>
          <w:rFonts w:ascii="Arial" w:eastAsia="Arial" w:hAnsi="Arial" w:cs="Arial"/>
          <w:u w:val="single"/>
        </w:rPr>
        <w:t>Conclusions:</w:t>
      </w:r>
    </w:p>
    <w:p w14:paraId="3BB4BADC" w14:textId="77777777" w:rsidR="00EB45D2" w:rsidRPr="008578D0" w:rsidRDefault="00EB45D2" w:rsidP="00EB45D2">
      <w:pPr>
        <w:tabs>
          <w:tab w:val="left" w:pos="567"/>
        </w:tabs>
        <w:jc w:val="both"/>
        <w:rPr>
          <w:rFonts w:ascii="Arial" w:hAnsi="Arial" w:cs="Arial"/>
        </w:rPr>
      </w:pPr>
    </w:p>
    <w:p w14:paraId="3BB4BADD" w14:textId="7F00BFBB" w:rsidR="00EB45D2" w:rsidRPr="008578D0" w:rsidRDefault="576901D2" w:rsidP="576901D2">
      <w:pPr>
        <w:tabs>
          <w:tab w:val="left" w:pos="567"/>
        </w:tabs>
        <w:ind w:left="567"/>
        <w:jc w:val="both"/>
        <w:rPr>
          <w:rFonts w:ascii="Arial" w:eastAsia="Arial" w:hAnsi="Arial" w:cs="Arial"/>
        </w:rPr>
      </w:pPr>
      <w:r w:rsidRPr="576901D2">
        <w:rPr>
          <w:rFonts w:ascii="Arial" w:eastAsia="Arial" w:hAnsi="Arial" w:cs="Arial"/>
        </w:rPr>
        <w:t>The making of the decision of the First-tier Tribunal did not involve the making of an error on a point of law.</w:t>
      </w:r>
    </w:p>
    <w:p w14:paraId="3BB4BADE" w14:textId="77777777" w:rsidR="00EB45D2" w:rsidRPr="008578D0" w:rsidRDefault="00EB45D2" w:rsidP="00EB45D2">
      <w:pPr>
        <w:tabs>
          <w:tab w:val="left" w:pos="567"/>
        </w:tabs>
        <w:jc w:val="both"/>
        <w:rPr>
          <w:rFonts w:ascii="Arial" w:hAnsi="Arial" w:cs="Arial"/>
        </w:rPr>
      </w:pPr>
    </w:p>
    <w:p w14:paraId="3BB4BAE6" w14:textId="61D79731" w:rsidR="00EB45D2" w:rsidRPr="008578D0" w:rsidRDefault="00EB45D2" w:rsidP="00901068">
      <w:pPr>
        <w:tabs>
          <w:tab w:val="left" w:pos="567"/>
        </w:tabs>
        <w:ind w:left="567"/>
        <w:jc w:val="both"/>
        <w:rPr>
          <w:rFonts w:ascii="Arial" w:hAnsi="Arial" w:cs="Arial"/>
        </w:rPr>
      </w:pPr>
      <w:r w:rsidRPr="576901D2">
        <w:rPr>
          <w:rFonts w:ascii="Arial" w:eastAsia="Arial" w:hAnsi="Arial" w:cs="Arial"/>
        </w:rPr>
        <w:t>I do not set aside the decision</w:t>
      </w:r>
      <w:r w:rsidR="00901068">
        <w:rPr>
          <w:rFonts w:ascii="Arial" w:eastAsia="Arial" w:hAnsi="Arial" w:cs="Arial"/>
        </w:rPr>
        <w:t xml:space="preserve">; the decision of the </w:t>
      </w:r>
      <w:proofErr w:type="spellStart"/>
      <w:r w:rsidR="00901068">
        <w:rPr>
          <w:rFonts w:ascii="Arial" w:eastAsia="Arial" w:hAnsi="Arial" w:cs="Arial"/>
        </w:rPr>
        <w:t>FtT</w:t>
      </w:r>
      <w:proofErr w:type="spellEnd"/>
      <w:r w:rsidR="00901068">
        <w:rPr>
          <w:rFonts w:ascii="Arial" w:eastAsia="Arial" w:hAnsi="Arial" w:cs="Arial"/>
        </w:rPr>
        <w:t xml:space="preserve"> judge dismissing the appeal stands.</w:t>
      </w:r>
    </w:p>
    <w:p w14:paraId="3BB4BAEC" w14:textId="77777777" w:rsidR="00EB45D2" w:rsidRPr="008578D0" w:rsidRDefault="00EB45D2" w:rsidP="00EB45D2">
      <w:pPr>
        <w:tabs>
          <w:tab w:val="left" w:pos="567"/>
        </w:tabs>
        <w:jc w:val="both"/>
        <w:rPr>
          <w:rFonts w:ascii="Arial" w:hAnsi="Arial" w:cs="Arial"/>
        </w:rPr>
      </w:pPr>
    </w:p>
    <w:p w14:paraId="3BB4BAED" w14:textId="77777777" w:rsidR="00EB45D2" w:rsidRPr="008578D0" w:rsidRDefault="576901D2" w:rsidP="576901D2">
      <w:pPr>
        <w:tabs>
          <w:tab w:val="left" w:pos="567"/>
        </w:tabs>
        <w:ind w:left="567"/>
        <w:jc w:val="both"/>
        <w:rPr>
          <w:rFonts w:ascii="Arial" w:eastAsia="Arial" w:hAnsi="Arial" w:cs="Arial"/>
        </w:rPr>
      </w:pPr>
      <w:r w:rsidRPr="576901D2">
        <w:rPr>
          <w:rFonts w:ascii="Arial" w:eastAsia="Arial" w:hAnsi="Arial" w:cs="Arial"/>
        </w:rPr>
        <w:t>Anonymity</w:t>
      </w:r>
    </w:p>
    <w:p w14:paraId="3BB4BAEE" w14:textId="77777777" w:rsidR="00EB45D2" w:rsidRPr="008578D0" w:rsidRDefault="00EB45D2" w:rsidP="00EB45D2">
      <w:pPr>
        <w:tabs>
          <w:tab w:val="left" w:pos="567"/>
        </w:tabs>
        <w:ind w:left="567"/>
        <w:jc w:val="both"/>
        <w:rPr>
          <w:rFonts w:ascii="Arial" w:hAnsi="Arial" w:cs="Arial"/>
        </w:rPr>
      </w:pPr>
    </w:p>
    <w:p w14:paraId="30A5EDD9" w14:textId="77777777" w:rsidR="00D77B00" w:rsidRPr="008578D0" w:rsidRDefault="00D77B00" w:rsidP="00D77B00">
      <w:pPr>
        <w:tabs>
          <w:tab w:val="left" w:pos="567"/>
        </w:tabs>
        <w:ind w:left="567"/>
        <w:jc w:val="both"/>
        <w:rPr>
          <w:rFonts w:ascii="Arial" w:eastAsia="Arial" w:hAnsi="Arial" w:cs="Arial"/>
        </w:rPr>
      </w:pPr>
      <w:r w:rsidRPr="576901D2">
        <w:rPr>
          <w:rFonts w:ascii="Arial" w:eastAsia="Arial" w:hAnsi="Arial" w:cs="Arial"/>
        </w:rPr>
        <w:t xml:space="preserve">The First-tier Tribunal made an order pursuant to rule </w:t>
      </w:r>
      <w:r>
        <w:rPr>
          <w:rFonts w:ascii="Arial" w:eastAsia="Arial" w:hAnsi="Arial" w:cs="Arial"/>
        </w:rPr>
        <w:t>13</w:t>
      </w:r>
      <w:r w:rsidRPr="576901D2">
        <w:rPr>
          <w:rFonts w:ascii="Arial" w:eastAsia="Arial" w:hAnsi="Arial" w:cs="Arial"/>
        </w:rPr>
        <w:t xml:space="preserve"> of the </w:t>
      </w:r>
      <w:r>
        <w:rPr>
          <w:rFonts w:ascii="Arial" w:eastAsia="Arial" w:hAnsi="Arial" w:cs="Arial"/>
        </w:rPr>
        <w:t>Tribunal Procedure (First-tier Tribunal) (</w:t>
      </w:r>
      <w:r w:rsidRPr="576901D2">
        <w:rPr>
          <w:rFonts w:ascii="Arial" w:eastAsia="Arial" w:hAnsi="Arial" w:cs="Arial"/>
        </w:rPr>
        <w:t xml:space="preserve">Immigration </w:t>
      </w:r>
      <w:r>
        <w:rPr>
          <w:rFonts w:ascii="Arial" w:eastAsia="Arial" w:hAnsi="Arial" w:cs="Arial"/>
        </w:rPr>
        <w:t>and Asylum Chamber)</w:t>
      </w:r>
      <w:r w:rsidRPr="576901D2">
        <w:rPr>
          <w:rFonts w:ascii="Arial" w:eastAsia="Arial" w:hAnsi="Arial" w:cs="Arial"/>
        </w:rPr>
        <w:t xml:space="preserve"> Rules 20</w:t>
      </w:r>
      <w:r>
        <w:rPr>
          <w:rFonts w:ascii="Arial" w:eastAsia="Arial" w:hAnsi="Arial" w:cs="Arial"/>
        </w:rPr>
        <w:t>14</w:t>
      </w:r>
      <w:r w:rsidRPr="576901D2">
        <w:rPr>
          <w:rFonts w:ascii="Arial" w:eastAsia="Arial" w:hAnsi="Arial" w:cs="Arial"/>
        </w:rPr>
        <w:t>.</w:t>
      </w:r>
    </w:p>
    <w:p w14:paraId="3BB4BAF0" w14:textId="77777777" w:rsidR="00EB45D2" w:rsidRPr="008578D0" w:rsidRDefault="00EB45D2" w:rsidP="00EB45D2">
      <w:pPr>
        <w:tabs>
          <w:tab w:val="left" w:pos="567"/>
        </w:tabs>
        <w:ind w:left="567"/>
        <w:jc w:val="both"/>
        <w:rPr>
          <w:rFonts w:ascii="Arial" w:hAnsi="Arial" w:cs="Arial"/>
        </w:rPr>
      </w:pPr>
    </w:p>
    <w:p w14:paraId="3BB4BAF1" w14:textId="1B390AF0" w:rsidR="00EB45D2" w:rsidRPr="008578D0" w:rsidRDefault="00DA4AEA" w:rsidP="576901D2">
      <w:pPr>
        <w:tabs>
          <w:tab w:val="left" w:pos="567"/>
        </w:tabs>
        <w:ind w:left="567"/>
        <w:jc w:val="both"/>
        <w:rPr>
          <w:rFonts w:ascii="Arial" w:eastAsia="Arial" w:hAnsi="Arial" w:cs="Arial"/>
        </w:rPr>
      </w:pPr>
      <w:r>
        <w:rPr>
          <w:rFonts w:ascii="Arial" w:eastAsia="Arial" w:hAnsi="Arial" w:cs="Arial"/>
        </w:rPr>
        <w:t xml:space="preserve">I </w:t>
      </w:r>
      <w:r w:rsidR="576901D2" w:rsidRPr="576901D2">
        <w:rPr>
          <w:rFonts w:ascii="Arial" w:eastAsia="Arial" w:hAnsi="Arial" w:cs="Arial"/>
        </w:rPr>
        <w:t>continue that order (pursuant to rule 14 of the Tribunal Procedure (Upper Tribunal) Rules 2008).</w:t>
      </w:r>
    </w:p>
    <w:p w14:paraId="3BB4BAF2" w14:textId="77777777" w:rsidR="00EB45D2" w:rsidRPr="008578D0" w:rsidRDefault="00EB45D2" w:rsidP="00EB45D2">
      <w:pPr>
        <w:tabs>
          <w:tab w:val="left" w:pos="567"/>
        </w:tabs>
        <w:jc w:val="both"/>
        <w:rPr>
          <w:rFonts w:ascii="Arial" w:hAnsi="Arial" w:cs="Arial"/>
        </w:rPr>
      </w:pPr>
    </w:p>
    <w:p w14:paraId="3BB4BAFC" w14:textId="77777777" w:rsidR="00D273A7" w:rsidRPr="008578D0" w:rsidRDefault="00D273A7" w:rsidP="00036813">
      <w:pPr>
        <w:tabs>
          <w:tab w:val="left" w:pos="567"/>
        </w:tabs>
        <w:ind w:left="360"/>
        <w:jc w:val="both"/>
        <w:rPr>
          <w:rFonts w:ascii="Arial" w:hAnsi="Arial" w:cs="Arial"/>
        </w:rPr>
      </w:pPr>
    </w:p>
    <w:p w14:paraId="3BB4BB02" w14:textId="073186E2" w:rsidR="001F2716" w:rsidRPr="008578D0" w:rsidRDefault="00780F86" w:rsidP="576901D2">
      <w:pPr>
        <w:ind w:left="1079" w:hanging="539"/>
        <w:rPr>
          <w:rFonts w:ascii="Arial" w:eastAsia="Arial" w:hAnsi="Arial" w:cs="Arial"/>
        </w:rPr>
      </w:pPr>
      <w:r w:rsidRPr="008578D0">
        <w:rPr>
          <w:rFonts w:ascii="Arial" w:hAnsi="Arial" w:cs="Arial"/>
        </w:rPr>
        <w:tab/>
      </w:r>
    </w:p>
    <w:p w14:paraId="3BB4BB03" w14:textId="5E3D501A" w:rsidR="00423156" w:rsidRDefault="00423156" w:rsidP="00B55768">
      <w:pPr>
        <w:tabs>
          <w:tab w:val="left" w:pos="2520"/>
        </w:tabs>
        <w:rPr>
          <w:rFonts w:ascii="Arial" w:hAnsi="Arial" w:cs="Arial"/>
          <w:color w:val="000000"/>
        </w:rPr>
      </w:pPr>
    </w:p>
    <w:p w14:paraId="3BB4BB04" w14:textId="77777777" w:rsidR="00423156" w:rsidRDefault="00423156" w:rsidP="00B55768">
      <w:pPr>
        <w:tabs>
          <w:tab w:val="left" w:pos="2520"/>
        </w:tabs>
        <w:rPr>
          <w:rFonts w:ascii="Arial" w:hAnsi="Arial" w:cs="Arial"/>
          <w:color w:val="000000"/>
        </w:rPr>
      </w:pPr>
    </w:p>
    <w:p w14:paraId="3BB4BB05" w14:textId="16561321" w:rsidR="00423156" w:rsidRPr="00CB5C79" w:rsidRDefault="00CB5C79" w:rsidP="00B55768">
      <w:pPr>
        <w:tabs>
          <w:tab w:val="left" w:pos="2520"/>
        </w:tabs>
        <w:rPr>
          <w:rFonts w:ascii="Lucida Handwriting" w:hAnsi="Lucida Handwriting" w:cs="Arial"/>
          <w:color w:val="000000"/>
        </w:rPr>
      </w:pPr>
      <w:r>
        <w:rPr>
          <w:rFonts w:ascii="Lucida Handwriting" w:hAnsi="Lucida Handwriting" w:cs="Arial"/>
          <w:color w:val="000000"/>
        </w:rPr>
        <w:t>Jane Coker</w:t>
      </w:r>
    </w:p>
    <w:p w14:paraId="3BB4BB06" w14:textId="780DEC85" w:rsidR="00B95326" w:rsidRPr="008578D0" w:rsidRDefault="007551BA" w:rsidP="576901D2">
      <w:pPr>
        <w:tabs>
          <w:tab w:val="left" w:pos="2520"/>
        </w:tabs>
        <w:rPr>
          <w:rFonts w:ascii="Arial" w:eastAsia="Arial" w:hAnsi="Arial" w:cs="Arial"/>
          <w:color w:val="000000" w:themeColor="text1"/>
        </w:rPr>
      </w:pPr>
      <w:r>
        <w:rPr>
          <w:noProof/>
        </w:rPr>
        <w:drawing>
          <wp:anchor distT="0" distB="0" distL="114300" distR="114300" simplePos="0" relativeHeight="251659264" behindDoc="1" locked="0" layoutInCell="1" allowOverlap="1" wp14:anchorId="24762D5F" wp14:editId="23CCC330">
            <wp:simplePos x="0" y="0"/>
            <wp:positionH relativeFrom="column">
              <wp:posOffset>2110740</wp:posOffset>
            </wp:positionH>
            <wp:positionV relativeFrom="paragraph">
              <wp:posOffset>532765</wp:posOffset>
            </wp:positionV>
            <wp:extent cx="1520190" cy="1508125"/>
            <wp:effectExtent l="0" t="0" r="3810" b="0"/>
            <wp:wrapNone/>
            <wp:docPr id="11" name="Picture 11" descr="C:\Users\kie19a\AppData\Local\Microsoft\Windows\INetCache\Content.Word\cropped Upper Tribunal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ie19a\AppData\Local\Microsoft\Windows\INetCache\Content.Word\cropped Upper Tribunal stam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90" cy="1508125"/>
                    </a:xfrm>
                    <a:prstGeom prst="rect">
                      <a:avLst/>
                    </a:prstGeom>
                    <a:noFill/>
                    <a:ln>
                      <a:noFill/>
                    </a:ln>
                  </pic:spPr>
                </pic:pic>
              </a:graphicData>
            </a:graphic>
            <wp14:sizeRelH relativeFrom="page">
              <wp14:pctWidth>0</wp14:pctWidth>
            </wp14:sizeRelH>
            <wp14:sizeRelV relativeFrom="page">
              <wp14:pctHeight>0</wp14:pctHeight>
            </wp14:sizeRelV>
          </wp:anchor>
        </w:drawing>
      </w:r>
      <w:r w:rsidR="576901D2" w:rsidRPr="576901D2">
        <w:rPr>
          <w:rFonts w:ascii="Arial" w:eastAsia="Arial" w:hAnsi="Arial" w:cs="Arial"/>
          <w:color w:val="000000" w:themeColor="text1"/>
        </w:rPr>
        <w:t>Upper Tribunal Judge Coker</w:t>
      </w:r>
      <w:r w:rsidR="00D36AF6">
        <w:rPr>
          <w:rFonts w:ascii="Arial" w:eastAsia="Arial" w:hAnsi="Arial" w:cs="Arial"/>
          <w:color w:val="000000" w:themeColor="text1"/>
        </w:rPr>
        <w:t xml:space="preserve">                                                  Date 24 August 2020</w:t>
      </w:r>
    </w:p>
    <w:sectPr w:rsidR="00B95326" w:rsidRPr="008578D0" w:rsidSect="007A47DD">
      <w:headerReference w:type="default" r:id="rId10"/>
      <w:footerReference w:type="default" r:id="rId11"/>
      <w:footerReference w:type="first" r:id="rId12"/>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24B83" w14:textId="77777777" w:rsidR="000E2741" w:rsidRDefault="000E2741">
      <w:r>
        <w:separator/>
      </w:r>
    </w:p>
  </w:endnote>
  <w:endnote w:type="continuationSeparator" w:id="0">
    <w:p w14:paraId="34026C83" w14:textId="77777777" w:rsidR="000E2741" w:rsidRDefault="000E2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4BB11" w14:textId="2959C51F" w:rsidR="001F6F7E" w:rsidRPr="007A47DD" w:rsidRDefault="001F6F7E" w:rsidP="00593795">
    <w:pPr>
      <w:pStyle w:val="Footer"/>
      <w:jc w:val="center"/>
      <w:rPr>
        <w:rFonts w:ascii="Arial" w:hAnsi="Arial" w:cs="Arial"/>
      </w:rPr>
    </w:pPr>
    <w:r w:rsidRPr="007A47DD">
      <w:rPr>
        <w:rStyle w:val="PageNumber"/>
        <w:rFonts w:ascii="Arial" w:hAnsi="Arial" w:cs="Arial"/>
      </w:rPr>
      <w:fldChar w:fldCharType="begin"/>
    </w:r>
    <w:r w:rsidRPr="007A47DD">
      <w:rPr>
        <w:rStyle w:val="PageNumber"/>
        <w:rFonts w:ascii="Arial" w:hAnsi="Arial" w:cs="Arial"/>
      </w:rPr>
      <w:instrText xml:space="preserve"> PAGE </w:instrText>
    </w:r>
    <w:r w:rsidRPr="007A47DD">
      <w:rPr>
        <w:rStyle w:val="PageNumber"/>
        <w:rFonts w:ascii="Arial" w:hAnsi="Arial" w:cs="Arial"/>
      </w:rPr>
      <w:fldChar w:fldCharType="separate"/>
    </w:r>
    <w:r w:rsidR="00572015" w:rsidRPr="007A47DD">
      <w:rPr>
        <w:rStyle w:val="PageNumber"/>
        <w:rFonts w:ascii="Arial" w:hAnsi="Arial" w:cs="Arial"/>
        <w:noProof/>
      </w:rPr>
      <w:t>6</w:t>
    </w:r>
    <w:r w:rsidRPr="007A47DD">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4BB13" w14:textId="11E8C003" w:rsidR="001F6F7E" w:rsidRPr="00090CF9" w:rsidRDefault="001F6F7E" w:rsidP="576901D2">
    <w:pPr>
      <w:jc w:val="center"/>
      <w:rPr>
        <w:rFonts w:ascii="Arial" w:eastAsia="Arial" w:hAnsi="Arial" w:cs="Arial"/>
        <w:b/>
        <w:bCs/>
      </w:rPr>
    </w:pPr>
    <w:r w:rsidRPr="576901D2">
      <w:rPr>
        <w:rFonts w:ascii="Arial" w:eastAsia="Arial" w:hAnsi="Arial" w:cs="Arial"/>
        <w:b/>
        <w:bCs/>
        <w:spacing w:val="-6"/>
      </w:rPr>
      <w:t>©</w:t>
    </w:r>
    <w:r w:rsidR="00206D4B" w:rsidRPr="576901D2">
      <w:rPr>
        <w:rFonts w:ascii="Arial" w:eastAsia="Arial" w:hAnsi="Arial" w:cs="Arial"/>
        <w:b/>
        <w:bCs/>
      </w:rPr>
      <w:t xml:space="preserve"> CROWN COPYRIGHT 20</w:t>
    </w:r>
    <w:r w:rsidR="00675620">
      <w:rPr>
        <w:rFonts w:ascii="Arial" w:eastAsia="Arial" w:hAnsi="Arial" w:cs="Arial"/>
        <w:b/>
        <w:bCs/>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92720" w14:textId="77777777" w:rsidR="000E2741" w:rsidRDefault="000E2741">
      <w:r>
        <w:separator/>
      </w:r>
    </w:p>
  </w:footnote>
  <w:footnote w:type="continuationSeparator" w:id="0">
    <w:p w14:paraId="24D1465E" w14:textId="77777777" w:rsidR="000E2741" w:rsidRDefault="000E2741">
      <w:r>
        <w:continuationSeparator/>
      </w:r>
    </w:p>
  </w:footnote>
  <w:footnote w:id="1">
    <w:p w14:paraId="35BD0125" w14:textId="6979DE54" w:rsidR="00DE21AB" w:rsidRPr="007A47DD" w:rsidRDefault="00DE21AB" w:rsidP="00E35DF4">
      <w:pPr>
        <w:pStyle w:val="paragraph"/>
        <w:ind w:left="360" w:firstLine="720"/>
        <w:textAlignment w:val="baseline"/>
        <w:rPr>
          <w:sz w:val="20"/>
          <w:szCs w:val="20"/>
        </w:rPr>
      </w:pPr>
      <w:r w:rsidRPr="007A47DD">
        <w:rPr>
          <w:rStyle w:val="FootnoteReference"/>
          <w:sz w:val="20"/>
          <w:szCs w:val="20"/>
        </w:rPr>
        <w:footnoteRef/>
      </w:r>
      <w:r w:rsidRPr="007A47DD">
        <w:rPr>
          <w:sz w:val="20"/>
          <w:szCs w:val="20"/>
        </w:rPr>
        <w:t xml:space="preserve"> </w:t>
      </w:r>
      <w:r w:rsidRPr="007A47DD">
        <w:rPr>
          <w:rStyle w:val="normaltextrun"/>
          <w:rFonts w:ascii="Calibri" w:hAnsi="Calibri" w:cs="Calibri"/>
          <w:sz w:val="20"/>
          <w:szCs w:val="20"/>
        </w:rPr>
        <w:t xml:space="preserve">(a)the respondent’s </w:t>
      </w:r>
      <w:r w:rsidRPr="007A47DD">
        <w:rPr>
          <w:rStyle w:val="contextualspellingandgrammarerror"/>
          <w:rFonts w:ascii="Calibri" w:hAnsi="Calibri" w:cs="Calibri"/>
          <w:sz w:val="20"/>
          <w:szCs w:val="20"/>
        </w:rPr>
        <w:t>bundle;</w:t>
      </w:r>
      <w:r w:rsidRPr="007A47DD">
        <w:rPr>
          <w:rStyle w:val="eop"/>
          <w:rFonts w:ascii="Calibri" w:hAnsi="Calibri" w:cs="Calibri"/>
          <w:sz w:val="20"/>
          <w:szCs w:val="20"/>
        </w:rPr>
        <w:t> </w:t>
      </w:r>
      <w:r w:rsidRPr="007A47DD">
        <w:rPr>
          <w:rStyle w:val="normaltextrun"/>
          <w:rFonts w:ascii="Calibri" w:hAnsi="Calibri" w:cs="Calibri"/>
          <w:sz w:val="20"/>
          <w:szCs w:val="20"/>
        </w:rPr>
        <w:t xml:space="preserve">(b) the bundle </w:t>
      </w:r>
      <w:r w:rsidR="00003F8E" w:rsidRPr="007A47DD">
        <w:rPr>
          <w:rStyle w:val="normaltextrun"/>
          <w:rFonts w:ascii="Calibri" w:hAnsi="Calibri" w:cs="Calibri"/>
          <w:sz w:val="20"/>
          <w:szCs w:val="20"/>
        </w:rPr>
        <w:t xml:space="preserve">and supplementary bundle </w:t>
      </w:r>
      <w:r w:rsidRPr="007A47DD">
        <w:rPr>
          <w:rStyle w:val="normaltextrun"/>
          <w:rFonts w:ascii="Calibri" w:hAnsi="Calibri" w:cs="Calibri"/>
          <w:sz w:val="20"/>
          <w:szCs w:val="20"/>
        </w:rPr>
        <w:t xml:space="preserve">filed on behalf of the appellant </w:t>
      </w:r>
      <w:r w:rsidR="00003F8E" w:rsidRPr="007A47DD">
        <w:rPr>
          <w:rStyle w:val="normaltextrun"/>
          <w:rFonts w:ascii="Calibri" w:hAnsi="Calibri" w:cs="Calibri"/>
          <w:sz w:val="20"/>
          <w:szCs w:val="20"/>
        </w:rPr>
        <w:t xml:space="preserve">for the hearing before the </w:t>
      </w:r>
      <w:proofErr w:type="spellStart"/>
      <w:r w:rsidR="00003F8E" w:rsidRPr="007A47DD">
        <w:rPr>
          <w:rStyle w:val="normaltextrun"/>
          <w:rFonts w:ascii="Calibri" w:hAnsi="Calibri" w:cs="Calibri"/>
          <w:sz w:val="20"/>
          <w:szCs w:val="20"/>
        </w:rPr>
        <w:t>FtT</w:t>
      </w:r>
      <w:proofErr w:type="spellEnd"/>
      <w:r w:rsidR="00003F8E" w:rsidRPr="007A47DD">
        <w:rPr>
          <w:rStyle w:val="normaltextrun"/>
          <w:rFonts w:ascii="Calibri" w:hAnsi="Calibri" w:cs="Calibri"/>
          <w:sz w:val="20"/>
          <w:szCs w:val="20"/>
        </w:rPr>
        <w:t xml:space="preserve"> on 21</w:t>
      </w:r>
      <w:r w:rsidR="00003F8E" w:rsidRPr="007A47DD">
        <w:rPr>
          <w:rStyle w:val="normaltextrun"/>
          <w:rFonts w:ascii="Calibri" w:hAnsi="Calibri" w:cs="Calibri"/>
          <w:sz w:val="20"/>
          <w:szCs w:val="20"/>
          <w:vertAlign w:val="superscript"/>
        </w:rPr>
        <w:t>st</w:t>
      </w:r>
      <w:r w:rsidR="00003F8E" w:rsidRPr="007A47DD">
        <w:rPr>
          <w:rStyle w:val="normaltextrun"/>
          <w:rFonts w:ascii="Calibri" w:hAnsi="Calibri" w:cs="Calibri"/>
          <w:sz w:val="20"/>
          <w:szCs w:val="20"/>
        </w:rPr>
        <w:t xml:space="preserve"> November 2019;</w:t>
      </w:r>
      <w:r w:rsidR="00E35DF4" w:rsidRPr="007A47DD">
        <w:rPr>
          <w:rStyle w:val="eop"/>
          <w:rFonts w:ascii="Calibri" w:hAnsi="Calibri" w:cs="Calibri"/>
          <w:sz w:val="20"/>
          <w:szCs w:val="20"/>
        </w:rPr>
        <w:t xml:space="preserve"> </w:t>
      </w:r>
      <w:r w:rsidRPr="007A47DD">
        <w:rPr>
          <w:rStyle w:val="normaltextrun"/>
          <w:rFonts w:ascii="Calibri" w:hAnsi="Calibri" w:cs="Calibri"/>
          <w:sz w:val="20"/>
          <w:szCs w:val="20"/>
        </w:rPr>
        <w:t xml:space="preserve">(c) </w:t>
      </w:r>
      <w:r w:rsidR="00003F8E" w:rsidRPr="007A47DD">
        <w:rPr>
          <w:rStyle w:val="normaltextrun"/>
          <w:rFonts w:ascii="Calibri" w:hAnsi="Calibri" w:cs="Calibri"/>
          <w:sz w:val="20"/>
          <w:szCs w:val="20"/>
        </w:rPr>
        <w:t xml:space="preserve">bundle filed on behalf of the appellant for the hearing before </w:t>
      </w:r>
      <w:proofErr w:type="spellStart"/>
      <w:r w:rsidR="00003F8E" w:rsidRPr="007A47DD">
        <w:rPr>
          <w:rStyle w:val="normaltextrun"/>
          <w:rFonts w:ascii="Calibri" w:hAnsi="Calibri" w:cs="Calibri"/>
          <w:sz w:val="20"/>
          <w:szCs w:val="20"/>
        </w:rPr>
        <w:t>FtT</w:t>
      </w:r>
      <w:proofErr w:type="spellEnd"/>
      <w:r w:rsidR="00003F8E" w:rsidRPr="007A47DD">
        <w:rPr>
          <w:rStyle w:val="normaltextrun"/>
          <w:rFonts w:ascii="Calibri" w:hAnsi="Calibri" w:cs="Calibri"/>
          <w:sz w:val="20"/>
          <w:szCs w:val="20"/>
        </w:rPr>
        <w:t xml:space="preserve"> Judge </w:t>
      </w:r>
      <w:proofErr w:type="spellStart"/>
      <w:r w:rsidR="00003F8E" w:rsidRPr="007A47DD">
        <w:rPr>
          <w:rStyle w:val="normaltextrun"/>
          <w:rFonts w:ascii="Calibri" w:hAnsi="Calibri" w:cs="Calibri"/>
          <w:sz w:val="20"/>
          <w:szCs w:val="20"/>
        </w:rPr>
        <w:t>Maka</w:t>
      </w:r>
      <w:proofErr w:type="spellEnd"/>
      <w:r w:rsidR="00003F8E" w:rsidRPr="007A47DD">
        <w:rPr>
          <w:rStyle w:val="normaltextrun"/>
          <w:rFonts w:ascii="Calibri" w:hAnsi="Calibri" w:cs="Calibri"/>
          <w:sz w:val="20"/>
          <w:szCs w:val="20"/>
        </w:rPr>
        <w:t xml:space="preserve"> on 25</w:t>
      </w:r>
      <w:r w:rsidR="00003F8E" w:rsidRPr="007A47DD">
        <w:rPr>
          <w:rStyle w:val="normaltextrun"/>
          <w:rFonts w:ascii="Calibri" w:hAnsi="Calibri" w:cs="Calibri"/>
          <w:sz w:val="20"/>
          <w:szCs w:val="20"/>
          <w:vertAlign w:val="superscript"/>
        </w:rPr>
        <w:t>th</w:t>
      </w:r>
      <w:r w:rsidR="00003F8E" w:rsidRPr="007A47DD">
        <w:rPr>
          <w:rStyle w:val="normaltextrun"/>
          <w:rFonts w:ascii="Calibri" w:hAnsi="Calibri" w:cs="Calibri"/>
          <w:sz w:val="20"/>
          <w:szCs w:val="20"/>
        </w:rPr>
        <w:t xml:space="preserve"> April 2019 (that decision was set aside and remitted to the </w:t>
      </w:r>
      <w:proofErr w:type="spellStart"/>
      <w:r w:rsidR="00003F8E" w:rsidRPr="007A47DD">
        <w:rPr>
          <w:rStyle w:val="normaltextrun"/>
          <w:rFonts w:ascii="Calibri" w:hAnsi="Calibri" w:cs="Calibri"/>
          <w:sz w:val="20"/>
          <w:szCs w:val="20"/>
        </w:rPr>
        <w:t>FtT</w:t>
      </w:r>
      <w:proofErr w:type="spellEnd"/>
      <w:r w:rsidR="00003F8E" w:rsidRPr="007A47DD">
        <w:rPr>
          <w:rStyle w:val="normaltextrun"/>
          <w:rFonts w:ascii="Calibri" w:hAnsi="Calibri" w:cs="Calibri"/>
          <w:sz w:val="20"/>
          <w:szCs w:val="20"/>
        </w:rPr>
        <w:t xml:space="preserve"> </w:t>
      </w:r>
      <w:r w:rsidR="00003F8E" w:rsidRPr="007A47DD">
        <w:rPr>
          <w:rStyle w:val="normaltextrun"/>
          <w:rFonts w:ascii="Calibri" w:hAnsi="Calibri" w:cs="Calibri"/>
          <w:i/>
          <w:iCs/>
          <w:sz w:val="20"/>
          <w:szCs w:val="20"/>
        </w:rPr>
        <w:t>de novo</w:t>
      </w:r>
      <w:r w:rsidR="00003F8E" w:rsidRPr="007A47DD">
        <w:rPr>
          <w:rStyle w:val="normaltextrun"/>
          <w:rFonts w:ascii="Calibri" w:hAnsi="Calibri" w:cs="Calibri"/>
          <w:sz w:val="20"/>
          <w:szCs w:val="20"/>
        </w:rPr>
        <w:t>; (d )</w:t>
      </w:r>
      <w:r w:rsidRPr="007A47DD">
        <w:rPr>
          <w:rStyle w:val="normaltextrun"/>
          <w:rFonts w:ascii="Calibri" w:hAnsi="Calibri" w:cs="Calibri"/>
          <w:sz w:val="20"/>
          <w:szCs w:val="20"/>
        </w:rPr>
        <w:t xml:space="preserve">the decision of </w:t>
      </w:r>
      <w:proofErr w:type="spellStart"/>
      <w:r w:rsidRPr="007A47DD">
        <w:rPr>
          <w:rStyle w:val="spellingerror"/>
          <w:rFonts w:ascii="Calibri" w:hAnsi="Calibri" w:cs="Calibri"/>
          <w:sz w:val="20"/>
          <w:szCs w:val="20"/>
        </w:rPr>
        <w:t>FtT</w:t>
      </w:r>
      <w:proofErr w:type="spellEnd"/>
      <w:r w:rsidRPr="007A47DD">
        <w:rPr>
          <w:rStyle w:val="normaltextrun"/>
          <w:rFonts w:ascii="Calibri" w:hAnsi="Calibri" w:cs="Calibri"/>
          <w:sz w:val="20"/>
          <w:szCs w:val="20"/>
        </w:rPr>
        <w:t xml:space="preserve"> judge </w:t>
      </w:r>
      <w:r w:rsidR="00003F8E" w:rsidRPr="007A47DD">
        <w:rPr>
          <w:rStyle w:val="normaltextrun"/>
          <w:rFonts w:ascii="Calibri" w:hAnsi="Calibri" w:cs="Calibri"/>
          <w:sz w:val="20"/>
          <w:szCs w:val="20"/>
        </w:rPr>
        <w:t>Andrew</w:t>
      </w:r>
      <w:r w:rsidRPr="007A47DD">
        <w:rPr>
          <w:rStyle w:val="contextualspellingandgrammarerror"/>
          <w:rFonts w:ascii="Calibri" w:hAnsi="Calibri" w:cs="Calibri"/>
          <w:sz w:val="20"/>
          <w:szCs w:val="20"/>
        </w:rPr>
        <w:t>;</w:t>
      </w:r>
      <w:r w:rsidRPr="007A47DD">
        <w:rPr>
          <w:rStyle w:val="eop"/>
          <w:rFonts w:ascii="Calibri" w:hAnsi="Calibri" w:cs="Calibri"/>
          <w:sz w:val="20"/>
          <w:szCs w:val="20"/>
        </w:rPr>
        <w:t> </w:t>
      </w:r>
      <w:r w:rsidRPr="007A47DD">
        <w:rPr>
          <w:rStyle w:val="normaltextrun"/>
          <w:rFonts w:ascii="Calibri" w:hAnsi="Calibri" w:cs="Calibri"/>
          <w:sz w:val="20"/>
          <w:szCs w:val="20"/>
        </w:rPr>
        <w:t>(</w:t>
      </w:r>
      <w:r w:rsidR="00003F8E" w:rsidRPr="007A47DD">
        <w:rPr>
          <w:rStyle w:val="normaltextrun"/>
          <w:rFonts w:ascii="Calibri" w:hAnsi="Calibri" w:cs="Calibri"/>
          <w:sz w:val="20"/>
          <w:szCs w:val="20"/>
        </w:rPr>
        <w:t>f</w:t>
      </w:r>
      <w:r w:rsidRPr="007A47DD">
        <w:rPr>
          <w:rStyle w:val="normaltextrun"/>
          <w:rFonts w:ascii="Calibri" w:hAnsi="Calibri" w:cs="Calibri"/>
          <w:sz w:val="20"/>
          <w:szCs w:val="20"/>
        </w:rPr>
        <w:t>) The application for permission to appeal; and</w:t>
      </w:r>
      <w:r w:rsidRPr="007A47DD">
        <w:rPr>
          <w:rStyle w:val="eop"/>
          <w:rFonts w:ascii="Calibri" w:hAnsi="Calibri" w:cs="Calibri"/>
          <w:sz w:val="20"/>
          <w:szCs w:val="20"/>
        </w:rPr>
        <w:t> </w:t>
      </w:r>
      <w:r w:rsidRPr="007A47DD">
        <w:rPr>
          <w:rStyle w:val="normaltextrun"/>
          <w:rFonts w:ascii="Calibri" w:hAnsi="Calibri" w:cs="Calibri"/>
          <w:sz w:val="20"/>
          <w:szCs w:val="20"/>
        </w:rPr>
        <w:t>(</w:t>
      </w:r>
      <w:r w:rsidR="00003F8E" w:rsidRPr="007A47DD">
        <w:rPr>
          <w:rStyle w:val="normaltextrun"/>
          <w:rFonts w:ascii="Calibri" w:hAnsi="Calibri" w:cs="Calibri"/>
          <w:sz w:val="20"/>
          <w:szCs w:val="20"/>
        </w:rPr>
        <w:t>g</w:t>
      </w:r>
      <w:r w:rsidRPr="007A47DD">
        <w:rPr>
          <w:rStyle w:val="normaltextrun"/>
          <w:rFonts w:ascii="Calibri" w:hAnsi="Calibri" w:cs="Calibri"/>
          <w:sz w:val="20"/>
          <w:szCs w:val="20"/>
        </w:rPr>
        <w:t>) the grant of permission to appeal.</w:t>
      </w:r>
      <w:r w:rsidRPr="007A47DD">
        <w:rPr>
          <w:rStyle w:val="eop"/>
          <w:rFonts w:ascii="Calibri" w:hAnsi="Calibri" w:cs="Calibri"/>
          <w:sz w:val="20"/>
          <w:szCs w:val="20"/>
        </w:rPr>
        <w:t> </w:t>
      </w:r>
    </w:p>
    <w:p w14:paraId="77D3798B" w14:textId="2EE1B7B8" w:rsidR="00DE21AB" w:rsidRDefault="00DE21AB">
      <w:pPr>
        <w:pStyle w:val="FootnoteText"/>
      </w:pPr>
    </w:p>
  </w:footnote>
  <w:footnote w:id="2">
    <w:p w14:paraId="7EBE4B29" w14:textId="11388E42" w:rsidR="009C6294" w:rsidRDefault="009C6294">
      <w:pPr>
        <w:pStyle w:val="FootnoteText"/>
      </w:pPr>
      <w:r>
        <w:rPr>
          <w:rStyle w:val="FootnoteReference"/>
        </w:rPr>
        <w:footnoteRef/>
      </w:r>
      <w:r>
        <w:t xml:space="preserve"> “As previously </w:t>
      </w:r>
      <w:proofErr w:type="gramStart"/>
      <w:r>
        <w:t>stated</w:t>
      </w:r>
      <w:proofErr w:type="gramEnd"/>
      <w:r>
        <w:t xml:space="preserve">. You claim that you ran to your uncle’s home following your escape from the Iranian </w:t>
      </w:r>
      <w:r w:rsidR="000F4D9A">
        <w:t>authorities</w:t>
      </w:r>
      <w:r>
        <w:t xml:space="preserve">. You claim that you ran to his house because it was closer to the location you were ambushed from (WS paragraph 8). </w:t>
      </w:r>
      <w:proofErr w:type="gramStart"/>
      <w:r>
        <w:t>However</w:t>
      </w:r>
      <w:proofErr w:type="gramEnd"/>
      <w:r>
        <w:t xml:space="preserve"> in your substantive interview</w:t>
      </w:r>
      <w:r w:rsidR="00211981">
        <w:t xml:space="preserve">, you claim that you ran to a village called </w:t>
      </w:r>
      <w:proofErr w:type="spellStart"/>
      <w:r w:rsidR="00211981">
        <w:t>Hanga</w:t>
      </w:r>
      <w:proofErr w:type="spellEnd"/>
      <w:r w:rsidR="00211981">
        <w:t xml:space="preserve"> </w:t>
      </w:r>
      <w:proofErr w:type="spellStart"/>
      <w:r w:rsidR="00211981">
        <w:t>Zhal</w:t>
      </w:r>
      <w:proofErr w:type="spellEnd"/>
      <w:r w:rsidR="00211981">
        <w:t xml:space="preserve">, with a </w:t>
      </w:r>
      <w:r w:rsidR="00DA1EF1">
        <w:t>fellow</w:t>
      </w:r>
      <w:r w:rsidR="00211981">
        <w:t xml:space="preserve"> smuggler who also escaped the ambush, named Hemin (AIR Q</w:t>
      </w:r>
      <w:r w:rsidR="003C215E">
        <w:t xml:space="preserve">83, 85). From this village you claim you were driven to your uncle’s home in </w:t>
      </w:r>
      <w:proofErr w:type="spellStart"/>
      <w:r w:rsidR="003C215E">
        <w:t>Balisan</w:t>
      </w:r>
      <w:proofErr w:type="spellEnd"/>
      <w:r w:rsidR="003C215E">
        <w:t xml:space="preserve"> (AIR Q85). It is considered that you have provided an inconsistent account of where you went following the ambush by the authorities. This casts further doubt on the credibility of your claim.”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4BB10" w14:textId="4CAE4139" w:rsidR="001F6F7E" w:rsidRDefault="001F6F7E" w:rsidP="576901D2">
    <w:pPr>
      <w:pStyle w:val="Header"/>
      <w:jc w:val="right"/>
      <w:rPr>
        <w:rFonts w:ascii="Arial" w:eastAsia="Arial" w:hAnsi="Arial" w:cs="Arial"/>
        <w:sz w:val="16"/>
        <w:szCs w:val="16"/>
      </w:rPr>
    </w:pPr>
    <w:r w:rsidRPr="576901D2">
      <w:rPr>
        <w:rFonts w:ascii="Arial" w:eastAsia="Arial" w:hAnsi="Arial" w:cs="Arial"/>
        <w:sz w:val="16"/>
        <w:szCs w:val="16"/>
      </w:rPr>
      <w:t>Appeal Number:</w:t>
    </w:r>
    <w:r w:rsidR="003C0ED5">
      <w:rPr>
        <w:rFonts w:ascii="Arial" w:eastAsia="Arial" w:hAnsi="Arial" w:cs="Arial"/>
        <w:sz w:val="16"/>
        <w:szCs w:val="16"/>
      </w:rPr>
      <w:t xml:space="preserve"> </w:t>
    </w:r>
    <w:r w:rsidR="00675620">
      <w:rPr>
        <w:rFonts w:ascii="Arial" w:eastAsia="Arial" w:hAnsi="Arial" w:cs="Arial"/>
        <w:sz w:val="16"/>
        <w:szCs w:val="16"/>
      </w:rPr>
      <w:t>PA/</w:t>
    </w:r>
    <w:r w:rsidR="003C0ED5">
      <w:rPr>
        <w:rFonts w:ascii="Arial" w:eastAsia="Arial" w:hAnsi="Arial" w:cs="Arial"/>
        <w:sz w:val="16"/>
        <w:szCs w:val="16"/>
      </w:rPr>
      <w:t>0</w:t>
    </w:r>
    <w:r w:rsidR="00F6111D">
      <w:rPr>
        <w:rFonts w:ascii="Arial" w:eastAsia="Arial" w:hAnsi="Arial" w:cs="Arial"/>
        <w:sz w:val="16"/>
        <w:szCs w:val="16"/>
      </w:rPr>
      <w:t>1588/2019</w:t>
    </w:r>
    <w:r w:rsidRPr="576901D2">
      <w:rPr>
        <w:rFonts w:ascii="Arial" w:eastAsia="Arial" w:hAnsi="Arial" w:cs="Arial"/>
        <w:sz w:val="16"/>
        <w:szCs w:val="16"/>
      </w:rPr>
      <w:t xml:space="preserve"> </w:t>
    </w:r>
  </w:p>
  <w:p w14:paraId="5408F2C9" w14:textId="77777777" w:rsidR="007A47DD" w:rsidRPr="003C5CE5" w:rsidRDefault="007A47DD" w:rsidP="576901D2">
    <w:pPr>
      <w:pStyle w:val="Header"/>
      <w:jc w:val="right"/>
      <w:rPr>
        <w:rFonts w:ascii="Arial" w:eastAsia="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141"/>
    <w:multiLevelType w:val="hybridMultilevel"/>
    <w:tmpl w:val="0492A806"/>
    <w:lvl w:ilvl="0" w:tplc="D89A3BAE">
      <w:start w:val="1"/>
      <w:numFmt w:val="decimal"/>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1" w15:restartNumberingAfterBreak="0">
    <w:nsid w:val="03FB548A"/>
    <w:multiLevelType w:val="hybridMultilevel"/>
    <w:tmpl w:val="008E808E"/>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66916E0"/>
    <w:multiLevelType w:val="hybridMultilevel"/>
    <w:tmpl w:val="0B8E96E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8F9647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A3375D8"/>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283583"/>
    <w:multiLevelType w:val="multilevel"/>
    <w:tmpl w:val="4F2CA95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57717"/>
    <w:multiLevelType w:val="hybridMultilevel"/>
    <w:tmpl w:val="F8D0C500"/>
    <w:lvl w:ilvl="0" w:tplc="0809000F">
      <w:start w:val="1"/>
      <w:numFmt w:val="decimal"/>
      <w:lvlText w:val="%1."/>
      <w:lvlJc w:val="left"/>
      <w:pPr>
        <w:tabs>
          <w:tab w:val="num" w:pos="720"/>
        </w:tabs>
        <w:ind w:left="720" w:hanging="360"/>
      </w:pPr>
      <w:rPr>
        <w:rFonts w:hint="default"/>
      </w:rPr>
    </w:lvl>
    <w:lvl w:ilvl="1" w:tplc="1D86FBC8">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C094D3B"/>
    <w:multiLevelType w:val="hybridMultilevel"/>
    <w:tmpl w:val="BE00B0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120C1"/>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77C7A94"/>
    <w:multiLevelType w:val="multilevel"/>
    <w:tmpl w:val="8E7A5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7B7D98"/>
    <w:multiLevelType w:val="multilevel"/>
    <w:tmpl w:val="2D821F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30A60890"/>
    <w:multiLevelType w:val="multilevel"/>
    <w:tmpl w:val="437E95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7B7DCA"/>
    <w:multiLevelType w:val="hybridMultilevel"/>
    <w:tmpl w:val="33D248CA"/>
    <w:lvl w:ilvl="0" w:tplc="102841C8">
      <w:start w:val="1"/>
      <w:numFmt w:val="decimal"/>
      <w:lvlText w:val="%1."/>
      <w:lvlJc w:val="left"/>
      <w:pPr>
        <w:tabs>
          <w:tab w:val="num" w:pos="1080"/>
        </w:tabs>
        <w:ind w:left="1080" w:hanging="72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536E08EA">
      <w:start w:val="1"/>
      <w:numFmt w:val="lowerRoman"/>
      <w:lvlText w:val="%3."/>
      <w:lvlJc w:val="left"/>
      <w:pPr>
        <w:tabs>
          <w:tab w:val="num" w:pos="2700"/>
        </w:tabs>
        <w:ind w:left="2700" w:hanging="720"/>
      </w:pPr>
      <w:rPr>
        <w:rFonts w:hint="default"/>
      </w:rPr>
    </w:lvl>
    <w:lvl w:ilvl="3" w:tplc="0809000F">
      <w:start w:val="1"/>
      <w:numFmt w:val="decimal"/>
      <w:lvlText w:val="%4."/>
      <w:lvlJc w:val="left"/>
      <w:pPr>
        <w:tabs>
          <w:tab w:val="num" w:pos="2880"/>
        </w:tabs>
        <w:ind w:left="2880" w:hanging="360"/>
      </w:pPr>
      <w:rPr>
        <w:rFonts w:hint="default"/>
      </w:rPr>
    </w:lvl>
    <w:lvl w:ilvl="4" w:tplc="EFF6593C">
      <w:start w:val="1"/>
      <w:numFmt w:val="lowerLetter"/>
      <w:lvlText w:val="%5."/>
      <w:lvlJc w:val="left"/>
      <w:pPr>
        <w:tabs>
          <w:tab w:val="num" w:pos="3600"/>
        </w:tabs>
        <w:ind w:left="3600" w:hanging="360"/>
      </w:pPr>
      <w:rPr>
        <w:rFonts w:hint="default"/>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357E54E0"/>
    <w:multiLevelType w:val="hybridMultilevel"/>
    <w:tmpl w:val="9306DB2A"/>
    <w:lvl w:ilvl="0" w:tplc="2B6E84C6">
      <w:start w:val="1"/>
      <w:numFmt w:val="decimal"/>
      <w:lvlText w:val="%1."/>
      <w:lvlJc w:val="left"/>
      <w:pPr>
        <w:tabs>
          <w:tab w:val="num" w:pos="720"/>
        </w:tabs>
        <w:ind w:left="720" w:hanging="360"/>
      </w:pPr>
      <w:rPr>
        <w:rFonts w:hint="default"/>
        <w:b w:val="0"/>
        <w:i w:val="0"/>
      </w:rPr>
    </w:lvl>
    <w:lvl w:ilvl="1" w:tplc="B95EC7C4">
      <w:start w:val="6"/>
      <w:numFmt w:val="bullet"/>
      <w:lvlText w:val=""/>
      <w:lvlJc w:val="left"/>
      <w:pPr>
        <w:tabs>
          <w:tab w:val="num" w:pos="1800"/>
        </w:tabs>
        <w:ind w:left="1800" w:hanging="720"/>
      </w:pPr>
      <w:rPr>
        <w:rFonts w:ascii="Symbol" w:eastAsia="Times New Roman" w:hAnsi="Symbol" w:cs="Arial" w:hint="default"/>
      </w:rPr>
    </w:lvl>
    <w:lvl w:ilvl="2" w:tplc="6736DCEA">
      <w:start w:val="1"/>
      <w:numFmt w:val="lowerRoman"/>
      <w:lvlText w:val="%3."/>
      <w:lvlJc w:val="left"/>
      <w:pPr>
        <w:tabs>
          <w:tab w:val="num" w:pos="2700"/>
        </w:tabs>
        <w:ind w:left="2700" w:hanging="720"/>
      </w:pPr>
      <w:rPr>
        <w:rFonts w:hint="default"/>
      </w:rPr>
    </w:lvl>
    <w:lvl w:ilvl="3" w:tplc="8A64A2C8">
      <w:start w:val="59"/>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81250ED"/>
    <w:multiLevelType w:val="hybridMultilevel"/>
    <w:tmpl w:val="D3A86C62"/>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16" w15:restartNumberingAfterBreak="0">
    <w:nsid w:val="399301EE"/>
    <w:multiLevelType w:val="hybridMultilevel"/>
    <w:tmpl w:val="85243E72"/>
    <w:lvl w:ilvl="0" w:tplc="08090013">
      <w:start w:val="1"/>
      <w:numFmt w:val="upperRoman"/>
      <w:lvlText w:val="%1."/>
      <w:lvlJc w:val="right"/>
      <w:pPr>
        <w:tabs>
          <w:tab w:val="num" w:pos="2988"/>
        </w:tabs>
        <w:ind w:left="2988" w:hanging="180"/>
      </w:pPr>
    </w:lvl>
    <w:lvl w:ilvl="1" w:tplc="08090019" w:tentative="1">
      <w:start w:val="1"/>
      <w:numFmt w:val="lowerLetter"/>
      <w:lvlText w:val="%2."/>
      <w:lvlJc w:val="left"/>
      <w:pPr>
        <w:tabs>
          <w:tab w:val="num" w:pos="3708"/>
        </w:tabs>
        <w:ind w:left="3708" w:hanging="360"/>
      </w:pPr>
    </w:lvl>
    <w:lvl w:ilvl="2" w:tplc="0809001B" w:tentative="1">
      <w:start w:val="1"/>
      <w:numFmt w:val="lowerRoman"/>
      <w:lvlText w:val="%3."/>
      <w:lvlJc w:val="right"/>
      <w:pPr>
        <w:tabs>
          <w:tab w:val="num" w:pos="4428"/>
        </w:tabs>
        <w:ind w:left="4428" w:hanging="180"/>
      </w:pPr>
    </w:lvl>
    <w:lvl w:ilvl="3" w:tplc="0809000F" w:tentative="1">
      <w:start w:val="1"/>
      <w:numFmt w:val="decimal"/>
      <w:lvlText w:val="%4."/>
      <w:lvlJc w:val="left"/>
      <w:pPr>
        <w:tabs>
          <w:tab w:val="num" w:pos="5148"/>
        </w:tabs>
        <w:ind w:left="5148" w:hanging="360"/>
      </w:pPr>
    </w:lvl>
    <w:lvl w:ilvl="4" w:tplc="08090019" w:tentative="1">
      <w:start w:val="1"/>
      <w:numFmt w:val="lowerLetter"/>
      <w:lvlText w:val="%5."/>
      <w:lvlJc w:val="left"/>
      <w:pPr>
        <w:tabs>
          <w:tab w:val="num" w:pos="5868"/>
        </w:tabs>
        <w:ind w:left="5868" w:hanging="360"/>
      </w:pPr>
    </w:lvl>
    <w:lvl w:ilvl="5" w:tplc="0809001B" w:tentative="1">
      <w:start w:val="1"/>
      <w:numFmt w:val="lowerRoman"/>
      <w:lvlText w:val="%6."/>
      <w:lvlJc w:val="right"/>
      <w:pPr>
        <w:tabs>
          <w:tab w:val="num" w:pos="6588"/>
        </w:tabs>
        <w:ind w:left="6588" w:hanging="180"/>
      </w:pPr>
    </w:lvl>
    <w:lvl w:ilvl="6" w:tplc="0809000F" w:tentative="1">
      <w:start w:val="1"/>
      <w:numFmt w:val="decimal"/>
      <w:lvlText w:val="%7."/>
      <w:lvlJc w:val="left"/>
      <w:pPr>
        <w:tabs>
          <w:tab w:val="num" w:pos="7308"/>
        </w:tabs>
        <w:ind w:left="7308" w:hanging="360"/>
      </w:pPr>
    </w:lvl>
    <w:lvl w:ilvl="7" w:tplc="08090019" w:tentative="1">
      <w:start w:val="1"/>
      <w:numFmt w:val="lowerLetter"/>
      <w:lvlText w:val="%8."/>
      <w:lvlJc w:val="left"/>
      <w:pPr>
        <w:tabs>
          <w:tab w:val="num" w:pos="8028"/>
        </w:tabs>
        <w:ind w:left="8028" w:hanging="360"/>
      </w:pPr>
    </w:lvl>
    <w:lvl w:ilvl="8" w:tplc="0809001B" w:tentative="1">
      <w:start w:val="1"/>
      <w:numFmt w:val="lowerRoman"/>
      <w:lvlText w:val="%9."/>
      <w:lvlJc w:val="right"/>
      <w:pPr>
        <w:tabs>
          <w:tab w:val="num" w:pos="8748"/>
        </w:tabs>
        <w:ind w:left="8748" w:hanging="180"/>
      </w:pPr>
    </w:lvl>
  </w:abstractNum>
  <w:abstractNum w:abstractNumId="17" w15:restartNumberingAfterBreak="0">
    <w:nsid w:val="3DED65B2"/>
    <w:multiLevelType w:val="hybridMultilevel"/>
    <w:tmpl w:val="1FCE9B1E"/>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5C860664">
      <w:start w:val="1"/>
      <w:numFmt w:val="low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E7249C9"/>
    <w:multiLevelType w:val="hybridMultilevel"/>
    <w:tmpl w:val="488EC03A"/>
    <w:lvl w:ilvl="0" w:tplc="34A4ED46">
      <w:start w:val="1"/>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670D59"/>
    <w:multiLevelType w:val="hybridMultilevel"/>
    <w:tmpl w:val="E398C8B2"/>
    <w:lvl w:ilvl="0" w:tplc="0809000F">
      <w:start w:val="32"/>
      <w:numFmt w:val="decimal"/>
      <w:lvlText w:val="%1."/>
      <w:lvlJc w:val="left"/>
      <w:pPr>
        <w:ind w:left="2061" w:hanging="36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20" w15:restartNumberingAfterBreak="0">
    <w:nsid w:val="43846D1C"/>
    <w:multiLevelType w:val="multilevel"/>
    <w:tmpl w:val="33D62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9947C00"/>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BD4525F"/>
    <w:multiLevelType w:val="hybridMultilevel"/>
    <w:tmpl w:val="B268CD1A"/>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DCE1B39"/>
    <w:multiLevelType w:val="hybridMultilevel"/>
    <w:tmpl w:val="324E3E4C"/>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24" w15:restartNumberingAfterBreak="0">
    <w:nsid w:val="4F4250BF"/>
    <w:multiLevelType w:val="hybridMultilevel"/>
    <w:tmpl w:val="83FE4D62"/>
    <w:lvl w:ilvl="0" w:tplc="0809000F">
      <w:start w:val="1"/>
      <w:numFmt w:val="decimal"/>
      <w:lvlText w:val="%1."/>
      <w:lvlJc w:val="left"/>
      <w:pPr>
        <w:tabs>
          <w:tab w:val="num" w:pos="927"/>
        </w:tabs>
        <w:ind w:left="927" w:hanging="360"/>
      </w:pPr>
    </w:lvl>
    <w:lvl w:ilvl="1" w:tplc="08090019">
      <w:start w:val="1"/>
      <w:numFmt w:val="lowerLetter"/>
      <w:lvlText w:val="%2."/>
      <w:lvlJc w:val="left"/>
      <w:pPr>
        <w:tabs>
          <w:tab w:val="num" w:pos="1647"/>
        </w:tabs>
        <w:ind w:left="1647"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5" w15:restartNumberingAfterBreak="0">
    <w:nsid w:val="518949D2"/>
    <w:multiLevelType w:val="multilevel"/>
    <w:tmpl w:val="8B98C8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25D3E"/>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99F6B9B"/>
    <w:multiLevelType w:val="multilevel"/>
    <w:tmpl w:val="D236EF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4121BF"/>
    <w:multiLevelType w:val="hybridMultilevel"/>
    <w:tmpl w:val="7B80404E"/>
    <w:lvl w:ilvl="0" w:tplc="83BC566A">
      <w:start w:val="3"/>
      <w:numFmt w:val="bullet"/>
      <w:lvlText w:val="-"/>
      <w:lvlJc w:val="left"/>
      <w:pPr>
        <w:tabs>
          <w:tab w:val="num" w:pos="1570"/>
        </w:tabs>
        <w:ind w:left="1570" w:hanging="360"/>
      </w:pPr>
      <w:rPr>
        <w:rFonts w:ascii="Book Antiqua" w:eastAsia="Times New Roman" w:hAnsi="Book Antiqua" w:cs="Times New Roman" w:hint="default"/>
      </w:rPr>
    </w:lvl>
    <w:lvl w:ilvl="1" w:tplc="08090003">
      <w:start w:val="1"/>
      <w:numFmt w:val="bullet"/>
      <w:lvlText w:val="o"/>
      <w:lvlJc w:val="left"/>
      <w:pPr>
        <w:tabs>
          <w:tab w:val="num" w:pos="2290"/>
        </w:tabs>
        <w:ind w:left="2290" w:hanging="360"/>
      </w:pPr>
      <w:rPr>
        <w:rFonts w:ascii="Courier New" w:hAnsi="Courier New" w:cs="Courier New" w:hint="default"/>
      </w:rPr>
    </w:lvl>
    <w:lvl w:ilvl="2" w:tplc="08090005" w:tentative="1">
      <w:start w:val="1"/>
      <w:numFmt w:val="bullet"/>
      <w:lvlText w:val=""/>
      <w:lvlJc w:val="left"/>
      <w:pPr>
        <w:tabs>
          <w:tab w:val="num" w:pos="3010"/>
        </w:tabs>
        <w:ind w:left="3010" w:hanging="360"/>
      </w:pPr>
      <w:rPr>
        <w:rFonts w:ascii="Wingdings" w:hAnsi="Wingdings" w:hint="default"/>
      </w:rPr>
    </w:lvl>
    <w:lvl w:ilvl="3" w:tplc="08090001" w:tentative="1">
      <w:start w:val="1"/>
      <w:numFmt w:val="bullet"/>
      <w:lvlText w:val=""/>
      <w:lvlJc w:val="left"/>
      <w:pPr>
        <w:tabs>
          <w:tab w:val="num" w:pos="3730"/>
        </w:tabs>
        <w:ind w:left="3730" w:hanging="360"/>
      </w:pPr>
      <w:rPr>
        <w:rFonts w:ascii="Symbol" w:hAnsi="Symbol" w:hint="default"/>
      </w:rPr>
    </w:lvl>
    <w:lvl w:ilvl="4" w:tplc="08090003" w:tentative="1">
      <w:start w:val="1"/>
      <w:numFmt w:val="bullet"/>
      <w:lvlText w:val="o"/>
      <w:lvlJc w:val="left"/>
      <w:pPr>
        <w:tabs>
          <w:tab w:val="num" w:pos="4450"/>
        </w:tabs>
        <w:ind w:left="4450" w:hanging="360"/>
      </w:pPr>
      <w:rPr>
        <w:rFonts w:ascii="Courier New" w:hAnsi="Courier New" w:cs="Courier New" w:hint="default"/>
      </w:rPr>
    </w:lvl>
    <w:lvl w:ilvl="5" w:tplc="08090005" w:tentative="1">
      <w:start w:val="1"/>
      <w:numFmt w:val="bullet"/>
      <w:lvlText w:val=""/>
      <w:lvlJc w:val="left"/>
      <w:pPr>
        <w:tabs>
          <w:tab w:val="num" w:pos="5170"/>
        </w:tabs>
        <w:ind w:left="5170" w:hanging="360"/>
      </w:pPr>
      <w:rPr>
        <w:rFonts w:ascii="Wingdings" w:hAnsi="Wingdings" w:hint="default"/>
      </w:rPr>
    </w:lvl>
    <w:lvl w:ilvl="6" w:tplc="08090001" w:tentative="1">
      <w:start w:val="1"/>
      <w:numFmt w:val="bullet"/>
      <w:lvlText w:val=""/>
      <w:lvlJc w:val="left"/>
      <w:pPr>
        <w:tabs>
          <w:tab w:val="num" w:pos="5890"/>
        </w:tabs>
        <w:ind w:left="5890" w:hanging="360"/>
      </w:pPr>
      <w:rPr>
        <w:rFonts w:ascii="Symbol" w:hAnsi="Symbol" w:hint="default"/>
      </w:rPr>
    </w:lvl>
    <w:lvl w:ilvl="7" w:tplc="08090003" w:tentative="1">
      <w:start w:val="1"/>
      <w:numFmt w:val="bullet"/>
      <w:lvlText w:val="o"/>
      <w:lvlJc w:val="left"/>
      <w:pPr>
        <w:tabs>
          <w:tab w:val="num" w:pos="6610"/>
        </w:tabs>
        <w:ind w:left="6610" w:hanging="360"/>
      </w:pPr>
      <w:rPr>
        <w:rFonts w:ascii="Courier New" w:hAnsi="Courier New" w:cs="Courier New" w:hint="default"/>
      </w:rPr>
    </w:lvl>
    <w:lvl w:ilvl="8" w:tplc="08090005" w:tentative="1">
      <w:start w:val="1"/>
      <w:numFmt w:val="bullet"/>
      <w:lvlText w:val=""/>
      <w:lvlJc w:val="left"/>
      <w:pPr>
        <w:tabs>
          <w:tab w:val="num" w:pos="7330"/>
        </w:tabs>
        <w:ind w:left="7330" w:hanging="360"/>
      </w:pPr>
      <w:rPr>
        <w:rFonts w:ascii="Wingdings" w:hAnsi="Wingdings" w:hint="default"/>
      </w:rPr>
    </w:lvl>
  </w:abstractNum>
  <w:abstractNum w:abstractNumId="29" w15:restartNumberingAfterBreak="0">
    <w:nsid w:val="60530BE6"/>
    <w:multiLevelType w:val="multilevel"/>
    <w:tmpl w:val="520038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786B74"/>
    <w:multiLevelType w:val="hybridMultilevel"/>
    <w:tmpl w:val="12F6C9DA"/>
    <w:lvl w:ilvl="0" w:tplc="BD004A4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677E2C5B"/>
    <w:multiLevelType w:val="multilevel"/>
    <w:tmpl w:val="94C23D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1C55F3"/>
    <w:multiLevelType w:val="hybridMultilevel"/>
    <w:tmpl w:val="3968C7C4"/>
    <w:lvl w:ilvl="0" w:tplc="08090013">
      <w:start w:val="1"/>
      <w:numFmt w:val="upperRoman"/>
      <w:lvlText w:val="%1."/>
      <w:lvlJc w:val="right"/>
      <w:pPr>
        <w:tabs>
          <w:tab w:val="num" w:pos="3528"/>
        </w:tabs>
        <w:ind w:left="3528" w:hanging="180"/>
      </w:pPr>
    </w:lvl>
    <w:lvl w:ilvl="1" w:tplc="08090019" w:tentative="1">
      <w:start w:val="1"/>
      <w:numFmt w:val="lowerLetter"/>
      <w:lvlText w:val="%2."/>
      <w:lvlJc w:val="left"/>
      <w:pPr>
        <w:tabs>
          <w:tab w:val="num" w:pos="4248"/>
        </w:tabs>
        <w:ind w:left="4248" w:hanging="360"/>
      </w:pPr>
    </w:lvl>
    <w:lvl w:ilvl="2" w:tplc="0809001B" w:tentative="1">
      <w:start w:val="1"/>
      <w:numFmt w:val="lowerRoman"/>
      <w:lvlText w:val="%3."/>
      <w:lvlJc w:val="right"/>
      <w:pPr>
        <w:tabs>
          <w:tab w:val="num" w:pos="4968"/>
        </w:tabs>
        <w:ind w:left="4968" w:hanging="180"/>
      </w:pPr>
    </w:lvl>
    <w:lvl w:ilvl="3" w:tplc="0809000F" w:tentative="1">
      <w:start w:val="1"/>
      <w:numFmt w:val="decimal"/>
      <w:lvlText w:val="%4."/>
      <w:lvlJc w:val="left"/>
      <w:pPr>
        <w:tabs>
          <w:tab w:val="num" w:pos="5688"/>
        </w:tabs>
        <w:ind w:left="5688" w:hanging="360"/>
      </w:pPr>
    </w:lvl>
    <w:lvl w:ilvl="4" w:tplc="08090019" w:tentative="1">
      <w:start w:val="1"/>
      <w:numFmt w:val="lowerLetter"/>
      <w:lvlText w:val="%5."/>
      <w:lvlJc w:val="left"/>
      <w:pPr>
        <w:tabs>
          <w:tab w:val="num" w:pos="6408"/>
        </w:tabs>
        <w:ind w:left="6408" w:hanging="360"/>
      </w:pPr>
    </w:lvl>
    <w:lvl w:ilvl="5" w:tplc="0809001B" w:tentative="1">
      <w:start w:val="1"/>
      <w:numFmt w:val="lowerRoman"/>
      <w:lvlText w:val="%6."/>
      <w:lvlJc w:val="right"/>
      <w:pPr>
        <w:tabs>
          <w:tab w:val="num" w:pos="7128"/>
        </w:tabs>
        <w:ind w:left="7128" w:hanging="180"/>
      </w:pPr>
    </w:lvl>
    <w:lvl w:ilvl="6" w:tplc="0809000F" w:tentative="1">
      <w:start w:val="1"/>
      <w:numFmt w:val="decimal"/>
      <w:lvlText w:val="%7."/>
      <w:lvlJc w:val="left"/>
      <w:pPr>
        <w:tabs>
          <w:tab w:val="num" w:pos="7848"/>
        </w:tabs>
        <w:ind w:left="7848" w:hanging="360"/>
      </w:pPr>
    </w:lvl>
    <w:lvl w:ilvl="7" w:tplc="08090019" w:tentative="1">
      <w:start w:val="1"/>
      <w:numFmt w:val="lowerLetter"/>
      <w:lvlText w:val="%8."/>
      <w:lvlJc w:val="left"/>
      <w:pPr>
        <w:tabs>
          <w:tab w:val="num" w:pos="8568"/>
        </w:tabs>
        <w:ind w:left="8568" w:hanging="360"/>
      </w:pPr>
    </w:lvl>
    <w:lvl w:ilvl="8" w:tplc="0809001B" w:tentative="1">
      <w:start w:val="1"/>
      <w:numFmt w:val="lowerRoman"/>
      <w:lvlText w:val="%9."/>
      <w:lvlJc w:val="right"/>
      <w:pPr>
        <w:tabs>
          <w:tab w:val="num" w:pos="9288"/>
        </w:tabs>
        <w:ind w:left="9288" w:hanging="180"/>
      </w:pPr>
    </w:lvl>
  </w:abstractNum>
  <w:abstractNum w:abstractNumId="33" w15:restartNumberingAfterBreak="0">
    <w:nsid w:val="710059E9"/>
    <w:multiLevelType w:val="hybridMultilevel"/>
    <w:tmpl w:val="4920DDC6"/>
    <w:lvl w:ilvl="0" w:tplc="0809000F">
      <w:start w:val="76"/>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781E593A"/>
    <w:multiLevelType w:val="hybridMultilevel"/>
    <w:tmpl w:val="CCDC9F84"/>
    <w:lvl w:ilvl="0" w:tplc="FFFFFFFF">
      <w:start w:val="1"/>
      <w:numFmt w:val="decimal"/>
      <w:lvlText w:val="%1."/>
      <w:lvlJc w:val="left"/>
      <w:pPr>
        <w:tabs>
          <w:tab w:val="num" w:pos="1563"/>
        </w:tabs>
        <w:ind w:left="1563" w:hanging="570"/>
      </w:pPr>
    </w:lvl>
    <w:lvl w:ilvl="1" w:tplc="08090019">
      <w:start w:val="1"/>
      <w:numFmt w:val="lowerLetter"/>
      <w:lvlText w:val="%2."/>
      <w:lvlJc w:val="left"/>
      <w:pPr>
        <w:tabs>
          <w:tab w:val="num" w:pos="2070"/>
        </w:tabs>
        <w:ind w:left="2070" w:hanging="360"/>
      </w:pPr>
    </w:lvl>
    <w:lvl w:ilvl="2" w:tplc="0809001B" w:tentative="1">
      <w:start w:val="1"/>
      <w:numFmt w:val="lowerRoman"/>
      <w:lvlText w:val="%3."/>
      <w:lvlJc w:val="right"/>
      <w:pPr>
        <w:tabs>
          <w:tab w:val="num" w:pos="2790"/>
        </w:tabs>
        <w:ind w:left="2790" w:hanging="180"/>
      </w:pPr>
    </w:lvl>
    <w:lvl w:ilvl="3" w:tplc="0809000F" w:tentative="1">
      <w:start w:val="1"/>
      <w:numFmt w:val="decimal"/>
      <w:lvlText w:val="%4."/>
      <w:lvlJc w:val="left"/>
      <w:pPr>
        <w:tabs>
          <w:tab w:val="num" w:pos="3510"/>
        </w:tabs>
        <w:ind w:left="3510" w:hanging="360"/>
      </w:pPr>
    </w:lvl>
    <w:lvl w:ilvl="4" w:tplc="08090019" w:tentative="1">
      <w:start w:val="1"/>
      <w:numFmt w:val="lowerLetter"/>
      <w:lvlText w:val="%5."/>
      <w:lvlJc w:val="left"/>
      <w:pPr>
        <w:tabs>
          <w:tab w:val="num" w:pos="4230"/>
        </w:tabs>
        <w:ind w:left="4230" w:hanging="360"/>
      </w:pPr>
    </w:lvl>
    <w:lvl w:ilvl="5" w:tplc="0809001B" w:tentative="1">
      <w:start w:val="1"/>
      <w:numFmt w:val="lowerRoman"/>
      <w:lvlText w:val="%6."/>
      <w:lvlJc w:val="right"/>
      <w:pPr>
        <w:tabs>
          <w:tab w:val="num" w:pos="4950"/>
        </w:tabs>
        <w:ind w:left="4950" w:hanging="180"/>
      </w:pPr>
    </w:lvl>
    <w:lvl w:ilvl="6" w:tplc="0809000F" w:tentative="1">
      <w:start w:val="1"/>
      <w:numFmt w:val="decimal"/>
      <w:lvlText w:val="%7."/>
      <w:lvlJc w:val="left"/>
      <w:pPr>
        <w:tabs>
          <w:tab w:val="num" w:pos="5670"/>
        </w:tabs>
        <w:ind w:left="5670" w:hanging="360"/>
      </w:pPr>
    </w:lvl>
    <w:lvl w:ilvl="7" w:tplc="08090019" w:tentative="1">
      <w:start w:val="1"/>
      <w:numFmt w:val="lowerLetter"/>
      <w:lvlText w:val="%8."/>
      <w:lvlJc w:val="left"/>
      <w:pPr>
        <w:tabs>
          <w:tab w:val="num" w:pos="6390"/>
        </w:tabs>
        <w:ind w:left="6390" w:hanging="360"/>
      </w:pPr>
    </w:lvl>
    <w:lvl w:ilvl="8" w:tplc="0809001B" w:tentative="1">
      <w:start w:val="1"/>
      <w:numFmt w:val="lowerRoman"/>
      <w:lvlText w:val="%9."/>
      <w:lvlJc w:val="right"/>
      <w:pPr>
        <w:tabs>
          <w:tab w:val="num" w:pos="7110"/>
        </w:tabs>
        <w:ind w:left="7110" w:hanging="180"/>
      </w:pPr>
    </w:lvl>
  </w:abstractNum>
  <w:abstractNum w:abstractNumId="35" w15:restartNumberingAfterBreak="0">
    <w:nsid w:val="79410371"/>
    <w:multiLevelType w:val="hybridMultilevel"/>
    <w:tmpl w:val="0EF63250"/>
    <w:lvl w:ilvl="0" w:tplc="08090019">
      <w:start w:val="1"/>
      <w:numFmt w:val="lowerLetter"/>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6" w15:restartNumberingAfterBreak="0">
    <w:nsid w:val="7C395C11"/>
    <w:multiLevelType w:val="hybridMultilevel"/>
    <w:tmpl w:val="BF0A9CB2"/>
    <w:lvl w:ilvl="0" w:tplc="796809F8">
      <w:start w:val="19"/>
      <w:numFmt w:val="decimal"/>
      <w:lvlText w:val="%1."/>
      <w:lvlJc w:val="left"/>
      <w:pPr>
        <w:ind w:left="2061" w:hanging="36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num w:numId="1">
    <w:abstractNumId w:val="6"/>
  </w:num>
  <w:num w:numId="2">
    <w:abstractNumId w:val="18"/>
  </w:num>
  <w:num w:numId="3">
    <w:abstractNumId w:val="2"/>
  </w:num>
  <w:num w:numId="4">
    <w:abstractNumId w:val="14"/>
  </w:num>
  <w:num w:numId="5">
    <w:abstractNumId w:val="28"/>
  </w:num>
  <w:num w:numId="6">
    <w:abstractNumId w:val="33"/>
  </w:num>
  <w:num w:numId="7">
    <w:abstractNumId w:val="30"/>
  </w:num>
  <w:num w:numId="8">
    <w:abstractNumId w:val="35"/>
  </w:num>
  <w:num w:numId="9">
    <w:abstractNumId w:val="13"/>
  </w:num>
  <w:num w:numId="10">
    <w:abstractNumId w:val="17"/>
  </w:num>
  <w:num w:numId="11">
    <w:abstractNumId w:val="1"/>
  </w:num>
  <w:num w:numId="12">
    <w:abstractNumId w:val="11"/>
  </w:num>
  <w:num w:numId="13">
    <w:abstractNumId w:val="0"/>
  </w:num>
  <w:num w:numId="14">
    <w:abstractNumId w:val="21"/>
  </w:num>
  <w:num w:numId="15">
    <w:abstractNumId w:val="23"/>
  </w:num>
  <w:num w:numId="16">
    <w:abstractNumId w:val="26"/>
  </w:num>
  <w:num w:numId="17">
    <w:abstractNumId w:val="22"/>
  </w:num>
  <w:num w:numId="18">
    <w:abstractNumId w:val="8"/>
  </w:num>
  <w:num w:numId="19">
    <w:abstractNumId w:val="16"/>
  </w:num>
  <w:num w:numId="20">
    <w:abstractNumId w:val="3"/>
  </w:num>
  <w:num w:numId="21">
    <w:abstractNumId w:val="32"/>
  </w:num>
  <w:num w:numId="22">
    <w:abstractNumId w:val="4"/>
  </w:num>
  <w:num w:numId="23">
    <w:abstractNumId w:val="15"/>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34"/>
  </w:num>
  <w:num w:numId="29">
    <w:abstractNumId w:val="9"/>
  </w:num>
  <w:num w:numId="30">
    <w:abstractNumId w:val="25"/>
  </w:num>
  <w:num w:numId="31">
    <w:abstractNumId w:val="12"/>
  </w:num>
  <w:num w:numId="32">
    <w:abstractNumId w:val="27"/>
  </w:num>
  <w:num w:numId="33">
    <w:abstractNumId w:val="31"/>
  </w:num>
  <w:num w:numId="34">
    <w:abstractNumId w:val="29"/>
  </w:num>
  <w:num w:numId="35">
    <w:abstractNumId w:val="10"/>
  </w:num>
  <w:num w:numId="36">
    <w:abstractNumId w:val="5"/>
  </w:num>
  <w:num w:numId="37">
    <w:abstractNumId w:val="36"/>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032"/>
    <w:rsid w:val="00000621"/>
    <w:rsid w:val="000036C2"/>
    <w:rsid w:val="00003F8E"/>
    <w:rsid w:val="00015FC4"/>
    <w:rsid w:val="0002290D"/>
    <w:rsid w:val="00023FF2"/>
    <w:rsid w:val="00026617"/>
    <w:rsid w:val="00033D3D"/>
    <w:rsid w:val="000346B4"/>
    <w:rsid w:val="00036813"/>
    <w:rsid w:val="00051C2D"/>
    <w:rsid w:val="00056135"/>
    <w:rsid w:val="00062F02"/>
    <w:rsid w:val="000645AE"/>
    <w:rsid w:val="00071A7E"/>
    <w:rsid w:val="000722F0"/>
    <w:rsid w:val="00073585"/>
    <w:rsid w:val="000746C0"/>
    <w:rsid w:val="00074D1D"/>
    <w:rsid w:val="0007506F"/>
    <w:rsid w:val="00077501"/>
    <w:rsid w:val="00082D15"/>
    <w:rsid w:val="00087276"/>
    <w:rsid w:val="00090CF9"/>
    <w:rsid w:val="00092580"/>
    <w:rsid w:val="00093D4D"/>
    <w:rsid w:val="000A0A34"/>
    <w:rsid w:val="000A31CC"/>
    <w:rsid w:val="000B2298"/>
    <w:rsid w:val="000B41E1"/>
    <w:rsid w:val="000C0541"/>
    <w:rsid w:val="000C44DA"/>
    <w:rsid w:val="000C69CA"/>
    <w:rsid w:val="000D572B"/>
    <w:rsid w:val="000D5D94"/>
    <w:rsid w:val="000E2741"/>
    <w:rsid w:val="000E3782"/>
    <w:rsid w:val="000F1A0E"/>
    <w:rsid w:val="000F1BC5"/>
    <w:rsid w:val="000F3C7A"/>
    <w:rsid w:val="000F4D9A"/>
    <w:rsid w:val="000F50A8"/>
    <w:rsid w:val="001015A2"/>
    <w:rsid w:val="001022EC"/>
    <w:rsid w:val="001165A7"/>
    <w:rsid w:val="00126036"/>
    <w:rsid w:val="00144F27"/>
    <w:rsid w:val="00152C19"/>
    <w:rsid w:val="00156872"/>
    <w:rsid w:val="00165516"/>
    <w:rsid w:val="00167D3A"/>
    <w:rsid w:val="00171775"/>
    <w:rsid w:val="00172D1A"/>
    <w:rsid w:val="00173551"/>
    <w:rsid w:val="001766F6"/>
    <w:rsid w:val="00181749"/>
    <w:rsid w:val="00186868"/>
    <w:rsid w:val="001877BD"/>
    <w:rsid w:val="00190848"/>
    <w:rsid w:val="00190FEA"/>
    <w:rsid w:val="00192676"/>
    <w:rsid w:val="00195966"/>
    <w:rsid w:val="001A3082"/>
    <w:rsid w:val="001A7198"/>
    <w:rsid w:val="001B186A"/>
    <w:rsid w:val="001B2F75"/>
    <w:rsid w:val="001B4B52"/>
    <w:rsid w:val="001B6C3A"/>
    <w:rsid w:val="001C4122"/>
    <w:rsid w:val="001C46ED"/>
    <w:rsid w:val="001C53E2"/>
    <w:rsid w:val="001C715E"/>
    <w:rsid w:val="001D14B9"/>
    <w:rsid w:val="001D3CBB"/>
    <w:rsid w:val="001E0E74"/>
    <w:rsid w:val="001E203F"/>
    <w:rsid w:val="001F1052"/>
    <w:rsid w:val="001F2716"/>
    <w:rsid w:val="001F35CE"/>
    <w:rsid w:val="001F4A9C"/>
    <w:rsid w:val="001F6F7E"/>
    <w:rsid w:val="001F70B1"/>
    <w:rsid w:val="00206D4B"/>
    <w:rsid w:val="00207617"/>
    <w:rsid w:val="0021104D"/>
    <w:rsid w:val="00211981"/>
    <w:rsid w:val="00212C9C"/>
    <w:rsid w:val="0023134B"/>
    <w:rsid w:val="00232618"/>
    <w:rsid w:val="00232E7A"/>
    <w:rsid w:val="00233CF5"/>
    <w:rsid w:val="00242BC1"/>
    <w:rsid w:val="00247922"/>
    <w:rsid w:val="00267DEE"/>
    <w:rsid w:val="0027048E"/>
    <w:rsid w:val="00270844"/>
    <w:rsid w:val="00270E13"/>
    <w:rsid w:val="002710BC"/>
    <w:rsid w:val="00271186"/>
    <w:rsid w:val="00273160"/>
    <w:rsid w:val="002774EE"/>
    <w:rsid w:val="002814F4"/>
    <w:rsid w:val="00283659"/>
    <w:rsid w:val="00290C6F"/>
    <w:rsid w:val="002969F5"/>
    <w:rsid w:val="00296D48"/>
    <w:rsid w:val="002A224B"/>
    <w:rsid w:val="002A67C1"/>
    <w:rsid w:val="002B1586"/>
    <w:rsid w:val="002B6EE0"/>
    <w:rsid w:val="002C1271"/>
    <w:rsid w:val="002C6BD4"/>
    <w:rsid w:val="002D3F52"/>
    <w:rsid w:val="002D68BF"/>
    <w:rsid w:val="002D6D9A"/>
    <w:rsid w:val="002D77F9"/>
    <w:rsid w:val="002E151A"/>
    <w:rsid w:val="002E575D"/>
    <w:rsid w:val="002F0793"/>
    <w:rsid w:val="002F118C"/>
    <w:rsid w:val="002F12D1"/>
    <w:rsid w:val="002F2E5E"/>
    <w:rsid w:val="002F2F63"/>
    <w:rsid w:val="002F5310"/>
    <w:rsid w:val="002F5398"/>
    <w:rsid w:val="002F6B98"/>
    <w:rsid w:val="003161B0"/>
    <w:rsid w:val="00316534"/>
    <w:rsid w:val="00320A0A"/>
    <w:rsid w:val="00322A5E"/>
    <w:rsid w:val="003273BA"/>
    <w:rsid w:val="00331EF3"/>
    <w:rsid w:val="00336CBF"/>
    <w:rsid w:val="00337CE6"/>
    <w:rsid w:val="00342F01"/>
    <w:rsid w:val="00343FE3"/>
    <w:rsid w:val="00346650"/>
    <w:rsid w:val="003509D4"/>
    <w:rsid w:val="0035312E"/>
    <w:rsid w:val="003546C8"/>
    <w:rsid w:val="00354DD7"/>
    <w:rsid w:val="00355D64"/>
    <w:rsid w:val="003645CD"/>
    <w:rsid w:val="00365573"/>
    <w:rsid w:val="003670DB"/>
    <w:rsid w:val="00370B95"/>
    <w:rsid w:val="00373539"/>
    <w:rsid w:val="003735CD"/>
    <w:rsid w:val="00381CAE"/>
    <w:rsid w:val="00386793"/>
    <w:rsid w:val="00394820"/>
    <w:rsid w:val="003A3EB7"/>
    <w:rsid w:val="003A7CF2"/>
    <w:rsid w:val="003B4A63"/>
    <w:rsid w:val="003C0E80"/>
    <w:rsid w:val="003C0ED5"/>
    <w:rsid w:val="003C215E"/>
    <w:rsid w:val="003C5CE5"/>
    <w:rsid w:val="003C5D94"/>
    <w:rsid w:val="003D730C"/>
    <w:rsid w:val="003E1F16"/>
    <w:rsid w:val="003E260A"/>
    <w:rsid w:val="003E267B"/>
    <w:rsid w:val="003E49B7"/>
    <w:rsid w:val="003E7CD1"/>
    <w:rsid w:val="004024BC"/>
    <w:rsid w:val="0040281D"/>
    <w:rsid w:val="00402B9E"/>
    <w:rsid w:val="00402BE4"/>
    <w:rsid w:val="00406F0F"/>
    <w:rsid w:val="004106DE"/>
    <w:rsid w:val="00415F05"/>
    <w:rsid w:val="00420DA0"/>
    <w:rsid w:val="00422F82"/>
    <w:rsid w:val="00423156"/>
    <w:rsid w:val="004249CB"/>
    <w:rsid w:val="0043425E"/>
    <w:rsid w:val="0044127D"/>
    <w:rsid w:val="004448DB"/>
    <w:rsid w:val="00446C9A"/>
    <w:rsid w:val="00452EA8"/>
    <w:rsid w:val="00452F2B"/>
    <w:rsid w:val="004751B6"/>
    <w:rsid w:val="00477193"/>
    <w:rsid w:val="0048742E"/>
    <w:rsid w:val="0049566F"/>
    <w:rsid w:val="004A0BEA"/>
    <w:rsid w:val="004A1848"/>
    <w:rsid w:val="004A6F4A"/>
    <w:rsid w:val="004B1D2E"/>
    <w:rsid w:val="004B6785"/>
    <w:rsid w:val="004B6C16"/>
    <w:rsid w:val="004C6C7F"/>
    <w:rsid w:val="004C773C"/>
    <w:rsid w:val="004D0789"/>
    <w:rsid w:val="004D2C44"/>
    <w:rsid w:val="004D32F6"/>
    <w:rsid w:val="004E1416"/>
    <w:rsid w:val="004E416B"/>
    <w:rsid w:val="004E4717"/>
    <w:rsid w:val="004F77C5"/>
    <w:rsid w:val="005035E7"/>
    <w:rsid w:val="005044FC"/>
    <w:rsid w:val="00505BE1"/>
    <w:rsid w:val="00507FEC"/>
    <w:rsid w:val="00510F0E"/>
    <w:rsid w:val="005176C7"/>
    <w:rsid w:val="00523730"/>
    <w:rsid w:val="005252A3"/>
    <w:rsid w:val="00526523"/>
    <w:rsid w:val="00530192"/>
    <w:rsid w:val="00541666"/>
    <w:rsid w:val="005479E1"/>
    <w:rsid w:val="00550CF9"/>
    <w:rsid w:val="0055283B"/>
    <w:rsid w:val="00553E0A"/>
    <w:rsid w:val="005570FD"/>
    <w:rsid w:val="005575EA"/>
    <w:rsid w:val="00557B6C"/>
    <w:rsid w:val="00562348"/>
    <w:rsid w:val="00562FA2"/>
    <w:rsid w:val="005656DF"/>
    <w:rsid w:val="00570EF1"/>
    <w:rsid w:val="00572015"/>
    <w:rsid w:val="0057323B"/>
    <w:rsid w:val="005750C2"/>
    <w:rsid w:val="005751F1"/>
    <w:rsid w:val="0057790C"/>
    <w:rsid w:val="00593795"/>
    <w:rsid w:val="00593821"/>
    <w:rsid w:val="005965E5"/>
    <w:rsid w:val="005966DA"/>
    <w:rsid w:val="005A0343"/>
    <w:rsid w:val="005A16C1"/>
    <w:rsid w:val="005A549B"/>
    <w:rsid w:val="005A75FF"/>
    <w:rsid w:val="005B0A90"/>
    <w:rsid w:val="005B35F3"/>
    <w:rsid w:val="005C6115"/>
    <w:rsid w:val="005D10AB"/>
    <w:rsid w:val="005E52F3"/>
    <w:rsid w:val="005F0ED1"/>
    <w:rsid w:val="005F484F"/>
    <w:rsid w:val="005F4970"/>
    <w:rsid w:val="0060112E"/>
    <w:rsid w:val="00601D8F"/>
    <w:rsid w:val="0060237D"/>
    <w:rsid w:val="006061F8"/>
    <w:rsid w:val="00606606"/>
    <w:rsid w:val="00611276"/>
    <w:rsid w:val="00611B4D"/>
    <w:rsid w:val="006231D8"/>
    <w:rsid w:val="00624F1A"/>
    <w:rsid w:val="0062579D"/>
    <w:rsid w:val="00630C34"/>
    <w:rsid w:val="00633D25"/>
    <w:rsid w:val="00641165"/>
    <w:rsid w:val="00645E92"/>
    <w:rsid w:val="00652CDC"/>
    <w:rsid w:val="00653E97"/>
    <w:rsid w:val="006664A5"/>
    <w:rsid w:val="00673E8F"/>
    <w:rsid w:val="00675620"/>
    <w:rsid w:val="00680319"/>
    <w:rsid w:val="00683EEF"/>
    <w:rsid w:val="00684A74"/>
    <w:rsid w:val="00690B8A"/>
    <w:rsid w:val="00693E56"/>
    <w:rsid w:val="006A345A"/>
    <w:rsid w:val="006A405B"/>
    <w:rsid w:val="006A4531"/>
    <w:rsid w:val="006B0197"/>
    <w:rsid w:val="006B11BD"/>
    <w:rsid w:val="006B1AB5"/>
    <w:rsid w:val="006B57D6"/>
    <w:rsid w:val="006C194A"/>
    <w:rsid w:val="006C60C5"/>
    <w:rsid w:val="006C673B"/>
    <w:rsid w:val="006D333C"/>
    <w:rsid w:val="006E08A1"/>
    <w:rsid w:val="006E46D9"/>
    <w:rsid w:val="006E4A09"/>
    <w:rsid w:val="006F1F65"/>
    <w:rsid w:val="006F2CF1"/>
    <w:rsid w:val="006F43A2"/>
    <w:rsid w:val="006F668F"/>
    <w:rsid w:val="006F7CFD"/>
    <w:rsid w:val="007038ED"/>
    <w:rsid w:val="00703BC3"/>
    <w:rsid w:val="00704B61"/>
    <w:rsid w:val="00714348"/>
    <w:rsid w:val="00715D0A"/>
    <w:rsid w:val="00717C98"/>
    <w:rsid w:val="00720051"/>
    <w:rsid w:val="0072121B"/>
    <w:rsid w:val="00721482"/>
    <w:rsid w:val="00721E7A"/>
    <w:rsid w:val="00723292"/>
    <w:rsid w:val="007243EE"/>
    <w:rsid w:val="00726C8E"/>
    <w:rsid w:val="007334B3"/>
    <w:rsid w:val="00734672"/>
    <w:rsid w:val="00741899"/>
    <w:rsid w:val="0074320E"/>
    <w:rsid w:val="007437C5"/>
    <w:rsid w:val="007551BA"/>
    <w:rsid w:val="007552A9"/>
    <w:rsid w:val="007601F3"/>
    <w:rsid w:val="00760D49"/>
    <w:rsid w:val="00761858"/>
    <w:rsid w:val="00764D1A"/>
    <w:rsid w:val="007656C6"/>
    <w:rsid w:val="00767D59"/>
    <w:rsid w:val="0077393E"/>
    <w:rsid w:val="00776E97"/>
    <w:rsid w:val="00780F86"/>
    <w:rsid w:val="00782743"/>
    <w:rsid w:val="007841D5"/>
    <w:rsid w:val="00784D03"/>
    <w:rsid w:val="007912AD"/>
    <w:rsid w:val="007937AD"/>
    <w:rsid w:val="00796712"/>
    <w:rsid w:val="007A2454"/>
    <w:rsid w:val="007A47DD"/>
    <w:rsid w:val="007A7B35"/>
    <w:rsid w:val="007B0824"/>
    <w:rsid w:val="007B5D3C"/>
    <w:rsid w:val="007B7552"/>
    <w:rsid w:val="007D6EAB"/>
    <w:rsid w:val="007E37AC"/>
    <w:rsid w:val="007F665C"/>
    <w:rsid w:val="00800360"/>
    <w:rsid w:val="00805C10"/>
    <w:rsid w:val="00806E37"/>
    <w:rsid w:val="00813C29"/>
    <w:rsid w:val="00815082"/>
    <w:rsid w:val="00821B72"/>
    <w:rsid w:val="008226DD"/>
    <w:rsid w:val="00823EF2"/>
    <w:rsid w:val="00825109"/>
    <w:rsid w:val="008303B8"/>
    <w:rsid w:val="00833DCE"/>
    <w:rsid w:val="0083580A"/>
    <w:rsid w:val="00844156"/>
    <w:rsid w:val="00846BE3"/>
    <w:rsid w:val="00846D61"/>
    <w:rsid w:val="0085282C"/>
    <w:rsid w:val="00852DCE"/>
    <w:rsid w:val="00852F5A"/>
    <w:rsid w:val="008568CF"/>
    <w:rsid w:val="008578D0"/>
    <w:rsid w:val="00861DFF"/>
    <w:rsid w:val="008623D4"/>
    <w:rsid w:val="008628DD"/>
    <w:rsid w:val="00867CCE"/>
    <w:rsid w:val="00870267"/>
    <w:rsid w:val="00871D34"/>
    <w:rsid w:val="00874C7E"/>
    <w:rsid w:val="00874E45"/>
    <w:rsid w:val="008825F7"/>
    <w:rsid w:val="00883632"/>
    <w:rsid w:val="00894951"/>
    <w:rsid w:val="00895F9E"/>
    <w:rsid w:val="008A37E3"/>
    <w:rsid w:val="008B270C"/>
    <w:rsid w:val="008B5078"/>
    <w:rsid w:val="008C3D3D"/>
    <w:rsid w:val="008C65C5"/>
    <w:rsid w:val="008C6BEA"/>
    <w:rsid w:val="008C71A2"/>
    <w:rsid w:val="008D382E"/>
    <w:rsid w:val="008D4131"/>
    <w:rsid w:val="008F1932"/>
    <w:rsid w:val="008F1E92"/>
    <w:rsid w:val="008F7788"/>
    <w:rsid w:val="00901068"/>
    <w:rsid w:val="00903C06"/>
    <w:rsid w:val="009162E8"/>
    <w:rsid w:val="009164EF"/>
    <w:rsid w:val="00921062"/>
    <w:rsid w:val="00924E18"/>
    <w:rsid w:val="00925AB2"/>
    <w:rsid w:val="00967E53"/>
    <w:rsid w:val="00971A70"/>
    <w:rsid w:val="009722BC"/>
    <w:rsid w:val="0097235D"/>
    <w:rsid w:val="009727A3"/>
    <w:rsid w:val="0097577A"/>
    <w:rsid w:val="00977E5A"/>
    <w:rsid w:val="009873DD"/>
    <w:rsid w:val="00987774"/>
    <w:rsid w:val="00990CF3"/>
    <w:rsid w:val="00992C74"/>
    <w:rsid w:val="009A0F09"/>
    <w:rsid w:val="009A11E8"/>
    <w:rsid w:val="009A2B75"/>
    <w:rsid w:val="009C2408"/>
    <w:rsid w:val="009C40B8"/>
    <w:rsid w:val="009C6294"/>
    <w:rsid w:val="009C6CC6"/>
    <w:rsid w:val="009D055C"/>
    <w:rsid w:val="009F5220"/>
    <w:rsid w:val="009F526C"/>
    <w:rsid w:val="009F637C"/>
    <w:rsid w:val="00A12266"/>
    <w:rsid w:val="00A13002"/>
    <w:rsid w:val="00A15234"/>
    <w:rsid w:val="00A201AB"/>
    <w:rsid w:val="00A27297"/>
    <w:rsid w:val="00A31C8B"/>
    <w:rsid w:val="00A343D8"/>
    <w:rsid w:val="00A35CFC"/>
    <w:rsid w:val="00A509FA"/>
    <w:rsid w:val="00A5238A"/>
    <w:rsid w:val="00A5334F"/>
    <w:rsid w:val="00A563E5"/>
    <w:rsid w:val="00A719B9"/>
    <w:rsid w:val="00A768EE"/>
    <w:rsid w:val="00A82157"/>
    <w:rsid w:val="00A82F79"/>
    <w:rsid w:val="00A845DC"/>
    <w:rsid w:val="00A905CD"/>
    <w:rsid w:val="00A91607"/>
    <w:rsid w:val="00A91E1E"/>
    <w:rsid w:val="00AA20B4"/>
    <w:rsid w:val="00AA7A2D"/>
    <w:rsid w:val="00AB0287"/>
    <w:rsid w:val="00AB15C9"/>
    <w:rsid w:val="00AB6C32"/>
    <w:rsid w:val="00AC664C"/>
    <w:rsid w:val="00AC6A9F"/>
    <w:rsid w:val="00AD27F4"/>
    <w:rsid w:val="00AE1907"/>
    <w:rsid w:val="00AE39A8"/>
    <w:rsid w:val="00AF39EB"/>
    <w:rsid w:val="00B0097A"/>
    <w:rsid w:val="00B03496"/>
    <w:rsid w:val="00B03A37"/>
    <w:rsid w:val="00B10A9C"/>
    <w:rsid w:val="00B11FCD"/>
    <w:rsid w:val="00B26AA2"/>
    <w:rsid w:val="00B27DFE"/>
    <w:rsid w:val="00B300CE"/>
    <w:rsid w:val="00B3524D"/>
    <w:rsid w:val="00B369B3"/>
    <w:rsid w:val="00B37AC9"/>
    <w:rsid w:val="00B40F69"/>
    <w:rsid w:val="00B434A7"/>
    <w:rsid w:val="00B46616"/>
    <w:rsid w:val="00B55768"/>
    <w:rsid w:val="00B55BE1"/>
    <w:rsid w:val="00B564F9"/>
    <w:rsid w:val="00B574ED"/>
    <w:rsid w:val="00B5773A"/>
    <w:rsid w:val="00B64A78"/>
    <w:rsid w:val="00B668D8"/>
    <w:rsid w:val="00B7040A"/>
    <w:rsid w:val="00B71BF5"/>
    <w:rsid w:val="00B83391"/>
    <w:rsid w:val="00B866FB"/>
    <w:rsid w:val="00B9038B"/>
    <w:rsid w:val="00B914CB"/>
    <w:rsid w:val="00B94048"/>
    <w:rsid w:val="00B95326"/>
    <w:rsid w:val="00BA0896"/>
    <w:rsid w:val="00BA7391"/>
    <w:rsid w:val="00BB0BED"/>
    <w:rsid w:val="00BB39BE"/>
    <w:rsid w:val="00BC3E53"/>
    <w:rsid w:val="00BC5E43"/>
    <w:rsid w:val="00BC7D66"/>
    <w:rsid w:val="00BD06DD"/>
    <w:rsid w:val="00BD4196"/>
    <w:rsid w:val="00BE7BD2"/>
    <w:rsid w:val="00BF1A11"/>
    <w:rsid w:val="00BF21C9"/>
    <w:rsid w:val="00BF22CA"/>
    <w:rsid w:val="00BF23BB"/>
    <w:rsid w:val="00BF7921"/>
    <w:rsid w:val="00C0003A"/>
    <w:rsid w:val="00C101A6"/>
    <w:rsid w:val="00C12F97"/>
    <w:rsid w:val="00C15F31"/>
    <w:rsid w:val="00C163A3"/>
    <w:rsid w:val="00C2167B"/>
    <w:rsid w:val="00C22D9F"/>
    <w:rsid w:val="00C26032"/>
    <w:rsid w:val="00C345E1"/>
    <w:rsid w:val="00C3786B"/>
    <w:rsid w:val="00C43BFD"/>
    <w:rsid w:val="00C46F62"/>
    <w:rsid w:val="00C640A8"/>
    <w:rsid w:val="00C64A47"/>
    <w:rsid w:val="00C720DB"/>
    <w:rsid w:val="00C7704B"/>
    <w:rsid w:val="00C81167"/>
    <w:rsid w:val="00C865C1"/>
    <w:rsid w:val="00C94BB4"/>
    <w:rsid w:val="00C951B1"/>
    <w:rsid w:val="00C95BBD"/>
    <w:rsid w:val="00CA107F"/>
    <w:rsid w:val="00CA10A1"/>
    <w:rsid w:val="00CA4F17"/>
    <w:rsid w:val="00CA5CE4"/>
    <w:rsid w:val="00CB5C79"/>
    <w:rsid w:val="00CB6E35"/>
    <w:rsid w:val="00CC3A26"/>
    <w:rsid w:val="00CC6AB3"/>
    <w:rsid w:val="00CD3268"/>
    <w:rsid w:val="00CE1A46"/>
    <w:rsid w:val="00CE3FDA"/>
    <w:rsid w:val="00CE4394"/>
    <w:rsid w:val="00CE465E"/>
    <w:rsid w:val="00CE4BF4"/>
    <w:rsid w:val="00CF14D4"/>
    <w:rsid w:val="00CF3E98"/>
    <w:rsid w:val="00D054BD"/>
    <w:rsid w:val="00D05D0E"/>
    <w:rsid w:val="00D06DBC"/>
    <w:rsid w:val="00D105F2"/>
    <w:rsid w:val="00D14113"/>
    <w:rsid w:val="00D17D84"/>
    <w:rsid w:val="00D20757"/>
    <w:rsid w:val="00D20AA6"/>
    <w:rsid w:val="00D21B5D"/>
    <w:rsid w:val="00D22636"/>
    <w:rsid w:val="00D268D7"/>
    <w:rsid w:val="00D273A7"/>
    <w:rsid w:val="00D31443"/>
    <w:rsid w:val="00D31951"/>
    <w:rsid w:val="00D3621D"/>
    <w:rsid w:val="00D36AF6"/>
    <w:rsid w:val="00D370B0"/>
    <w:rsid w:val="00D40FD9"/>
    <w:rsid w:val="00D463AA"/>
    <w:rsid w:val="00D46C41"/>
    <w:rsid w:val="00D472E1"/>
    <w:rsid w:val="00D53769"/>
    <w:rsid w:val="00D66144"/>
    <w:rsid w:val="00D66B69"/>
    <w:rsid w:val="00D70B67"/>
    <w:rsid w:val="00D70FBF"/>
    <w:rsid w:val="00D77B00"/>
    <w:rsid w:val="00D8561E"/>
    <w:rsid w:val="00D85C13"/>
    <w:rsid w:val="00D86F3A"/>
    <w:rsid w:val="00D9111A"/>
    <w:rsid w:val="00D91BE3"/>
    <w:rsid w:val="00D9326A"/>
    <w:rsid w:val="00D94AFC"/>
    <w:rsid w:val="00DA1EF1"/>
    <w:rsid w:val="00DA4AEA"/>
    <w:rsid w:val="00DA4D91"/>
    <w:rsid w:val="00DB5CC0"/>
    <w:rsid w:val="00DB70AE"/>
    <w:rsid w:val="00DC26A7"/>
    <w:rsid w:val="00DC6C25"/>
    <w:rsid w:val="00DD19E4"/>
    <w:rsid w:val="00DD5071"/>
    <w:rsid w:val="00DD5ADB"/>
    <w:rsid w:val="00DD5C39"/>
    <w:rsid w:val="00DD7829"/>
    <w:rsid w:val="00DE21AB"/>
    <w:rsid w:val="00DE22CC"/>
    <w:rsid w:val="00DE6C66"/>
    <w:rsid w:val="00DE7DB7"/>
    <w:rsid w:val="00E00A0A"/>
    <w:rsid w:val="00E066DE"/>
    <w:rsid w:val="00E07F57"/>
    <w:rsid w:val="00E13F63"/>
    <w:rsid w:val="00E13FE0"/>
    <w:rsid w:val="00E22822"/>
    <w:rsid w:val="00E2291E"/>
    <w:rsid w:val="00E30683"/>
    <w:rsid w:val="00E35DF4"/>
    <w:rsid w:val="00E411F4"/>
    <w:rsid w:val="00E453D8"/>
    <w:rsid w:val="00E50BCE"/>
    <w:rsid w:val="00E5301D"/>
    <w:rsid w:val="00E574BF"/>
    <w:rsid w:val="00E61292"/>
    <w:rsid w:val="00E642AB"/>
    <w:rsid w:val="00E77C4D"/>
    <w:rsid w:val="00E80AD9"/>
    <w:rsid w:val="00E81D01"/>
    <w:rsid w:val="00E83C14"/>
    <w:rsid w:val="00E843C5"/>
    <w:rsid w:val="00E92383"/>
    <w:rsid w:val="00EA1766"/>
    <w:rsid w:val="00EB2144"/>
    <w:rsid w:val="00EB310B"/>
    <w:rsid w:val="00EB45D2"/>
    <w:rsid w:val="00EB77EC"/>
    <w:rsid w:val="00EC046B"/>
    <w:rsid w:val="00EC1BA4"/>
    <w:rsid w:val="00EC515A"/>
    <w:rsid w:val="00ED036F"/>
    <w:rsid w:val="00ED6D23"/>
    <w:rsid w:val="00EE1FA1"/>
    <w:rsid w:val="00EE45D8"/>
    <w:rsid w:val="00EF0787"/>
    <w:rsid w:val="00EF49C7"/>
    <w:rsid w:val="00EF5E91"/>
    <w:rsid w:val="00F04B1E"/>
    <w:rsid w:val="00F052AB"/>
    <w:rsid w:val="00F10DE1"/>
    <w:rsid w:val="00F110B4"/>
    <w:rsid w:val="00F12BB0"/>
    <w:rsid w:val="00F130F7"/>
    <w:rsid w:val="00F22AA0"/>
    <w:rsid w:val="00F22EDA"/>
    <w:rsid w:val="00F313E3"/>
    <w:rsid w:val="00F42D47"/>
    <w:rsid w:val="00F52CE2"/>
    <w:rsid w:val="00F563B2"/>
    <w:rsid w:val="00F6035E"/>
    <w:rsid w:val="00F6111D"/>
    <w:rsid w:val="00F7091A"/>
    <w:rsid w:val="00F71664"/>
    <w:rsid w:val="00F71D8B"/>
    <w:rsid w:val="00F734A7"/>
    <w:rsid w:val="00F829C0"/>
    <w:rsid w:val="00F85051"/>
    <w:rsid w:val="00F86938"/>
    <w:rsid w:val="00F902FD"/>
    <w:rsid w:val="00F97703"/>
    <w:rsid w:val="00FA0071"/>
    <w:rsid w:val="00FA1841"/>
    <w:rsid w:val="00FA77E1"/>
    <w:rsid w:val="00FA7A30"/>
    <w:rsid w:val="00FB604A"/>
    <w:rsid w:val="00FC20B0"/>
    <w:rsid w:val="00FC20F8"/>
    <w:rsid w:val="00FC5ADA"/>
    <w:rsid w:val="00FD50E5"/>
    <w:rsid w:val="00FE06E1"/>
    <w:rsid w:val="00FE56D1"/>
    <w:rsid w:val="00FF2A4A"/>
    <w:rsid w:val="00FF781D"/>
    <w:rsid w:val="576901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BB4BA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n-GB" w:eastAsia="en-GB"/>
    </w:rPr>
  </w:style>
  <w:style w:type="paragraph" w:styleId="Heading8">
    <w:name w:val="heading 8"/>
    <w:basedOn w:val="Normal"/>
    <w:next w:val="Normal"/>
    <w:qFormat/>
    <w:rsid w:val="00F22AA0"/>
    <w:pPr>
      <w:keepNext/>
      <w:ind w:left="360"/>
      <w:jc w:val="both"/>
      <w:outlineLvl w:val="7"/>
    </w:pPr>
    <w:rPr>
      <w:rFonts w:ascii="Arial" w:hAnsi="Arial" w:cs="Arial"/>
      <w:b/>
      <w:b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FootnoteText">
    <w:name w:val="footnote text"/>
    <w:basedOn w:val="Normal"/>
    <w:link w:val="FootnoteTextChar"/>
    <w:semiHidden/>
    <w:rsid w:val="00077501"/>
    <w:rPr>
      <w:rFonts w:ascii="Arial" w:hAnsi="Arial"/>
      <w:sz w:val="20"/>
      <w:szCs w:val="20"/>
    </w:rPr>
  </w:style>
  <w:style w:type="character" w:styleId="FootnoteReference">
    <w:name w:val="footnote reference"/>
    <w:semiHidden/>
    <w:rsid w:val="00077501"/>
    <w:rPr>
      <w:vertAlign w:val="superscript"/>
    </w:rPr>
  </w:style>
  <w:style w:type="character" w:customStyle="1" w:styleId="FootnoteTextChar">
    <w:name w:val="Footnote Text Char"/>
    <w:link w:val="FootnoteText"/>
    <w:rsid w:val="00077501"/>
    <w:rPr>
      <w:rFonts w:ascii="Arial" w:hAnsi="Arial"/>
      <w:lang w:val="en-GB" w:eastAsia="en-GB" w:bidi="ar-SA"/>
    </w:rPr>
  </w:style>
  <w:style w:type="paragraph" w:styleId="EndnoteText">
    <w:name w:val="endnote text"/>
    <w:basedOn w:val="Normal"/>
    <w:semiHidden/>
    <w:rsid w:val="00077501"/>
    <w:pPr>
      <w:ind w:left="360"/>
    </w:pPr>
    <w:rPr>
      <w:rFonts w:ascii="Arial" w:hAnsi="Arial" w:cs="Arial"/>
      <w:sz w:val="20"/>
      <w:szCs w:val="20"/>
    </w:rPr>
  </w:style>
  <w:style w:type="character" w:styleId="EndnoteReference">
    <w:name w:val="endnote reference"/>
    <w:semiHidden/>
    <w:rsid w:val="00077501"/>
    <w:rPr>
      <w:vertAlign w:val="superscript"/>
    </w:rPr>
  </w:style>
  <w:style w:type="paragraph" w:customStyle="1" w:styleId="western">
    <w:name w:val="western"/>
    <w:basedOn w:val="Normal"/>
    <w:rsid w:val="00D70B67"/>
    <w:pPr>
      <w:spacing w:before="100" w:beforeAutospacing="1" w:after="100" w:afterAutospacing="1"/>
    </w:pPr>
    <w:rPr>
      <w:color w:val="000000"/>
    </w:rPr>
  </w:style>
  <w:style w:type="paragraph" w:customStyle="1" w:styleId="TxBrp1">
    <w:name w:val="TxBr_p1"/>
    <w:basedOn w:val="Normal"/>
    <w:rsid w:val="00F22AA0"/>
    <w:pPr>
      <w:tabs>
        <w:tab w:val="left" w:pos="204"/>
      </w:tabs>
      <w:spacing w:line="243" w:lineRule="atLeast"/>
    </w:pPr>
    <w:rPr>
      <w:szCs w:val="20"/>
      <w:lang w:eastAsia="en-US"/>
    </w:rPr>
  </w:style>
  <w:style w:type="paragraph" w:customStyle="1" w:styleId="TxBrp9">
    <w:name w:val="TxBr_p9"/>
    <w:basedOn w:val="Normal"/>
    <w:rsid w:val="00F22AA0"/>
    <w:pPr>
      <w:tabs>
        <w:tab w:val="left" w:pos="204"/>
      </w:tabs>
      <w:spacing w:line="243" w:lineRule="atLeast"/>
      <w:jc w:val="both"/>
    </w:pPr>
    <w:rPr>
      <w:szCs w:val="20"/>
      <w:lang w:eastAsia="en-US"/>
    </w:rPr>
  </w:style>
  <w:style w:type="paragraph" w:styleId="BodyTextIndent">
    <w:name w:val="Body Text Indent"/>
    <w:basedOn w:val="Normal"/>
    <w:rsid w:val="00F22AA0"/>
    <w:pPr>
      <w:ind w:left="1440"/>
      <w:jc w:val="both"/>
    </w:pPr>
    <w:rPr>
      <w:rFonts w:ascii="Courier New" w:hAnsi="Courier New"/>
      <w:szCs w:val="20"/>
      <w:lang w:eastAsia="en-US"/>
    </w:rPr>
  </w:style>
  <w:style w:type="paragraph" w:styleId="ListParagraph">
    <w:name w:val="List Paragraph"/>
    <w:basedOn w:val="Normal"/>
    <w:qFormat/>
    <w:rsid w:val="00BA7391"/>
    <w:pPr>
      <w:ind w:left="720"/>
    </w:pPr>
  </w:style>
  <w:style w:type="paragraph" w:customStyle="1" w:styleId="Default">
    <w:name w:val="Default"/>
    <w:rsid w:val="00296D48"/>
    <w:pPr>
      <w:autoSpaceDE w:val="0"/>
      <w:autoSpaceDN w:val="0"/>
      <w:adjustRightInd w:val="0"/>
    </w:pPr>
    <w:rPr>
      <w:rFonts w:ascii="Georgia" w:hAnsi="Georgia" w:cs="Georgia"/>
      <w:color w:val="000000"/>
      <w:sz w:val="24"/>
      <w:szCs w:val="24"/>
      <w:lang w:val="en-GB" w:eastAsia="en-GB"/>
    </w:rPr>
  </w:style>
  <w:style w:type="paragraph" w:customStyle="1" w:styleId="CM13">
    <w:name w:val="CM13"/>
    <w:basedOn w:val="Default"/>
    <w:next w:val="Default"/>
    <w:rsid w:val="00296D48"/>
    <w:rPr>
      <w:rFonts w:cs="Times New Roman"/>
      <w:color w:val="auto"/>
    </w:rPr>
  </w:style>
  <w:style w:type="paragraph" w:styleId="NormalWeb">
    <w:name w:val="Normal (Web)"/>
    <w:basedOn w:val="Normal"/>
    <w:uiPriority w:val="99"/>
    <w:unhideWhenUsed/>
    <w:rsid w:val="0083580A"/>
    <w:pPr>
      <w:spacing w:before="100" w:beforeAutospacing="1" w:after="100" w:afterAutospacing="1"/>
    </w:pPr>
    <w:rPr>
      <w:rFonts w:eastAsiaTheme="minorEastAsia"/>
      <w:lang w:eastAsia="en-US"/>
    </w:rPr>
  </w:style>
  <w:style w:type="paragraph" w:customStyle="1" w:styleId="paragraph">
    <w:name w:val="paragraph"/>
    <w:basedOn w:val="Normal"/>
    <w:rsid w:val="00DE21AB"/>
    <w:pPr>
      <w:spacing w:before="100" w:beforeAutospacing="1" w:after="100" w:afterAutospacing="1"/>
    </w:pPr>
  </w:style>
  <w:style w:type="character" w:customStyle="1" w:styleId="normaltextrun">
    <w:name w:val="normaltextrun"/>
    <w:basedOn w:val="DefaultParagraphFont"/>
    <w:rsid w:val="00DE21AB"/>
  </w:style>
  <w:style w:type="character" w:customStyle="1" w:styleId="contextualspellingandgrammarerror">
    <w:name w:val="contextualspellingandgrammarerror"/>
    <w:basedOn w:val="DefaultParagraphFont"/>
    <w:rsid w:val="00DE21AB"/>
  </w:style>
  <w:style w:type="character" w:customStyle="1" w:styleId="eop">
    <w:name w:val="eop"/>
    <w:basedOn w:val="DefaultParagraphFont"/>
    <w:rsid w:val="00DE21AB"/>
  </w:style>
  <w:style w:type="character" w:customStyle="1" w:styleId="spellingerror">
    <w:name w:val="spellingerror"/>
    <w:basedOn w:val="DefaultParagraphFont"/>
    <w:rsid w:val="00DE2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41639">
      <w:bodyDiv w:val="1"/>
      <w:marLeft w:val="0"/>
      <w:marRight w:val="0"/>
      <w:marTop w:val="0"/>
      <w:marBottom w:val="0"/>
      <w:divBdr>
        <w:top w:val="none" w:sz="0" w:space="0" w:color="auto"/>
        <w:left w:val="none" w:sz="0" w:space="0" w:color="auto"/>
        <w:bottom w:val="none" w:sz="0" w:space="0" w:color="auto"/>
        <w:right w:val="none" w:sz="0" w:space="0" w:color="auto"/>
      </w:divBdr>
    </w:div>
    <w:div w:id="953753336">
      <w:bodyDiv w:val="1"/>
      <w:marLeft w:val="0"/>
      <w:marRight w:val="0"/>
      <w:marTop w:val="0"/>
      <w:marBottom w:val="0"/>
      <w:divBdr>
        <w:top w:val="none" w:sz="0" w:space="0" w:color="auto"/>
        <w:left w:val="none" w:sz="0" w:space="0" w:color="auto"/>
        <w:bottom w:val="none" w:sz="0" w:space="0" w:color="auto"/>
        <w:right w:val="none" w:sz="0" w:space="0" w:color="auto"/>
      </w:divBdr>
      <w:divsChild>
        <w:div w:id="1253930719">
          <w:marLeft w:val="0"/>
          <w:marRight w:val="0"/>
          <w:marTop w:val="0"/>
          <w:marBottom w:val="0"/>
          <w:divBdr>
            <w:top w:val="none" w:sz="0" w:space="0" w:color="auto"/>
            <w:left w:val="none" w:sz="0" w:space="0" w:color="auto"/>
            <w:bottom w:val="none" w:sz="0" w:space="0" w:color="auto"/>
            <w:right w:val="none" w:sz="0" w:space="0" w:color="auto"/>
          </w:divBdr>
        </w:div>
        <w:div w:id="1645230966">
          <w:marLeft w:val="0"/>
          <w:marRight w:val="0"/>
          <w:marTop w:val="0"/>
          <w:marBottom w:val="0"/>
          <w:divBdr>
            <w:top w:val="none" w:sz="0" w:space="0" w:color="auto"/>
            <w:left w:val="none" w:sz="0" w:space="0" w:color="auto"/>
            <w:bottom w:val="none" w:sz="0" w:space="0" w:color="auto"/>
            <w:right w:val="none" w:sz="0" w:space="0" w:color="auto"/>
          </w:divBdr>
        </w:div>
        <w:div w:id="781725969">
          <w:marLeft w:val="0"/>
          <w:marRight w:val="0"/>
          <w:marTop w:val="0"/>
          <w:marBottom w:val="0"/>
          <w:divBdr>
            <w:top w:val="none" w:sz="0" w:space="0" w:color="auto"/>
            <w:left w:val="none" w:sz="0" w:space="0" w:color="auto"/>
            <w:bottom w:val="none" w:sz="0" w:space="0" w:color="auto"/>
            <w:right w:val="none" w:sz="0" w:space="0" w:color="auto"/>
          </w:divBdr>
        </w:div>
        <w:div w:id="1903448549">
          <w:marLeft w:val="0"/>
          <w:marRight w:val="0"/>
          <w:marTop w:val="0"/>
          <w:marBottom w:val="0"/>
          <w:divBdr>
            <w:top w:val="none" w:sz="0" w:space="0" w:color="auto"/>
            <w:left w:val="none" w:sz="0" w:space="0" w:color="auto"/>
            <w:bottom w:val="none" w:sz="0" w:space="0" w:color="auto"/>
            <w:right w:val="none" w:sz="0" w:space="0" w:color="auto"/>
          </w:divBdr>
        </w:div>
        <w:div w:id="1637834807">
          <w:marLeft w:val="0"/>
          <w:marRight w:val="0"/>
          <w:marTop w:val="0"/>
          <w:marBottom w:val="0"/>
          <w:divBdr>
            <w:top w:val="none" w:sz="0" w:space="0" w:color="auto"/>
            <w:left w:val="none" w:sz="0" w:space="0" w:color="auto"/>
            <w:bottom w:val="none" w:sz="0" w:space="0" w:color="auto"/>
            <w:right w:val="none" w:sz="0" w:space="0" w:color="auto"/>
          </w:divBdr>
        </w:div>
      </w:divsChild>
    </w:div>
    <w:div w:id="1370640123">
      <w:bodyDiv w:val="1"/>
      <w:marLeft w:val="0"/>
      <w:marRight w:val="0"/>
      <w:marTop w:val="0"/>
      <w:marBottom w:val="0"/>
      <w:divBdr>
        <w:top w:val="none" w:sz="0" w:space="0" w:color="auto"/>
        <w:left w:val="none" w:sz="0" w:space="0" w:color="auto"/>
        <w:bottom w:val="none" w:sz="0" w:space="0" w:color="auto"/>
        <w:right w:val="none" w:sz="0" w:space="0" w:color="auto"/>
      </w:divBdr>
      <w:divsChild>
        <w:div w:id="1768504186">
          <w:marLeft w:val="0"/>
          <w:marRight w:val="0"/>
          <w:marTop w:val="0"/>
          <w:marBottom w:val="0"/>
          <w:divBdr>
            <w:top w:val="none" w:sz="0" w:space="0" w:color="auto"/>
            <w:left w:val="none" w:sz="0" w:space="0" w:color="auto"/>
            <w:bottom w:val="none" w:sz="0" w:space="0" w:color="auto"/>
            <w:right w:val="none" w:sz="0" w:space="0" w:color="auto"/>
          </w:divBdr>
          <w:divsChild>
            <w:div w:id="428503624">
              <w:marLeft w:val="0"/>
              <w:marRight w:val="0"/>
              <w:marTop w:val="0"/>
              <w:marBottom w:val="0"/>
              <w:divBdr>
                <w:top w:val="none" w:sz="0" w:space="0" w:color="auto"/>
                <w:left w:val="none" w:sz="0" w:space="0" w:color="auto"/>
                <w:bottom w:val="none" w:sz="0" w:space="0" w:color="auto"/>
                <w:right w:val="none" w:sz="0" w:space="0" w:color="auto"/>
              </w:divBdr>
            </w:div>
            <w:div w:id="2140418583">
              <w:marLeft w:val="0"/>
              <w:marRight w:val="0"/>
              <w:marTop w:val="0"/>
              <w:marBottom w:val="0"/>
              <w:divBdr>
                <w:top w:val="none" w:sz="0" w:space="0" w:color="auto"/>
                <w:left w:val="none" w:sz="0" w:space="0" w:color="auto"/>
                <w:bottom w:val="none" w:sz="0" w:space="0" w:color="auto"/>
                <w:right w:val="none" w:sz="0" w:space="0" w:color="auto"/>
              </w:divBdr>
            </w:div>
            <w:div w:id="774057960">
              <w:marLeft w:val="0"/>
              <w:marRight w:val="0"/>
              <w:marTop w:val="0"/>
              <w:marBottom w:val="0"/>
              <w:divBdr>
                <w:top w:val="none" w:sz="0" w:space="0" w:color="auto"/>
                <w:left w:val="none" w:sz="0" w:space="0" w:color="auto"/>
                <w:bottom w:val="none" w:sz="0" w:space="0" w:color="auto"/>
                <w:right w:val="none" w:sz="0" w:space="0" w:color="auto"/>
              </w:divBdr>
            </w:div>
          </w:divsChild>
        </w:div>
        <w:div w:id="1143231715">
          <w:marLeft w:val="0"/>
          <w:marRight w:val="0"/>
          <w:marTop w:val="0"/>
          <w:marBottom w:val="0"/>
          <w:divBdr>
            <w:top w:val="none" w:sz="0" w:space="0" w:color="auto"/>
            <w:left w:val="none" w:sz="0" w:space="0" w:color="auto"/>
            <w:bottom w:val="none" w:sz="0" w:space="0" w:color="auto"/>
            <w:right w:val="none" w:sz="0" w:space="0" w:color="auto"/>
          </w:divBdr>
          <w:divsChild>
            <w:div w:id="1242327457">
              <w:marLeft w:val="0"/>
              <w:marRight w:val="0"/>
              <w:marTop w:val="0"/>
              <w:marBottom w:val="0"/>
              <w:divBdr>
                <w:top w:val="none" w:sz="0" w:space="0" w:color="auto"/>
                <w:left w:val="none" w:sz="0" w:space="0" w:color="auto"/>
                <w:bottom w:val="none" w:sz="0" w:space="0" w:color="auto"/>
                <w:right w:val="none" w:sz="0" w:space="0" w:color="auto"/>
              </w:divBdr>
            </w:div>
            <w:div w:id="1953171835">
              <w:marLeft w:val="0"/>
              <w:marRight w:val="0"/>
              <w:marTop w:val="0"/>
              <w:marBottom w:val="0"/>
              <w:divBdr>
                <w:top w:val="none" w:sz="0" w:space="0" w:color="auto"/>
                <w:left w:val="none" w:sz="0" w:space="0" w:color="auto"/>
                <w:bottom w:val="none" w:sz="0" w:space="0" w:color="auto"/>
                <w:right w:val="none" w:sz="0" w:space="0" w:color="auto"/>
              </w:divBdr>
            </w:div>
            <w:div w:id="1126630385">
              <w:marLeft w:val="0"/>
              <w:marRight w:val="0"/>
              <w:marTop w:val="0"/>
              <w:marBottom w:val="0"/>
              <w:divBdr>
                <w:top w:val="none" w:sz="0" w:space="0" w:color="auto"/>
                <w:left w:val="none" w:sz="0" w:space="0" w:color="auto"/>
                <w:bottom w:val="none" w:sz="0" w:space="0" w:color="auto"/>
                <w:right w:val="none" w:sz="0" w:space="0" w:color="auto"/>
              </w:divBdr>
            </w:div>
            <w:div w:id="1233807898">
              <w:marLeft w:val="0"/>
              <w:marRight w:val="0"/>
              <w:marTop w:val="0"/>
              <w:marBottom w:val="0"/>
              <w:divBdr>
                <w:top w:val="none" w:sz="0" w:space="0" w:color="auto"/>
                <w:left w:val="none" w:sz="0" w:space="0" w:color="auto"/>
                <w:bottom w:val="none" w:sz="0" w:space="0" w:color="auto"/>
                <w:right w:val="none" w:sz="0" w:space="0" w:color="auto"/>
              </w:divBdr>
            </w:div>
            <w:div w:id="107238331">
              <w:marLeft w:val="0"/>
              <w:marRight w:val="0"/>
              <w:marTop w:val="0"/>
              <w:marBottom w:val="0"/>
              <w:divBdr>
                <w:top w:val="none" w:sz="0" w:space="0" w:color="auto"/>
                <w:left w:val="none" w:sz="0" w:space="0" w:color="auto"/>
                <w:bottom w:val="none" w:sz="0" w:space="0" w:color="auto"/>
                <w:right w:val="none" w:sz="0" w:space="0" w:color="auto"/>
              </w:divBdr>
            </w:div>
          </w:divsChild>
        </w:div>
        <w:div w:id="739256525">
          <w:marLeft w:val="0"/>
          <w:marRight w:val="0"/>
          <w:marTop w:val="0"/>
          <w:marBottom w:val="0"/>
          <w:divBdr>
            <w:top w:val="none" w:sz="0" w:space="0" w:color="auto"/>
            <w:left w:val="none" w:sz="0" w:space="0" w:color="auto"/>
            <w:bottom w:val="none" w:sz="0" w:space="0" w:color="auto"/>
            <w:right w:val="none" w:sz="0" w:space="0" w:color="auto"/>
          </w:divBdr>
          <w:divsChild>
            <w:div w:id="607735115">
              <w:marLeft w:val="0"/>
              <w:marRight w:val="0"/>
              <w:marTop w:val="0"/>
              <w:marBottom w:val="0"/>
              <w:divBdr>
                <w:top w:val="none" w:sz="0" w:space="0" w:color="auto"/>
                <w:left w:val="none" w:sz="0" w:space="0" w:color="auto"/>
                <w:bottom w:val="none" w:sz="0" w:space="0" w:color="auto"/>
                <w:right w:val="none" w:sz="0" w:space="0" w:color="auto"/>
              </w:divBdr>
            </w:div>
            <w:div w:id="600145044">
              <w:marLeft w:val="0"/>
              <w:marRight w:val="0"/>
              <w:marTop w:val="0"/>
              <w:marBottom w:val="0"/>
              <w:divBdr>
                <w:top w:val="none" w:sz="0" w:space="0" w:color="auto"/>
                <w:left w:val="none" w:sz="0" w:space="0" w:color="auto"/>
                <w:bottom w:val="none" w:sz="0" w:space="0" w:color="auto"/>
                <w:right w:val="none" w:sz="0" w:space="0" w:color="auto"/>
              </w:divBdr>
            </w:div>
            <w:div w:id="376780221">
              <w:marLeft w:val="0"/>
              <w:marRight w:val="0"/>
              <w:marTop w:val="0"/>
              <w:marBottom w:val="0"/>
              <w:divBdr>
                <w:top w:val="none" w:sz="0" w:space="0" w:color="auto"/>
                <w:left w:val="none" w:sz="0" w:space="0" w:color="auto"/>
                <w:bottom w:val="none" w:sz="0" w:space="0" w:color="auto"/>
                <w:right w:val="none" w:sz="0" w:space="0" w:color="auto"/>
              </w:divBdr>
            </w:div>
            <w:div w:id="1832330720">
              <w:marLeft w:val="0"/>
              <w:marRight w:val="0"/>
              <w:marTop w:val="0"/>
              <w:marBottom w:val="0"/>
              <w:divBdr>
                <w:top w:val="none" w:sz="0" w:space="0" w:color="auto"/>
                <w:left w:val="none" w:sz="0" w:space="0" w:color="auto"/>
                <w:bottom w:val="none" w:sz="0" w:space="0" w:color="auto"/>
                <w:right w:val="none" w:sz="0" w:space="0" w:color="auto"/>
              </w:divBdr>
            </w:div>
            <w:div w:id="7185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62298-55E0-41A2-8B97-FC5A1E893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2137</Words>
  <Characters>10274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2020-09-14T12:44:00Z</dcterms:created>
  <dcterms:modified xsi:type="dcterms:W3CDTF">2020-09-14T12:44:00Z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