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3B65" w:rsidRPr="000A202B" w:rsidRDefault="00FE0046" w:rsidP="00933B65">
      <w:pPr>
        <w:jc w:val="center"/>
        <w:rPr>
          <w:rFonts w:ascii="Book Antiqua" w:hAnsi="Book Antiqua" w:cs="Arial"/>
          <w:color w:val="000000"/>
          <w:sz w:val="16"/>
          <w:szCs w:val="16"/>
        </w:rPr>
      </w:pPr>
      <w:r w:rsidRPr="000A202B">
        <w:rPr>
          <w:noProof/>
          <w:sz w:val="16"/>
          <w:szCs w:val="16"/>
        </w:rPr>
        <w:drawing>
          <wp:inline distT="0" distB="0" distL="0" distR="0" wp14:anchorId="334D9F49" wp14:editId="334D9F4A">
            <wp:extent cx="1495425" cy="1133475"/>
            <wp:effectExtent l="0" t="0" r="0" b="0"/>
            <wp:docPr id="1" name="Picture 1" descr="Asylum and Immigration tribunal-b&amp;w-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sylum and Immigration tribunal-b&amp;w-tif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1482" b="-76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202B" w:rsidRPr="000A202B" w:rsidRDefault="000A202B" w:rsidP="000A202B">
      <w:pPr>
        <w:rPr>
          <w:rFonts w:ascii="Book Antiqua" w:hAnsi="Book Antiqua" w:cs="Arial"/>
          <w:color w:val="000000"/>
          <w:sz w:val="16"/>
          <w:szCs w:val="16"/>
        </w:rPr>
      </w:pPr>
    </w:p>
    <w:p w:rsidR="00933B65" w:rsidRPr="00F97703" w:rsidRDefault="00933B65" w:rsidP="00933B65">
      <w:pPr>
        <w:tabs>
          <w:tab w:val="right" w:pos="9720"/>
        </w:tabs>
        <w:ind w:right="-82"/>
        <w:rPr>
          <w:rFonts w:ascii="Book Antiqua" w:hAnsi="Book Antiqua" w:cs="Arial"/>
          <w:b/>
          <w:color w:val="000000"/>
        </w:rPr>
      </w:pPr>
      <w:r>
        <w:rPr>
          <w:rFonts w:ascii="Book Antiqua" w:hAnsi="Book Antiqua" w:cs="Arial"/>
          <w:b/>
          <w:color w:val="000000"/>
        </w:rPr>
        <w:t>Upper</w:t>
      </w:r>
      <w:r w:rsidRPr="00F97703">
        <w:rPr>
          <w:rFonts w:ascii="Book Antiqua" w:hAnsi="Book Antiqua" w:cs="Arial"/>
          <w:b/>
          <w:color w:val="000000"/>
        </w:rPr>
        <w:t xml:space="preserve"> Tribunal </w:t>
      </w:r>
    </w:p>
    <w:p w:rsidR="00933B65" w:rsidRPr="00F97703" w:rsidRDefault="00933B65" w:rsidP="008A64A7">
      <w:pPr>
        <w:tabs>
          <w:tab w:val="right" w:pos="9720"/>
        </w:tabs>
        <w:ind w:right="-82"/>
        <w:rPr>
          <w:rFonts w:ascii="Book Antiqua" w:hAnsi="Book Antiqua" w:cs="Arial"/>
          <w:color w:val="000000"/>
        </w:rPr>
      </w:pPr>
      <w:r w:rsidRPr="00F97703">
        <w:rPr>
          <w:rFonts w:ascii="Book Antiqua" w:hAnsi="Book Antiqua" w:cs="Arial"/>
          <w:b/>
          <w:color w:val="000000"/>
        </w:rPr>
        <w:t>(Immigration and Asylum Chamber)</w:t>
      </w:r>
      <w:r w:rsidRPr="00F97703">
        <w:rPr>
          <w:rFonts w:ascii="Book Antiqua" w:hAnsi="Book Antiqua" w:cs="Arial"/>
          <w:b/>
          <w:color w:val="000000"/>
        </w:rPr>
        <w:tab/>
      </w:r>
      <w:r w:rsidRPr="00F97703">
        <w:rPr>
          <w:rFonts w:ascii="Book Antiqua" w:hAnsi="Book Antiqua" w:cs="Arial"/>
          <w:color w:val="000000"/>
        </w:rPr>
        <w:t xml:space="preserve">Appeal Number: </w:t>
      </w:r>
      <w:bookmarkStart w:id="0" w:name="_Hlk519779098"/>
      <w:bookmarkStart w:id="1" w:name="_GoBack"/>
      <w:r w:rsidR="003675BF">
        <w:rPr>
          <w:rFonts w:ascii="Book Antiqua" w:hAnsi="Book Antiqua" w:cs="Arial"/>
          <w:caps/>
          <w:color w:val="000000"/>
        </w:rPr>
        <w:t>PA/01603/2017</w:t>
      </w:r>
      <w:bookmarkEnd w:id="0"/>
      <w:bookmarkEnd w:id="1"/>
    </w:p>
    <w:p w:rsidR="00933B65" w:rsidRPr="00F97703" w:rsidRDefault="00933B65" w:rsidP="00933B65">
      <w:pPr>
        <w:jc w:val="center"/>
        <w:rPr>
          <w:rFonts w:ascii="Book Antiqua" w:hAnsi="Book Antiqua" w:cs="Arial"/>
          <w:color w:val="000000"/>
        </w:rPr>
      </w:pPr>
    </w:p>
    <w:p w:rsidR="000A202B" w:rsidRDefault="000A202B" w:rsidP="00933B65">
      <w:pPr>
        <w:jc w:val="center"/>
        <w:rPr>
          <w:rFonts w:ascii="Book Antiqua" w:hAnsi="Book Antiqua" w:cs="Arial"/>
          <w:b/>
          <w:color w:val="000000"/>
          <w:u w:val="single"/>
        </w:rPr>
      </w:pPr>
    </w:p>
    <w:p w:rsidR="00933B65" w:rsidRDefault="00933B65" w:rsidP="00933B65">
      <w:pPr>
        <w:jc w:val="center"/>
        <w:rPr>
          <w:rFonts w:ascii="Book Antiqua" w:hAnsi="Book Antiqua" w:cs="Arial"/>
          <w:b/>
          <w:color w:val="000000"/>
          <w:u w:val="single"/>
        </w:rPr>
      </w:pPr>
      <w:r w:rsidRPr="00F97703">
        <w:rPr>
          <w:rFonts w:ascii="Book Antiqua" w:hAnsi="Book Antiqua" w:cs="Arial"/>
          <w:b/>
          <w:color w:val="000000"/>
          <w:u w:val="single"/>
        </w:rPr>
        <w:t>THE IMMIGRATION ACTS</w:t>
      </w:r>
    </w:p>
    <w:p w:rsidR="000A202B" w:rsidRPr="00F97703" w:rsidRDefault="000A202B" w:rsidP="00933B65">
      <w:pPr>
        <w:jc w:val="center"/>
        <w:rPr>
          <w:rFonts w:ascii="Book Antiqua" w:hAnsi="Book Antiqua" w:cs="Arial"/>
          <w:b/>
          <w:u w:val="single"/>
        </w:rPr>
      </w:pPr>
    </w:p>
    <w:p w:rsidR="00933B65" w:rsidRPr="00F97703" w:rsidRDefault="00933B65" w:rsidP="00933B65">
      <w:pPr>
        <w:jc w:val="center"/>
        <w:rPr>
          <w:rFonts w:ascii="Book Antiqua" w:hAnsi="Book Antiqua" w:cs="Arial"/>
          <w:b/>
          <w:u w:val="single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815"/>
        <w:gridCol w:w="4813"/>
      </w:tblGrid>
      <w:tr w:rsidR="00933B65" w:rsidRPr="002154EF" w:rsidTr="00447129">
        <w:tc>
          <w:tcPr>
            <w:tcW w:w="4815" w:type="dxa"/>
            <w:shd w:val="clear" w:color="auto" w:fill="auto"/>
          </w:tcPr>
          <w:p w:rsidR="00933B65" w:rsidRPr="002154EF" w:rsidRDefault="00933B65" w:rsidP="002154EF">
            <w:pPr>
              <w:jc w:val="both"/>
              <w:rPr>
                <w:rFonts w:ascii="Book Antiqua" w:hAnsi="Book Antiqua" w:cs="Arial"/>
                <w:b/>
              </w:rPr>
            </w:pPr>
            <w:r w:rsidRPr="002154EF">
              <w:rPr>
                <w:rFonts w:ascii="Book Antiqua" w:hAnsi="Book Antiqua" w:cs="Arial"/>
                <w:b/>
              </w:rPr>
              <w:t xml:space="preserve">Heard at </w:t>
            </w:r>
            <w:r w:rsidR="008B5B9B" w:rsidRPr="002154EF">
              <w:rPr>
                <w:rFonts w:ascii="Book Antiqua" w:hAnsi="Book Antiqua" w:cs="Arial"/>
                <w:b/>
              </w:rPr>
              <w:t xml:space="preserve">Glasgow </w:t>
            </w:r>
          </w:p>
        </w:tc>
        <w:tc>
          <w:tcPr>
            <w:tcW w:w="4813" w:type="dxa"/>
            <w:shd w:val="clear" w:color="auto" w:fill="auto"/>
          </w:tcPr>
          <w:p w:rsidR="00933B65" w:rsidRPr="002154EF" w:rsidRDefault="00447129" w:rsidP="002154EF">
            <w:pPr>
              <w:jc w:val="both"/>
              <w:rPr>
                <w:rFonts w:ascii="Book Antiqua" w:hAnsi="Book Antiqua" w:cs="Arial"/>
                <w:b/>
                <w:color w:val="000000"/>
              </w:rPr>
            </w:pPr>
            <w:r>
              <w:rPr>
                <w:rFonts w:ascii="Book Antiqua" w:hAnsi="Book Antiqua" w:cs="Arial"/>
                <w:b/>
                <w:color w:val="000000"/>
              </w:rPr>
              <w:t>Decision &amp; Reasons Promulgated</w:t>
            </w:r>
          </w:p>
        </w:tc>
      </w:tr>
      <w:tr w:rsidR="00933B65" w:rsidRPr="002154EF" w:rsidTr="00447129">
        <w:tc>
          <w:tcPr>
            <w:tcW w:w="4815" w:type="dxa"/>
            <w:shd w:val="clear" w:color="auto" w:fill="auto"/>
          </w:tcPr>
          <w:p w:rsidR="00933B65" w:rsidRPr="002154EF" w:rsidRDefault="006D2D9A" w:rsidP="002154EF">
            <w:pPr>
              <w:jc w:val="both"/>
              <w:rPr>
                <w:rFonts w:ascii="Book Antiqua" w:hAnsi="Book Antiqua" w:cs="Arial"/>
                <w:b/>
              </w:rPr>
            </w:pPr>
            <w:r w:rsidRPr="002154EF">
              <w:rPr>
                <w:rFonts w:ascii="Book Antiqua" w:hAnsi="Book Antiqua" w:cs="Arial"/>
                <w:b/>
              </w:rPr>
              <w:t>o</w:t>
            </w:r>
            <w:r w:rsidR="00933B65" w:rsidRPr="002154EF">
              <w:rPr>
                <w:rFonts w:ascii="Book Antiqua" w:hAnsi="Book Antiqua" w:cs="Arial"/>
                <w:b/>
              </w:rPr>
              <w:t xml:space="preserve">n </w:t>
            </w:r>
            <w:r w:rsidR="00AC6199">
              <w:rPr>
                <w:rFonts w:ascii="Book Antiqua" w:hAnsi="Book Antiqua" w:cs="Arial"/>
                <w:b/>
              </w:rPr>
              <w:t>19 July 2018</w:t>
            </w:r>
          </w:p>
        </w:tc>
        <w:tc>
          <w:tcPr>
            <w:tcW w:w="4813" w:type="dxa"/>
            <w:shd w:val="clear" w:color="auto" w:fill="auto"/>
          </w:tcPr>
          <w:p w:rsidR="00933B65" w:rsidRPr="002154EF" w:rsidRDefault="00447129" w:rsidP="002154EF">
            <w:pPr>
              <w:jc w:val="both"/>
              <w:rPr>
                <w:rFonts w:ascii="Book Antiqua" w:hAnsi="Book Antiqua" w:cs="Arial"/>
                <w:b/>
              </w:rPr>
            </w:pPr>
            <w:r>
              <w:rPr>
                <w:rFonts w:ascii="Book Antiqua" w:hAnsi="Book Antiqua" w:cs="Arial"/>
                <w:b/>
              </w:rPr>
              <w:t>on 26 July 2018</w:t>
            </w:r>
          </w:p>
        </w:tc>
      </w:tr>
      <w:tr w:rsidR="00933B65" w:rsidRPr="002154EF" w:rsidTr="00447129">
        <w:tc>
          <w:tcPr>
            <w:tcW w:w="4815" w:type="dxa"/>
            <w:shd w:val="clear" w:color="auto" w:fill="auto"/>
          </w:tcPr>
          <w:p w:rsidR="00933B65" w:rsidRPr="002154EF" w:rsidRDefault="00933B65" w:rsidP="002154EF">
            <w:pPr>
              <w:jc w:val="both"/>
              <w:rPr>
                <w:rFonts w:ascii="Book Antiqua" w:hAnsi="Book Antiqua" w:cs="Arial"/>
                <w:b/>
              </w:rPr>
            </w:pPr>
          </w:p>
        </w:tc>
        <w:tc>
          <w:tcPr>
            <w:tcW w:w="4813" w:type="dxa"/>
            <w:shd w:val="clear" w:color="auto" w:fill="auto"/>
          </w:tcPr>
          <w:p w:rsidR="00933B65" w:rsidRPr="002154EF" w:rsidRDefault="00933B65" w:rsidP="002154EF">
            <w:pPr>
              <w:jc w:val="both"/>
              <w:rPr>
                <w:rFonts w:ascii="Book Antiqua" w:hAnsi="Book Antiqua" w:cs="Arial"/>
                <w:b/>
              </w:rPr>
            </w:pPr>
          </w:p>
        </w:tc>
      </w:tr>
    </w:tbl>
    <w:p w:rsidR="000A202B" w:rsidRDefault="000A202B" w:rsidP="00933B65">
      <w:pPr>
        <w:jc w:val="center"/>
        <w:rPr>
          <w:rFonts w:ascii="Book Antiqua" w:hAnsi="Book Antiqua" w:cs="Arial"/>
          <w:b/>
        </w:rPr>
      </w:pPr>
    </w:p>
    <w:p w:rsidR="00933B65" w:rsidRPr="00F97703" w:rsidRDefault="00933B65" w:rsidP="00933B65">
      <w:pPr>
        <w:jc w:val="center"/>
        <w:rPr>
          <w:rFonts w:ascii="Book Antiqua" w:hAnsi="Book Antiqua" w:cs="Arial"/>
          <w:b/>
        </w:rPr>
      </w:pPr>
      <w:r w:rsidRPr="00F97703">
        <w:rPr>
          <w:rFonts w:ascii="Book Antiqua" w:hAnsi="Book Antiqua" w:cs="Arial"/>
          <w:b/>
        </w:rPr>
        <w:t>Before</w:t>
      </w:r>
    </w:p>
    <w:p w:rsidR="00933B65" w:rsidRPr="00F97703" w:rsidRDefault="00933B65" w:rsidP="00933B65">
      <w:pPr>
        <w:jc w:val="center"/>
        <w:rPr>
          <w:rFonts w:ascii="Book Antiqua" w:hAnsi="Book Antiqua" w:cs="Arial"/>
          <w:b/>
        </w:rPr>
      </w:pPr>
    </w:p>
    <w:p w:rsidR="00933B65" w:rsidRPr="00F97703" w:rsidRDefault="00933B65" w:rsidP="00933B65">
      <w:pPr>
        <w:jc w:val="center"/>
        <w:rPr>
          <w:rFonts w:ascii="Book Antiqua" w:hAnsi="Book Antiqua" w:cs="Arial"/>
          <w:b/>
          <w:color w:val="000000"/>
        </w:rPr>
      </w:pPr>
      <w:r>
        <w:rPr>
          <w:rFonts w:ascii="Book Antiqua" w:hAnsi="Book Antiqua" w:cs="Arial"/>
          <w:b/>
          <w:color w:val="000000"/>
        </w:rPr>
        <w:t xml:space="preserve">UPPER TRIBUNAL JUDGE </w:t>
      </w:r>
      <w:r w:rsidR="008B5B9B">
        <w:rPr>
          <w:rFonts w:ascii="Book Antiqua" w:hAnsi="Book Antiqua" w:cs="Arial"/>
          <w:b/>
          <w:color w:val="000000"/>
        </w:rPr>
        <w:t>MACLEMAN</w:t>
      </w:r>
    </w:p>
    <w:p w:rsidR="00933B65" w:rsidRPr="00F97703" w:rsidRDefault="00933B65" w:rsidP="00933B65">
      <w:pPr>
        <w:jc w:val="center"/>
        <w:rPr>
          <w:rFonts w:ascii="Book Antiqua" w:hAnsi="Book Antiqua" w:cs="Arial"/>
          <w:b/>
        </w:rPr>
      </w:pPr>
    </w:p>
    <w:p w:rsidR="000A202B" w:rsidRDefault="000A202B" w:rsidP="00933B65">
      <w:pPr>
        <w:jc w:val="center"/>
        <w:rPr>
          <w:rFonts w:ascii="Book Antiqua" w:hAnsi="Book Antiqua" w:cs="Arial"/>
          <w:b/>
        </w:rPr>
      </w:pPr>
    </w:p>
    <w:p w:rsidR="00933B65" w:rsidRDefault="00933B65" w:rsidP="00933B65">
      <w:pPr>
        <w:jc w:val="center"/>
        <w:rPr>
          <w:rFonts w:ascii="Book Antiqua" w:hAnsi="Book Antiqua" w:cs="Arial"/>
          <w:b/>
        </w:rPr>
      </w:pPr>
      <w:r w:rsidRPr="00F97703">
        <w:rPr>
          <w:rFonts w:ascii="Book Antiqua" w:hAnsi="Book Antiqua" w:cs="Arial"/>
          <w:b/>
        </w:rPr>
        <w:t>Between</w:t>
      </w:r>
    </w:p>
    <w:p w:rsidR="00933B65" w:rsidRDefault="00933B65" w:rsidP="00933B65">
      <w:pPr>
        <w:jc w:val="center"/>
        <w:rPr>
          <w:rFonts w:ascii="Book Antiqua" w:hAnsi="Book Antiqua" w:cs="Arial"/>
          <w:b/>
        </w:rPr>
      </w:pPr>
    </w:p>
    <w:p w:rsidR="00933B65" w:rsidRPr="00F97703" w:rsidRDefault="00AC6199" w:rsidP="00933B65">
      <w:pPr>
        <w:jc w:val="center"/>
        <w:rPr>
          <w:rFonts w:ascii="Book Antiqua" w:hAnsi="Book Antiqua" w:cs="Arial"/>
          <w:b/>
        </w:rPr>
      </w:pPr>
      <w:r>
        <w:rPr>
          <w:rFonts w:ascii="Book Antiqua" w:hAnsi="Book Antiqua" w:cs="Arial"/>
          <w:b/>
        </w:rPr>
        <w:t xml:space="preserve">RANJI </w:t>
      </w:r>
      <w:r w:rsidR="000A202B">
        <w:rPr>
          <w:rFonts w:ascii="Book Antiqua" w:hAnsi="Book Antiqua" w:cs="Arial"/>
          <w:b/>
        </w:rPr>
        <w:t>[</w:t>
      </w:r>
      <w:r>
        <w:rPr>
          <w:rFonts w:ascii="Book Antiqua" w:hAnsi="Book Antiqua" w:cs="Arial"/>
          <w:b/>
        </w:rPr>
        <w:t>M</w:t>
      </w:r>
      <w:r w:rsidR="000A202B">
        <w:rPr>
          <w:rFonts w:ascii="Book Antiqua" w:hAnsi="Book Antiqua" w:cs="Arial"/>
          <w:b/>
        </w:rPr>
        <w:t>]</w:t>
      </w:r>
    </w:p>
    <w:p w:rsidR="00933B65" w:rsidRPr="00F97703" w:rsidRDefault="00933B65" w:rsidP="00933B65">
      <w:pPr>
        <w:jc w:val="right"/>
        <w:rPr>
          <w:rFonts w:ascii="Book Antiqua" w:hAnsi="Book Antiqua" w:cs="Arial"/>
          <w:u w:val="single"/>
        </w:rPr>
      </w:pPr>
      <w:r w:rsidRPr="00F97703">
        <w:rPr>
          <w:rFonts w:ascii="Book Antiqua" w:hAnsi="Book Antiqua" w:cs="Arial"/>
          <w:u w:val="single"/>
        </w:rPr>
        <w:t>Appellant</w:t>
      </w:r>
    </w:p>
    <w:p w:rsidR="00933B65" w:rsidRPr="00F97703" w:rsidRDefault="00933B65" w:rsidP="00933B65">
      <w:pPr>
        <w:jc w:val="center"/>
        <w:rPr>
          <w:rFonts w:ascii="Book Antiqua" w:hAnsi="Book Antiqua" w:cs="Arial"/>
          <w:b/>
        </w:rPr>
      </w:pPr>
      <w:r w:rsidRPr="00F97703">
        <w:rPr>
          <w:rFonts w:ascii="Book Antiqua" w:hAnsi="Book Antiqua" w:cs="Arial"/>
          <w:b/>
        </w:rPr>
        <w:t>and</w:t>
      </w:r>
    </w:p>
    <w:p w:rsidR="00933B65" w:rsidRPr="00F97703" w:rsidRDefault="00933B65" w:rsidP="00933B65">
      <w:pPr>
        <w:jc w:val="center"/>
        <w:rPr>
          <w:rFonts w:ascii="Book Antiqua" w:hAnsi="Book Antiqua" w:cs="Arial"/>
          <w:b/>
        </w:rPr>
      </w:pPr>
    </w:p>
    <w:p w:rsidR="00D44C2B" w:rsidRDefault="00933B65" w:rsidP="00933B65">
      <w:pPr>
        <w:jc w:val="center"/>
        <w:rPr>
          <w:rFonts w:ascii="Book Antiqua" w:hAnsi="Book Antiqua" w:cs="Arial"/>
          <w:b/>
        </w:rPr>
      </w:pPr>
      <w:r w:rsidRPr="00F97703">
        <w:rPr>
          <w:rFonts w:ascii="Book Antiqua" w:hAnsi="Book Antiqua" w:cs="Arial"/>
          <w:b/>
        </w:rPr>
        <w:fldChar w:fldCharType="begin">
          <w:ffData>
            <w:name w:val="Text7"/>
            <w:enabled/>
            <w:calcOnExit w:val="0"/>
            <w:textInput>
              <w:default w:val="THE SECRETARY OF STATE FOR THE HOME DEPARTMENT"/>
              <w:format w:val="UPPERCASE"/>
            </w:textInput>
          </w:ffData>
        </w:fldChar>
      </w:r>
      <w:bookmarkStart w:id="2" w:name="Text7"/>
      <w:r w:rsidRPr="00F97703">
        <w:rPr>
          <w:rFonts w:ascii="Book Antiqua" w:hAnsi="Book Antiqua" w:cs="Arial"/>
          <w:b/>
        </w:rPr>
        <w:instrText xml:space="preserve"> FORMTEXT </w:instrText>
      </w:r>
      <w:r w:rsidRPr="00F97703">
        <w:rPr>
          <w:rFonts w:ascii="Book Antiqua" w:hAnsi="Book Antiqua" w:cs="Arial"/>
          <w:b/>
        </w:rPr>
      </w:r>
      <w:r w:rsidRPr="00F97703">
        <w:rPr>
          <w:rFonts w:ascii="Book Antiqua" w:hAnsi="Book Antiqua" w:cs="Arial"/>
          <w:b/>
        </w:rPr>
        <w:fldChar w:fldCharType="separate"/>
      </w:r>
      <w:r w:rsidRPr="00F97703">
        <w:rPr>
          <w:rFonts w:ascii="Book Antiqua" w:hAnsi="Book Antiqua" w:cs="Arial"/>
          <w:b/>
          <w:noProof/>
        </w:rPr>
        <w:t>THE SECRETARY OF STATE FOR THE HOME DEPARTMENT</w:t>
      </w:r>
      <w:r w:rsidRPr="00F97703">
        <w:rPr>
          <w:rFonts w:ascii="Book Antiqua" w:hAnsi="Book Antiqua" w:cs="Arial"/>
          <w:b/>
        </w:rPr>
        <w:fldChar w:fldCharType="end"/>
      </w:r>
      <w:bookmarkEnd w:id="2"/>
    </w:p>
    <w:p w:rsidR="00933B65" w:rsidRPr="00F97703" w:rsidRDefault="00933B65" w:rsidP="008A64A7">
      <w:pPr>
        <w:jc w:val="right"/>
        <w:rPr>
          <w:rFonts w:ascii="Book Antiqua" w:hAnsi="Book Antiqua" w:cs="Arial"/>
          <w:u w:val="single"/>
        </w:rPr>
      </w:pPr>
      <w:r w:rsidRPr="00F97703">
        <w:rPr>
          <w:rFonts w:ascii="Book Antiqua" w:hAnsi="Book Antiqua" w:cs="Arial"/>
          <w:u w:val="single"/>
        </w:rPr>
        <w:t>Respondent</w:t>
      </w:r>
    </w:p>
    <w:p w:rsidR="00933B65" w:rsidRDefault="00933B65" w:rsidP="00933B65">
      <w:pPr>
        <w:rPr>
          <w:rFonts w:ascii="Book Antiqua" w:hAnsi="Book Antiqua" w:cs="Arial"/>
        </w:rPr>
      </w:pPr>
    </w:p>
    <w:p w:rsidR="000A202B" w:rsidRPr="00F97703" w:rsidRDefault="000A202B" w:rsidP="00933B65">
      <w:pPr>
        <w:rPr>
          <w:rFonts w:ascii="Book Antiqua" w:hAnsi="Book Antiqua" w:cs="Arial"/>
        </w:rPr>
      </w:pPr>
    </w:p>
    <w:p w:rsidR="00933B65" w:rsidRPr="00F97703" w:rsidRDefault="00933B65" w:rsidP="00933B65">
      <w:pPr>
        <w:tabs>
          <w:tab w:val="left" w:pos="2520"/>
        </w:tabs>
        <w:rPr>
          <w:rFonts w:ascii="Book Antiqua" w:hAnsi="Book Antiqua" w:cs="Arial"/>
        </w:rPr>
      </w:pPr>
      <w:r w:rsidRPr="00F97703">
        <w:rPr>
          <w:rFonts w:ascii="Book Antiqua" w:hAnsi="Book Antiqua" w:cs="Arial"/>
        </w:rPr>
        <w:t>For the Appellant:</w:t>
      </w:r>
      <w:r w:rsidRPr="00F97703">
        <w:rPr>
          <w:rFonts w:ascii="Book Antiqua" w:hAnsi="Book Antiqua" w:cs="Arial"/>
        </w:rPr>
        <w:tab/>
      </w:r>
      <w:r w:rsidR="00847492">
        <w:rPr>
          <w:rFonts w:ascii="Book Antiqua" w:hAnsi="Book Antiqua" w:cs="Arial"/>
        </w:rPr>
        <w:t>Mr K McGuire, A</w:t>
      </w:r>
      <w:r w:rsidR="003239F4">
        <w:rPr>
          <w:rFonts w:ascii="Book Antiqua" w:hAnsi="Book Antiqua" w:cs="Arial"/>
        </w:rPr>
        <w:t xml:space="preserve">dvocate, instructed by </w:t>
      </w:r>
      <w:r w:rsidR="00AC6199">
        <w:rPr>
          <w:rFonts w:ascii="Book Antiqua" w:hAnsi="Book Antiqua" w:cs="Arial"/>
        </w:rPr>
        <w:t xml:space="preserve">Latta &amp; Co, </w:t>
      </w:r>
      <w:r w:rsidR="003D7D3D">
        <w:rPr>
          <w:rFonts w:ascii="Book Antiqua" w:hAnsi="Book Antiqua" w:cs="Arial"/>
        </w:rPr>
        <w:t>Solicitors</w:t>
      </w:r>
    </w:p>
    <w:p w:rsidR="00933B65" w:rsidRPr="00F97703" w:rsidRDefault="00933B65" w:rsidP="008A64A7">
      <w:pPr>
        <w:tabs>
          <w:tab w:val="left" w:pos="2520"/>
        </w:tabs>
        <w:rPr>
          <w:rFonts w:ascii="Book Antiqua" w:hAnsi="Book Antiqua" w:cs="Arial"/>
        </w:rPr>
      </w:pPr>
      <w:r w:rsidRPr="00F97703">
        <w:rPr>
          <w:rFonts w:ascii="Book Antiqua" w:hAnsi="Book Antiqua" w:cs="Arial"/>
        </w:rPr>
        <w:t>For the Respondent:</w:t>
      </w:r>
      <w:r w:rsidRPr="00F97703">
        <w:rPr>
          <w:rFonts w:ascii="Book Antiqua" w:hAnsi="Book Antiqua" w:cs="Arial"/>
        </w:rPr>
        <w:tab/>
      </w:r>
      <w:r w:rsidR="003239F4">
        <w:rPr>
          <w:rFonts w:ascii="Book Antiqua" w:hAnsi="Book Antiqua" w:cs="Arial"/>
        </w:rPr>
        <w:t xml:space="preserve">Mr A Govan, </w:t>
      </w:r>
      <w:r w:rsidR="003D7D3D">
        <w:rPr>
          <w:rFonts w:ascii="Book Antiqua" w:hAnsi="Book Antiqua" w:cs="Arial"/>
        </w:rPr>
        <w:t>Senior</w:t>
      </w:r>
      <w:r>
        <w:rPr>
          <w:rFonts w:ascii="Book Antiqua" w:hAnsi="Book Antiqua" w:cs="Arial"/>
        </w:rPr>
        <w:t xml:space="preserve"> Home Office Presenting Officer</w:t>
      </w:r>
    </w:p>
    <w:p w:rsidR="00933B65" w:rsidRDefault="00933B65" w:rsidP="00933B65">
      <w:pPr>
        <w:tabs>
          <w:tab w:val="left" w:pos="2520"/>
        </w:tabs>
        <w:jc w:val="center"/>
        <w:rPr>
          <w:rFonts w:ascii="Book Antiqua" w:hAnsi="Book Antiqua" w:cs="Arial"/>
        </w:rPr>
      </w:pPr>
    </w:p>
    <w:p w:rsidR="000A202B" w:rsidRDefault="000A202B" w:rsidP="00933B65">
      <w:pPr>
        <w:tabs>
          <w:tab w:val="left" w:pos="2520"/>
        </w:tabs>
        <w:jc w:val="center"/>
        <w:rPr>
          <w:rFonts w:ascii="Book Antiqua" w:hAnsi="Book Antiqua" w:cs="Arial"/>
        </w:rPr>
      </w:pPr>
    </w:p>
    <w:p w:rsidR="00321C6F" w:rsidRPr="002B54F9" w:rsidRDefault="00933B65" w:rsidP="00734D2D">
      <w:pPr>
        <w:tabs>
          <w:tab w:val="left" w:pos="2520"/>
        </w:tabs>
        <w:jc w:val="center"/>
        <w:rPr>
          <w:rFonts w:ascii="Book Antiqua" w:hAnsi="Book Antiqua" w:cs="Arial"/>
          <w:sz w:val="20"/>
          <w:szCs w:val="20"/>
        </w:rPr>
      </w:pPr>
      <w:r w:rsidRPr="00F97703">
        <w:rPr>
          <w:rFonts w:ascii="Book Antiqua" w:hAnsi="Book Antiqua" w:cs="Arial"/>
          <w:b/>
          <w:u w:val="single"/>
        </w:rPr>
        <w:t>DETERMINATION AND REASONS</w:t>
      </w:r>
    </w:p>
    <w:p w:rsidR="00007BAC" w:rsidRPr="009C2345" w:rsidRDefault="00D31D54" w:rsidP="00E70904">
      <w:pPr>
        <w:pStyle w:val="ListParagraph"/>
        <w:numPr>
          <w:ilvl w:val="0"/>
          <w:numId w:val="5"/>
        </w:numPr>
        <w:spacing w:before="240"/>
        <w:jc w:val="both"/>
        <w:rPr>
          <w:rFonts w:ascii="Book Antiqua" w:hAnsi="Book Antiqua" w:cs="Arial"/>
        </w:rPr>
      </w:pPr>
      <w:r w:rsidRPr="009C2345">
        <w:rPr>
          <w:rFonts w:ascii="Book Antiqua" w:hAnsi="Book Antiqua" w:cs="Arial"/>
        </w:rPr>
        <w:t>The</w:t>
      </w:r>
      <w:r w:rsidR="00007BAC" w:rsidRPr="009C2345">
        <w:rPr>
          <w:rFonts w:ascii="Book Antiqua" w:hAnsi="Book Antiqua" w:cs="Arial"/>
        </w:rPr>
        <w:t xml:space="preserve"> respondent</w:t>
      </w:r>
      <w:r w:rsidR="00917FD9" w:rsidRPr="009C2345">
        <w:rPr>
          <w:rFonts w:ascii="Book Antiqua" w:hAnsi="Book Antiqua" w:cs="Arial"/>
        </w:rPr>
        <w:t xml:space="preserve"> refused the appellant’s claims by </w:t>
      </w:r>
      <w:r w:rsidR="00410E4D" w:rsidRPr="009C2345">
        <w:rPr>
          <w:rFonts w:ascii="Book Antiqua" w:hAnsi="Book Antiqua" w:cs="Arial"/>
        </w:rPr>
        <w:t>two</w:t>
      </w:r>
      <w:r w:rsidRPr="009C2345">
        <w:rPr>
          <w:rFonts w:ascii="Book Antiqua" w:hAnsi="Book Antiqua" w:cs="Arial"/>
        </w:rPr>
        <w:t xml:space="preserve"> decision</w:t>
      </w:r>
      <w:r w:rsidR="00410E4D" w:rsidRPr="009C2345">
        <w:rPr>
          <w:rFonts w:ascii="Book Antiqua" w:hAnsi="Book Antiqua" w:cs="Arial"/>
        </w:rPr>
        <w:t>s,</w:t>
      </w:r>
      <w:r w:rsidRPr="009C2345">
        <w:rPr>
          <w:rFonts w:ascii="Book Antiqua" w:hAnsi="Book Antiqua" w:cs="Arial"/>
        </w:rPr>
        <w:t xml:space="preserve"> dated </w:t>
      </w:r>
      <w:r w:rsidR="00E4524E" w:rsidRPr="009C2345">
        <w:rPr>
          <w:rFonts w:ascii="Book Antiqua" w:hAnsi="Book Antiqua" w:cs="Arial"/>
        </w:rPr>
        <w:t>3 February 2017</w:t>
      </w:r>
      <w:r w:rsidR="00410E4D" w:rsidRPr="009C2345">
        <w:rPr>
          <w:rFonts w:ascii="Book Antiqua" w:hAnsi="Book Antiqua" w:cs="Arial"/>
        </w:rPr>
        <w:t xml:space="preserve"> and </w:t>
      </w:r>
      <w:r w:rsidR="000A4BC4" w:rsidRPr="009C2345">
        <w:rPr>
          <w:rFonts w:ascii="Book Antiqua" w:hAnsi="Book Antiqua" w:cs="Arial"/>
        </w:rPr>
        <w:t>8 May 2017.</w:t>
      </w:r>
      <w:r w:rsidR="00007BAC" w:rsidRPr="009C2345">
        <w:rPr>
          <w:rFonts w:ascii="Book Antiqua" w:hAnsi="Book Antiqua" w:cs="Arial"/>
        </w:rPr>
        <w:t xml:space="preserve"> </w:t>
      </w:r>
      <w:r w:rsidR="009C2345" w:rsidRPr="009C2345">
        <w:rPr>
          <w:rFonts w:ascii="Book Antiqua" w:hAnsi="Book Antiqua" w:cs="Arial"/>
        </w:rPr>
        <w:t xml:space="preserve"> Ft</w:t>
      </w:r>
      <w:r w:rsidR="000777B7" w:rsidRPr="009C2345">
        <w:rPr>
          <w:rFonts w:ascii="Book Antiqua" w:hAnsi="Book Antiqua" w:cs="Arial"/>
        </w:rPr>
        <w:t>T</w:t>
      </w:r>
      <w:r w:rsidR="00007BAC" w:rsidRPr="009C2345">
        <w:rPr>
          <w:rFonts w:ascii="Book Antiqua" w:hAnsi="Book Antiqua" w:cs="Arial"/>
        </w:rPr>
        <w:t xml:space="preserve"> Judge </w:t>
      </w:r>
      <w:r w:rsidR="00E4524E" w:rsidRPr="009C2345">
        <w:rPr>
          <w:rFonts w:ascii="Book Antiqua" w:hAnsi="Book Antiqua" w:cs="Arial"/>
        </w:rPr>
        <w:t>Clough</w:t>
      </w:r>
      <w:r w:rsidR="00BF19C3" w:rsidRPr="009C2345">
        <w:rPr>
          <w:rFonts w:ascii="Book Antiqua" w:hAnsi="Book Antiqua" w:cs="Arial"/>
        </w:rPr>
        <w:t xml:space="preserve"> dismissed his appeal by a decision </w:t>
      </w:r>
      <w:r w:rsidR="00F12F2F" w:rsidRPr="009C2345">
        <w:rPr>
          <w:rFonts w:ascii="Book Antiqua" w:hAnsi="Book Antiqua" w:cs="Arial"/>
        </w:rPr>
        <w:t>promulgated on 6 November 2017.</w:t>
      </w:r>
    </w:p>
    <w:p w:rsidR="009C2345" w:rsidRPr="009C2345" w:rsidRDefault="009C2345" w:rsidP="009C2345">
      <w:pPr>
        <w:pStyle w:val="ListParagraph"/>
        <w:rPr>
          <w:rFonts w:ascii="Book Antiqua" w:hAnsi="Book Antiqua" w:cs="Arial"/>
        </w:rPr>
      </w:pPr>
    </w:p>
    <w:p w:rsidR="00673BBC" w:rsidRPr="009C2345" w:rsidRDefault="00064591" w:rsidP="00DF3FFF">
      <w:pPr>
        <w:pStyle w:val="ListParagraph"/>
        <w:numPr>
          <w:ilvl w:val="0"/>
          <w:numId w:val="5"/>
        </w:numPr>
        <w:spacing w:before="240"/>
        <w:jc w:val="both"/>
        <w:rPr>
          <w:rFonts w:ascii="Book Antiqua" w:hAnsi="Book Antiqua" w:cs="Arial"/>
          <w:color w:val="000000"/>
        </w:rPr>
      </w:pPr>
      <w:r>
        <w:rPr>
          <w:rFonts w:ascii="Book Antiqua" w:hAnsi="Book Antiqua"/>
        </w:rPr>
        <w:t xml:space="preserve">On </w:t>
      </w:r>
      <w:r w:rsidRPr="00DF3FFF">
        <w:rPr>
          <w:rFonts w:ascii="Book Antiqua" w:hAnsi="Book Antiqua"/>
        </w:rPr>
        <w:t>27 February 2018</w:t>
      </w:r>
      <w:r>
        <w:rPr>
          <w:rFonts w:ascii="Book Antiqua" w:hAnsi="Book Antiqua"/>
        </w:rPr>
        <w:t xml:space="preserve"> </w:t>
      </w:r>
      <w:r w:rsidR="00C02C9D" w:rsidRPr="00DF3FFF">
        <w:rPr>
          <w:rFonts w:ascii="Book Antiqua" w:hAnsi="Book Antiqua"/>
        </w:rPr>
        <w:t>U</w:t>
      </w:r>
      <w:r w:rsidR="00ED3C56">
        <w:rPr>
          <w:rFonts w:ascii="Book Antiqua" w:hAnsi="Book Antiqua"/>
        </w:rPr>
        <w:t>T Judge</w:t>
      </w:r>
      <w:r w:rsidR="00C02C9D" w:rsidRPr="00DF3FFF">
        <w:rPr>
          <w:rFonts w:ascii="Book Antiqua" w:hAnsi="Book Antiqua"/>
        </w:rPr>
        <w:t xml:space="preserve"> Plimmer</w:t>
      </w:r>
      <w:r w:rsidR="00ED3C56">
        <w:rPr>
          <w:rFonts w:ascii="Book Antiqua" w:hAnsi="Book Antiqua"/>
        </w:rPr>
        <w:t xml:space="preserve"> granted permission to appeal to the UT</w:t>
      </w:r>
      <w:r w:rsidR="00AA199C" w:rsidRPr="00DF3FFF">
        <w:rPr>
          <w:rFonts w:ascii="Book Antiqua" w:hAnsi="Book Antiqua"/>
        </w:rPr>
        <w:t>.</w:t>
      </w:r>
    </w:p>
    <w:p w:rsidR="009C2345" w:rsidRPr="009C2345" w:rsidRDefault="009C2345" w:rsidP="009C2345">
      <w:pPr>
        <w:pStyle w:val="ListParagraph"/>
        <w:rPr>
          <w:rFonts w:ascii="Book Antiqua" w:hAnsi="Book Antiqua" w:cs="Arial"/>
          <w:color w:val="000000"/>
        </w:rPr>
      </w:pPr>
    </w:p>
    <w:p w:rsidR="003A53FC" w:rsidRPr="009C2345" w:rsidRDefault="00964929" w:rsidP="00DF3FFF">
      <w:pPr>
        <w:pStyle w:val="ListParagraph"/>
        <w:numPr>
          <w:ilvl w:val="0"/>
          <w:numId w:val="5"/>
        </w:numPr>
        <w:spacing w:before="240"/>
        <w:jc w:val="both"/>
        <w:rPr>
          <w:rFonts w:ascii="Book Antiqua" w:hAnsi="Book Antiqua"/>
        </w:rPr>
      </w:pPr>
      <w:r w:rsidRPr="00DF3FFF">
        <w:rPr>
          <w:rFonts w:ascii="Book Antiqua" w:hAnsi="Book Antiqua" w:cs="Arial"/>
        </w:rPr>
        <w:t>Mr Maguire submitted</w:t>
      </w:r>
      <w:r w:rsidR="00DF432B" w:rsidRPr="00DF3FFF">
        <w:rPr>
          <w:rFonts w:ascii="Book Antiqua" w:hAnsi="Book Antiqua" w:cs="Arial"/>
        </w:rPr>
        <w:t xml:space="preserve"> that the grounds raised 3 main points. Firstly, the judge </w:t>
      </w:r>
      <w:r w:rsidR="002F2A27" w:rsidRPr="00DF3FFF">
        <w:rPr>
          <w:rFonts w:ascii="Book Antiqua" w:hAnsi="Book Antiqua" w:cs="Arial"/>
        </w:rPr>
        <w:t xml:space="preserve">made no finding on the </w:t>
      </w:r>
      <w:r w:rsidR="00CB5947">
        <w:rPr>
          <w:rFonts w:ascii="Book Antiqua" w:hAnsi="Book Antiqua" w:cs="Arial"/>
        </w:rPr>
        <w:t xml:space="preserve">first </w:t>
      </w:r>
      <w:r w:rsidR="002F2A27" w:rsidRPr="00DF3FFF">
        <w:rPr>
          <w:rFonts w:ascii="Book Antiqua" w:hAnsi="Book Antiqua" w:cs="Arial"/>
        </w:rPr>
        <w:t>claim</w:t>
      </w:r>
      <w:r w:rsidR="00CB5947">
        <w:rPr>
          <w:rFonts w:ascii="Book Antiqua" w:hAnsi="Book Antiqua" w:cs="Arial"/>
        </w:rPr>
        <w:t>,</w:t>
      </w:r>
      <w:r w:rsidR="002F2A27" w:rsidRPr="00DF3FFF">
        <w:rPr>
          <w:rFonts w:ascii="Book Antiqua" w:hAnsi="Book Antiqua" w:cs="Arial"/>
        </w:rPr>
        <w:t xml:space="preserve"> </w:t>
      </w:r>
      <w:r w:rsidR="004836D3" w:rsidRPr="00DF3FFF">
        <w:rPr>
          <w:rFonts w:ascii="Book Antiqua" w:hAnsi="Book Antiqua" w:cs="Arial"/>
        </w:rPr>
        <w:t>of</w:t>
      </w:r>
      <w:r w:rsidR="002F2A27" w:rsidRPr="00DF3FFF">
        <w:rPr>
          <w:rFonts w:ascii="Book Antiqua" w:hAnsi="Book Antiqua" w:cs="Arial"/>
        </w:rPr>
        <w:t xml:space="preserve"> being captured by and escaping from Isis</w:t>
      </w:r>
      <w:r w:rsidR="004F69E7" w:rsidRPr="00DF3FFF">
        <w:rPr>
          <w:rFonts w:ascii="Book Antiqua" w:hAnsi="Book Antiqua" w:cs="Arial"/>
        </w:rPr>
        <w:t xml:space="preserve"> (paragraph </w:t>
      </w:r>
      <w:r w:rsidR="004F69E7" w:rsidRPr="00DF3FFF">
        <w:rPr>
          <w:rFonts w:ascii="Book Antiqua" w:hAnsi="Book Antiqua" w:cs="Arial"/>
        </w:rPr>
        <w:lastRenderedPageBreak/>
        <w:t>15)</w:t>
      </w:r>
      <w:r w:rsidR="002F2A27" w:rsidRPr="00DF3FFF">
        <w:rPr>
          <w:rFonts w:ascii="Book Antiqua" w:hAnsi="Book Antiqua" w:cs="Arial"/>
        </w:rPr>
        <w:t xml:space="preserve">.  The appellant did not </w:t>
      </w:r>
      <w:r w:rsidR="00600070" w:rsidRPr="00DF3FFF">
        <w:rPr>
          <w:rFonts w:ascii="Book Antiqua" w:hAnsi="Book Antiqua" w:cs="Arial"/>
        </w:rPr>
        <w:t xml:space="preserve">accept that this issue was settled by the roll-back of </w:t>
      </w:r>
      <w:r w:rsidR="00A54E86" w:rsidRPr="00DF3FFF">
        <w:rPr>
          <w:rFonts w:ascii="Book Antiqua" w:hAnsi="Book Antiqua" w:cs="Arial"/>
        </w:rPr>
        <w:t>Isis, as the judge held, but in any event a fi</w:t>
      </w:r>
      <w:r w:rsidR="00F83014" w:rsidRPr="00DF3FFF">
        <w:rPr>
          <w:rFonts w:ascii="Book Antiqua" w:hAnsi="Book Antiqua" w:cs="Arial"/>
        </w:rPr>
        <w:t>n</w:t>
      </w:r>
      <w:r w:rsidR="00A54E86" w:rsidRPr="00DF3FFF">
        <w:rPr>
          <w:rFonts w:ascii="Book Antiqua" w:hAnsi="Book Antiqua" w:cs="Arial"/>
        </w:rPr>
        <w:t>ding on the credibility of the account was required as overall credibility went to the evaluation of the rest of the claim.</w:t>
      </w:r>
      <w:r w:rsidR="00600070" w:rsidRPr="00DF3FFF">
        <w:rPr>
          <w:rFonts w:ascii="Book Antiqua" w:hAnsi="Book Antiqua" w:cs="Arial"/>
        </w:rPr>
        <w:t xml:space="preserve"> </w:t>
      </w:r>
      <w:r w:rsidR="002F2A27" w:rsidRPr="00DF3FFF">
        <w:rPr>
          <w:rFonts w:ascii="Book Antiqua" w:hAnsi="Book Antiqua" w:cs="Arial"/>
        </w:rPr>
        <w:t xml:space="preserve"> </w:t>
      </w:r>
      <w:r w:rsidR="00F83014" w:rsidRPr="00DF3FFF">
        <w:rPr>
          <w:rFonts w:ascii="Book Antiqua" w:hAnsi="Book Antiqua" w:cs="Arial"/>
        </w:rPr>
        <w:t xml:space="preserve">Secondly, the judge failed to determine the appellant’s </w:t>
      </w:r>
      <w:r w:rsidR="00CB5947">
        <w:rPr>
          <w:rFonts w:ascii="Book Antiqua" w:hAnsi="Book Antiqua" w:cs="Arial"/>
        </w:rPr>
        <w:t xml:space="preserve">second </w:t>
      </w:r>
      <w:r w:rsidR="00F83014" w:rsidRPr="00DF3FFF">
        <w:rPr>
          <w:rFonts w:ascii="Book Antiqua" w:hAnsi="Book Antiqua" w:cs="Arial"/>
        </w:rPr>
        <w:t>claim</w:t>
      </w:r>
      <w:r w:rsidR="00CB5947">
        <w:rPr>
          <w:rFonts w:ascii="Book Antiqua" w:hAnsi="Book Antiqua" w:cs="Arial"/>
        </w:rPr>
        <w:t>, based on</w:t>
      </w:r>
      <w:r w:rsidR="00F83014" w:rsidRPr="00DF3FFF">
        <w:rPr>
          <w:rFonts w:ascii="Book Antiqua" w:hAnsi="Book Antiqua" w:cs="Arial"/>
        </w:rPr>
        <w:t xml:space="preserve"> his bisexuality</w:t>
      </w:r>
      <w:r w:rsidR="006C7B70" w:rsidRPr="00DF3FFF">
        <w:rPr>
          <w:rFonts w:ascii="Book Antiqua" w:hAnsi="Book Antiqua" w:cs="Arial"/>
        </w:rPr>
        <w:t xml:space="preserve">. </w:t>
      </w:r>
      <w:r w:rsidR="003A2266" w:rsidRPr="00DF3FFF">
        <w:rPr>
          <w:rFonts w:ascii="Book Antiqua" w:hAnsi="Book Antiqua" w:cs="Arial"/>
        </w:rPr>
        <w:t>Even if that was</w:t>
      </w:r>
      <w:r w:rsidR="006C7B70" w:rsidRPr="00DF3FFF">
        <w:rPr>
          <w:rFonts w:ascii="Book Antiqua" w:hAnsi="Book Antiqua" w:cs="Arial"/>
        </w:rPr>
        <w:t xml:space="preserve"> implicit in paragraph 18, where she endorsed the respo</w:t>
      </w:r>
      <w:r w:rsidR="002A677C" w:rsidRPr="00DF3FFF">
        <w:rPr>
          <w:rFonts w:ascii="Book Antiqua" w:hAnsi="Book Antiqua" w:cs="Arial"/>
        </w:rPr>
        <w:t>n</w:t>
      </w:r>
      <w:r w:rsidR="006C7B70" w:rsidRPr="00DF3FFF">
        <w:rPr>
          <w:rFonts w:ascii="Book Antiqua" w:hAnsi="Book Antiqua" w:cs="Arial"/>
        </w:rPr>
        <w:t>dent’s reasons, that was inadequate</w:t>
      </w:r>
      <w:r w:rsidR="003A2266" w:rsidRPr="00DF3FFF">
        <w:rPr>
          <w:rFonts w:ascii="Book Antiqua" w:hAnsi="Book Antiqua" w:cs="Arial"/>
        </w:rPr>
        <w:t>.  She</w:t>
      </w:r>
      <w:r w:rsidR="002A677C" w:rsidRPr="00DF3FFF">
        <w:rPr>
          <w:rFonts w:ascii="Book Antiqua" w:hAnsi="Book Antiqua" w:cs="Arial"/>
        </w:rPr>
        <w:t xml:space="preserve"> had the benefit of evidence which was not before the respondent, including the appellant’s oral evidence, and was bound to say what she made of it.</w:t>
      </w:r>
      <w:r w:rsidR="00C4755C" w:rsidRPr="00DF3FFF">
        <w:rPr>
          <w:rFonts w:ascii="Book Antiqua" w:hAnsi="Book Antiqua" w:cs="Arial"/>
        </w:rPr>
        <w:t xml:space="preserve">  Thirdly, the judge </w:t>
      </w:r>
      <w:r w:rsidR="00114770" w:rsidRPr="00DF3FFF">
        <w:rPr>
          <w:rFonts w:ascii="Book Antiqua" w:hAnsi="Book Antiqua" w:cs="Arial"/>
        </w:rPr>
        <w:t xml:space="preserve">speculated for no good reason that the appellant might be from the IKR </w:t>
      </w:r>
      <w:r w:rsidR="00B53F2C" w:rsidRPr="00DF3FFF">
        <w:rPr>
          <w:rFonts w:ascii="Book Antiqua" w:hAnsi="Book Antiqua" w:cs="Arial"/>
        </w:rPr>
        <w:t xml:space="preserve">when there was no evidence to that effect and failed </w:t>
      </w:r>
      <w:r w:rsidR="00AC466C" w:rsidRPr="00DF3FFF">
        <w:rPr>
          <w:rFonts w:ascii="Book Antiqua" w:hAnsi="Book Antiqua" w:cs="Arial"/>
        </w:rPr>
        <w:t xml:space="preserve">to consider </w:t>
      </w:r>
      <w:r w:rsidR="00391DAA">
        <w:rPr>
          <w:rFonts w:ascii="Book Antiqua" w:hAnsi="Book Antiqua" w:cs="Arial"/>
        </w:rPr>
        <w:t>the</w:t>
      </w:r>
      <w:r w:rsidR="00AC466C" w:rsidRPr="00DF3FFF">
        <w:rPr>
          <w:rFonts w:ascii="Book Antiqua" w:hAnsi="Book Antiqua" w:cs="Arial"/>
        </w:rPr>
        <w:t xml:space="preserve"> evidence that he is not from the IKR but from Kirkuk.</w:t>
      </w:r>
    </w:p>
    <w:p w:rsidR="009C2345" w:rsidRPr="009C2345" w:rsidRDefault="009C2345" w:rsidP="009C2345">
      <w:pPr>
        <w:pStyle w:val="ListParagraph"/>
        <w:rPr>
          <w:rFonts w:ascii="Book Antiqua" w:hAnsi="Book Antiqua"/>
        </w:rPr>
      </w:pPr>
    </w:p>
    <w:p w:rsidR="00775556" w:rsidRDefault="003A53FC" w:rsidP="00DF3FFF">
      <w:pPr>
        <w:pStyle w:val="ListParagraph"/>
        <w:numPr>
          <w:ilvl w:val="0"/>
          <w:numId w:val="5"/>
        </w:numPr>
        <w:spacing w:before="240"/>
        <w:jc w:val="both"/>
        <w:rPr>
          <w:rFonts w:ascii="Book Antiqua" w:hAnsi="Book Antiqua"/>
        </w:rPr>
      </w:pPr>
      <w:r w:rsidRPr="00DF3FFF">
        <w:rPr>
          <w:rFonts w:ascii="Book Antiqua" w:hAnsi="Book Antiqua"/>
        </w:rPr>
        <w:t xml:space="preserve">I observed that </w:t>
      </w:r>
      <w:r w:rsidR="00D26297" w:rsidRPr="00DF3FFF">
        <w:rPr>
          <w:rFonts w:ascii="Book Antiqua" w:hAnsi="Book Antiqua"/>
        </w:rPr>
        <w:t xml:space="preserve">at paragraph 23 the judge did </w:t>
      </w:r>
      <w:r w:rsidR="003F1CF2">
        <w:rPr>
          <w:rFonts w:ascii="Book Antiqua" w:hAnsi="Book Antiqua"/>
        </w:rPr>
        <w:t xml:space="preserve">plainly </w:t>
      </w:r>
      <w:r w:rsidR="00D26297" w:rsidRPr="00DF3FFF">
        <w:rPr>
          <w:rFonts w:ascii="Book Antiqua" w:hAnsi="Book Antiqua"/>
        </w:rPr>
        <w:t>find the second claim not to be credible</w:t>
      </w:r>
      <w:r w:rsidR="0025750F">
        <w:rPr>
          <w:rFonts w:ascii="Book Antiqua" w:hAnsi="Book Antiqua"/>
        </w:rPr>
        <w:t xml:space="preserve"> (whether that was for adequate reasons is another issue)</w:t>
      </w:r>
      <w:r w:rsidR="00D26297" w:rsidRPr="00DF3FFF">
        <w:rPr>
          <w:rFonts w:ascii="Book Antiqua" w:hAnsi="Book Antiqua"/>
        </w:rPr>
        <w:t>.</w:t>
      </w:r>
      <w:r w:rsidR="008E4AC7" w:rsidRPr="00DF3FFF">
        <w:rPr>
          <w:rFonts w:ascii="Book Antiqua" w:hAnsi="Book Antiqua"/>
        </w:rPr>
        <w:t xml:space="preserve">  The respondent </w:t>
      </w:r>
      <w:r w:rsidR="00CB5947">
        <w:rPr>
          <w:rFonts w:ascii="Book Antiqua" w:hAnsi="Book Antiqua"/>
        </w:rPr>
        <w:t>ha</w:t>
      </w:r>
      <w:r w:rsidR="0025750F">
        <w:rPr>
          <w:rFonts w:ascii="Book Antiqua" w:hAnsi="Book Antiqua"/>
        </w:rPr>
        <w:t>d</w:t>
      </w:r>
      <w:r w:rsidR="00CB5947">
        <w:rPr>
          <w:rFonts w:ascii="Book Antiqua" w:hAnsi="Book Antiqua"/>
        </w:rPr>
        <w:t xml:space="preserve"> </w:t>
      </w:r>
      <w:r w:rsidR="008E4AC7" w:rsidRPr="00DF3FFF">
        <w:rPr>
          <w:rFonts w:ascii="Book Antiqua" w:hAnsi="Book Antiqua"/>
        </w:rPr>
        <w:t>also rejected that claim on credibility</w:t>
      </w:r>
      <w:r w:rsidR="00775556" w:rsidRPr="00DF3FFF">
        <w:rPr>
          <w:rFonts w:ascii="Book Antiqua" w:hAnsi="Book Antiqua"/>
        </w:rPr>
        <w:t xml:space="preserve"> only</w:t>
      </w:r>
      <w:r w:rsidR="0084146A" w:rsidRPr="00DF3FFF">
        <w:rPr>
          <w:rFonts w:ascii="Book Antiqua" w:hAnsi="Book Antiqua"/>
        </w:rPr>
        <w:t xml:space="preserve">, without taking any position on any risk to homosexuals or bisexuals in general, or </w:t>
      </w:r>
      <w:r w:rsidR="00CB5947">
        <w:rPr>
          <w:rFonts w:ascii="Book Antiqua" w:hAnsi="Book Antiqua"/>
        </w:rPr>
        <w:t xml:space="preserve">to </w:t>
      </w:r>
      <w:r w:rsidR="0084146A" w:rsidRPr="00DF3FFF">
        <w:rPr>
          <w:rFonts w:ascii="Book Antiqua" w:hAnsi="Book Antiqua"/>
        </w:rPr>
        <w:t xml:space="preserve">the appellant in particular, </w:t>
      </w:r>
      <w:r w:rsidR="00775556" w:rsidRPr="00DF3FFF">
        <w:rPr>
          <w:rFonts w:ascii="Book Antiqua" w:hAnsi="Book Antiqua"/>
        </w:rPr>
        <w:t>as an alternative</w:t>
      </w:r>
      <w:r w:rsidR="0084146A" w:rsidRPr="00DF3FFF">
        <w:rPr>
          <w:rFonts w:ascii="Book Antiqua" w:hAnsi="Book Antiqua"/>
        </w:rPr>
        <w:t xml:space="preserve">.  Mr Maguire said that the appellant </w:t>
      </w:r>
      <w:r w:rsidR="00775556" w:rsidRPr="00DF3FFF">
        <w:rPr>
          <w:rFonts w:ascii="Book Antiqua" w:hAnsi="Book Antiqua"/>
        </w:rPr>
        <w:t>had</w:t>
      </w:r>
      <w:r w:rsidR="0084146A" w:rsidRPr="00DF3FFF">
        <w:rPr>
          <w:rFonts w:ascii="Book Antiqua" w:hAnsi="Book Antiqua"/>
        </w:rPr>
        <w:t xml:space="preserve"> relied on </w:t>
      </w:r>
      <w:r w:rsidR="00775556" w:rsidRPr="00DF3FFF">
        <w:rPr>
          <w:rFonts w:ascii="Book Antiqua" w:hAnsi="Book Antiqua"/>
        </w:rPr>
        <w:t xml:space="preserve">background </w:t>
      </w:r>
      <w:r w:rsidR="0084146A" w:rsidRPr="00DF3FFF">
        <w:rPr>
          <w:rFonts w:ascii="Book Antiqua" w:hAnsi="Book Antiqua"/>
        </w:rPr>
        <w:t>evidence of risk based on sexuality</w:t>
      </w:r>
      <w:r w:rsidR="00775556" w:rsidRPr="00DF3FFF">
        <w:rPr>
          <w:rFonts w:ascii="Book Antiqua" w:hAnsi="Book Antiqua"/>
        </w:rPr>
        <w:t>.  This is another matter which may require attention at the next hearing.</w:t>
      </w:r>
    </w:p>
    <w:p w:rsidR="009C2345" w:rsidRPr="009C2345" w:rsidRDefault="009C2345" w:rsidP="009C2345">
      <w:pPr>
        <w:pStyle w:val="ListParagraph"/>
        <w:rPr>
          <w:rFonts w:ascii="Book Antiqua" w:hAnsi="Book Antiqua"/>
        </w:rPr>
      </w:pPr>
    </w:p>
    <w:p w:rsidR="00C5547C" w:rsidRDefault="00443933" w:rsidP="00DF3FFF">
      <w:pPr>
        <w:pStyle w:val="ListParagraph"/>
        <w:numPr>
          <w:ilvl w:val="0"/>
          <w:numId w:val="5"/>
        </w:numPr>
        <w:spacing w:before="240"/>
        <w:jc w:val="both"/>
        <w:rPr>
          <w:rFonts w:ascii="Book Antiqua" w:hAnsi="Book Antiqua"/>
        </w:rPr>
      </w:pPr>
      <w:r w:rsidRPr="00DF3FFF">
        <w:rPr>
          <w:rFonts w:ascii="Book Antiqua" w:hAnsi="Book Antiqua"/>
        </w:rPr>
        <w:t xml:space="preserve">Mr Govan did not </w:t>
      </w:r>
      <w:r w:rsidR="00A92690" w:rsidRPr="00DF3FFF">
        <w:rPr>
          <w:rFonts w:ascii="Book Antiqua" w:hAnsi="Book Antiqua"/>
        </w:rPr>
        <w:t>concede</w:t>
      </w:r>
      <w:r w:rsidRPr="00DF3FFF">
        <w:rPr>
          <w:rFonts w:ascii="Book Antiqua" w:hAnsi="Book Antiqua"/>
        </w:rPr>
        <w:t xml:space="preserve"> points 1 and 2 in full.  </w:t>
      </w:r>
      <w:r w:rsidR="00006446" w:rsidRPr="00DF3FFF">
        <w:rPr>
          <w:rFonts w:ascii="Book Antiqua" w:hAnsi="Book Antiqua"/>
        </w:rPr>
        <w:t>H</w:t>
      </w:r>
      <w:r w:rsidRPr="00DF3FFF">
        <w:rPr>
          <w:rFonts w:ascii="Book Antiqua" w:hAnsi="Book Antiqua"/>
        </w:rPr>
        <w:t>e maintained that the judge was right to reject the first claim on the g</w:t>
      </w:r>
      <w:r w:rsidR="00164BB6" w:rsidRPr="00DF3FFF">
        <w:rPr>
          <w:rFonts w:ascii="Book Antiqua" w:hAnsi="Book Antiqua"/>
        </w:rPr>
        <w:t>rounds</w:t>
      </w:r>
      <w:r w:rsidRPr="00DF3FFF">
        <w:rPr>
          <w:rFonts w:ascii="Book Antiqua" w:hAnsi="Book Antiqua"/>
        </w:rPr>
        <w:t xml:space="preserve"> that the alleged risk no longer existed</w:t>
      </w:r>
      <w:r w:rsidR="00164BB6" w:rsidRPr="00DF3FFF">
        <w:rPr>
          <w:rFonts w:ascii="Book Antiqua" w:hAnsi="Book Antiqua"/>
        </w:rPr>
        <w:t>.</w:t>
      </w:r>
      <w:r w:rsidR="00F45442" w:rsidRPr="00DF3FFF">
        <w:rPr>
          <w:rFonts w:ascii="Book Antiqua" w:hAnsi="Book Antiqua"/>
        </w:rPr>
        <w:t xml:space="preserve">  He accepted</w:t>
      </w:r>
      <w:r w:rsidR="00C30511" w:rsidRPr="00DF3FFF">
        <w:rPr>
          <w:rFonts w:ascii="Book Antiqua" w:hAnsi="Book Antiqua"/>
        </w:rPr>
        <w:t>,</w:t>
      </w:r>
      <w:r w:rsidR="00F45442" w:rsidRPr="00DF3FFF">
        <w:rPr>
          <w:rFonts w:ascii="Book Antiqua" w:hAnsi="Book Antiqua"/>
        </w:rPr>
        <w:t xml:space="preserve"> </w:t>
      </w:r>
      <w:r w:rsidR="00202C91" w:rsidRPr="00DF3FFF">
        <w:rPr>
          <w:rFonts w:ascii="Book Antiqua" w:hAnsi="Book Antiqua"/>
        </w:rPr>
        <w:t>however, t</w:t>
      </w:r>
      <w:r w:rsidR="00F45442" w:rsidRPr="00DF3FFF">
        <w:rPr>
          <w:rFonts w:ascii="Book Antiqua" w:hAnsi="Book Antiqua"/>
        </w:rPr>
        <w:t xml:space="preserve">hat an overall resolution of credibility </w:t>
      </w:r>
      <w:r w:rsidR="00202C91" w:rsidRPr="00DF3FFF">
        <w:rPr>
          <w:rFonts w:ascii="Book Antiqua" w:hAnsi="Book Antiqua"/>
        </w:rPr>
        <w:t>would be relevant to other aspects of the case</w:t>
      </w:r>
      <w:r w:rsidR="005A6A5E" w:rsidRPr="00DF3FFF">
        <w:rPr>
          <w:rFonts w:ascii="Book Antiqua" w:hAnsi="Book Antiqua"/>
        </w:rPr>
        <w:t>,</w:t>
      </w:r>
      <w:r w:rsidR="00202C91" w:rsidRPr="00DF3FFF">
        <w:rPr>
          <w:rFonts w:ascii="Book Antiqua" w:hAnsi="Book Antiqua"/>
        </w:rPr>
        <w:t xml:space="preserve"> that</w:t>
      </w:r>
      <w:r w:rsidR="00F52F2A" w:rsidRPr="00DF3FFF">
        <w:rPr>
          <w:rFonts w:ascii="Book Antiqua" w:hAnsi="Book Antiqua"/>
        </w:rPr>
        <w:t xml:space="preserve"> the judge misapprehended the evidence about where the </w:t>
      </w:r>
      <w:r w:rsidR="00050DFB" w:rsidRPr="00DF3FFF">
        <w:rPr>
          <w:rFonts w:ascii="Book Antiqua" w:hAnsi="Book Antiqua"/>
        </w:rPr>
        <w:t>appellant is</w:t>
      </w:r>
      <w:r w:rsidR="00F52F2A" w:rsidRPr="00DF3FFF">
        <w:rPr>
          <w:rFonts w:ascii="Book Antiqua" w:hAnsi="Book Antiqua"/>
        </w:rPr>
        <w:t xml:space="preserve"> from</w:t>
      </w:r>
      <w:r w:rsidR="005A6A5E" w:rsidRPr="00DF3FFF">
        <w:rPr>
          <w:rFonts w:ascii="Book Antiqua" w:hAnsi="Book Antiqua"/>
        </w:rPr>
        <w:t>, and that s</w:t>
      </w:r>
      <w:r w:rsidR="00C97BA3" w:rsidRPr="00DF3FFF">
        <w:rPr>
          <w:rFonts w:ascii="Book Antiqua" w:hAnsi="Book Antiqua"/>
        </w:rPr>
        <w:t>he laid</w:t>
      </w:r>
      <w:r w:rsidR="00E3196E" w:rsidRPr="00DF3FFF">
        <w:rPr>
          <w:rFonts w:ascii="Book Antiqua" w:hAnsi="Book Antiqua"/>
        </w:rPr>
        <w:t xml:space="preserve"> no </w:t>
      </w:r>
      <w:r w:rsidR="00C97BA3" w:rsidRPr="00DF3FFF">
        <w:rPr>
          <w:rFonts w:ascii="Book Antiqua" w:hAnsi="Book Antiqua"/>
        </w:rPr>
        <w:t>good foundation for her findings about</w:t>
      </w:r>
      <w:r w:rsidR="005F463A" w:rsidRPr="00DF3FFF">
        <w:rPr>
          <w:rFonts w:ascii="Book Antiqua" w:hAnsi="Book Antiqua"/>
        </w:rPr>
        <w:t xml:space="preserve"> </w:t>
      </w:r>
      <w:r w:rsidR="006D017C" w:rsidRPr="00DF3FFF">
        <w:rPr>
          <w:rFonts w:ascii="Book Antiqua" w:hAnsi="Book Antiqua"/>
        </w:rPr>
        <w:t>his circumstances on return.</w:t>
      </w:r>
    </w:p>
    <w:p w:rsidR="009C2345" w:rsidRPr="009C2345" w:rsidRDefault="009C2345" w:rsidP="009C2345">
      <w:pPr>
        <w:pStyle w:val="ListParagraph"/>
        <w:rPr>
          <w:rFonts w:ascii="Book Antiqua" w:hAnsi="Book Antiqua"/>
        </w:rPr>
      </w:pPr>
    </w:p>
    <w:p w:rsidR="006D017C" w:rsidRDefault="00C5547C" w:rsidP="00DF3FFF">
      <w:pPr>
        <w:pStyle w:val="ListParagraph"/>
        <w:numPr>
          <w:ilvl w:val="0"/>
          <w:numId w:val="5"/>
        </w:numPr>
        <w:spacing w:before="240"/>
        <w:jc w:val="both"/>
        <w:rPr>
          <w:rFonts w:ascii="Book Antiqua" w:hAnsi="Book Antiqua"/>
        </w:rPr>
      </w:pPr>
      <w:r w:rsidRPr="00DF3FFF">
        <w:rPr>
          <w:rFonts w:ascii="Book Antiqua" w:hAnsi="Book Antiqua"/>
        </w:rPr>
        <w:t xml:space="preserve">Parties agreed on the </w:t>
      </w:r>
      <w:r w:rsidR="00BD5922" w:rsidRPr="00DF3FFF">
        <w:rPr>
          <w:rFonts w:ascii="Book Antiqua" w:hAnsi="Book Antiqua"/>
        </w:rPr>
        <w:t>outcome</w:t>
      </w:r>
      <w:r w:rsidR="00BD5922">
        <w:rPr>
          <w:rFonts w:ascii="Book Antiqua" w:hAnsi="Book Antiqua"/>
        </w:rPr>
        <w:t>.</w:t>
      </w:r>
      <w:r w:rsidR="0085583B">
        <w:rPr>
          <w:rFonts w:ascii="Book Antiqua" w:hAnsi="Book Antiqua"/>
        </w:rPr>
        <w:t xml:space="preserve"> </w:t>
      </w:r>
      <w:r w:rsidR="00BD5922">
        <w:rPr>
          <w:rFonts w:ascii="Book Antiqua" w:hAnsi="Book Antiqua"/>
        </w:rPr>
        <w:t xml:space="preserve"> The</w:t>
      </w:r>
      <w:r w:rsidR="00950998" w:rsidRPr="00DF3FFF">
        <w:rPr>
          <w:rFonts w:ascii="Book Antiqua" w:hAnsi="Book Antiqua" w:cs="Arial"/>
        </w:rPr>
        <w:t xml:space="preserve"> decision of the FtT is set aside. It stands only as a record of what was said at the hearing.</w:t>
      </w:r>
      <w:r w:rsidR="002644DC" w:rsidRPr="00DF3FFF">
        <w:rPr>
          <w:rFonts w:ascii="Book Antiqua" w:hAnsi="Book Antiqua" w:cs="Arial"/>
        </w:rPr>
        <w:t xml:space="preserve">  The case is remitted </w:t>
      </w:r>
      <w:r w:rsidR="00950998" w:rsidRPr="00DF3FFF">
        <w:rPr>
          <w:rFonts w:ascii="Book Antiqua" w:hAnsi="Book Antiqua"/>
        </w:rPr>
        <w:t>to the FtT for an entirely fresh hearing.</w:t>
      </w:r>
      <w:r w:rsidR="0085583B">
        <w:rPr>
          <w:rFonts w:ascii="Book Antiqua" w:hAnsi="Book Antiqua"/>
        </w:rPr>
        <w:t xml:space="preserve"> </w:t>
      </w:r>
      <w:r w:rsidR="0085583B" w:rsidRPr="0085583B">
        <w:rPr>
          <w:rFonts w:ascii="Book Antiqua" w:hAnsi="Book Antiqua" w:cs="Arial"/>
        </w:rPr>
        <w:t xml:space="preserve"> </w:t>
      </w:r>
      <w:r w:rsidR="0085583B" w:rsidRPr="00DF3FFF">
        <w:rPr>
          <w:rFonts w:ascii="Book Antiqua" w:hAnsi="Book Antiqua" w:cs="Arial"/>
        </w:rPr>
        <w:t>The member(s) of the FtT chosen to consider the case are not to include Judge Clough.</w:t>
      </w:r>
    </w:p>
    <w:p w:rsidR="00064591" w:rsidRPr="00064591" w:rsidRDefault="00064591" w:rsidP="00064591">
      <w:pPr>
        <w:pStyle w:val="ListParagraph"/>
        <w:rPr>
          <w:rFonts w:ascii="Book Antiqua" w:hAnsi="Book Antiqua"/>
        </w:rPr>
      </w:pPr>
    </w:p>
    <w:p w:rsidR="00064591" w:rsidRPr="00064591" w:rsidRDefault="002644DC" w:rsidP="00DF3FFF">
      <w:pPr>
        <w:pStyle w:val="ListParagraph"/>
        <w:numPr>
          <w:ilvl w:val="0"/>
          <w:numId w:val="5"/>
        </w:numPr>
        <w:spacing w:before="240"/>
        <w:jc w:val="both"/>
        <w:rPr>
          <w:rFonts w:ascii="Book Antiqua" w:hAnsi="Book Antiqua"/>
        </w:rPr>
      </w:pPr>
      <w:r w:rsidRPr="00DF3FFF">
        <w:rPr>
          <w:rFonts w:ascii="Book Antiqua" w:hAnsi="Book Antiqua" w:cs="Arial"/>
          <w:color w:val="000000"/>
        </w:rPr>
        <w:t xml:space="preserve">It is likely that at the next hearing </w:t>
      </w:r>
      <w:r w:rsidR="00A179C8" w:rsidRPr="00DF3FFF">
        <w:rPr>
          <w:rFonts w:ascii="Book Antiqua" w:hAnsi="Book Antiqua" w:cs="Arial"/>
          <w:color w:val="000000"/>
        </w:rPr>
        <w:t xml:space="preserve">findings will have to be made on the </w:t>
      </w:r>
      <w:r w:rsidR="00BF1B46" w:rsidRPr="00DF3FFF">
        <w:rPr>
          <w:rFonts w:ascii="Book Antiqua" w:hAnsi="Book Antiqua" w:cs="Arial"/>
          <w:color w:val="000000"/>
        </w:rPr>
        <w:t xml:space="preserve">extent to which the appellant has </w:t>
      </w:r>
      <w:r w:rsidR="00E06022" w:rsidRPr="00DF3FFF">
        <w:rPr>
          <w:rFonts w:ascii="Book Antiqua" w:hAnsi="Book Antiqua" w:cs="Arial"/>
          <w:color w:val="000000"/>
        </w:rPr>
        <w:t>established</w:t>
      </w:r>
      <w:r w:rsidR="00BF1B46" w:rsidRPr="00DF3FFF">
        <w:rPr>
          <w:rFonts w:ascii="Book Antiqua" w:hAnsi="Book Antiqua" w:cs="Arial"/>
          <w:color w:val="000000"/>
        </w:rPr>
        <w:t xml:space="preserve"> all aspects of his claim</w:t>
      </w:r>
      <w:r w:rsidR="00347DC8" w:rsidRPr="00DF3FFF">
        <w:rPr>
          <w:rFonts w:ascii="Book Antiqua" w:hAnsi="Book Antiqua" w:cs="Arial"/>
          <w:color w:val="000000"/>
        </w:rPr>
        <w:t xml:space="preserve">, </w:t>
      </w:r>
      <w:r w:rsidR="00A179C8" w:rsidRPr="00DF3FFF">
        <w:rPr>
          <w:rFonts w:ascii="Book Antiqua" w:hAnsi="Book Antiqua" w:cs="Arial"/>
          <w:color w:val="000000"/>
        </w:rPr>
        <w:t>including</w:t>
      </w:r>
      <w:r w:rsidR="00E06022" w:rsidRPr="00DF3FFF">
        <w:rPr>
          <w:rFonts w:ascii="Book Antiqua" w:hAnsi="Book Antiqua" w:cs="Arial"/>
          <w:color w:val="000000"/>
        </w:rPr>
        <w:t xml:space="preserve"> </w:t>
      </w:r>
      <w:r w:rsidR="00A179C8" w:rsidRPr="00DF3FFF">
        <w:rPr>
          <w:rFonts w:ascii="Book Antiqua" w:hAnsi="Book Antiqua" w:cs="Arial"/>
          <w:color w:val="000000"/>
        </w:rPr>
        <w:t>his experiences in Iraq</w:t>
      </w:r>
      <w:r w:rsidR="00BF1B46" w:rsidRPr="00DF3FFF">
        <w:rPr>
          <w:rFonts w:ascii="Book Antiqua" w:hAnsi="Book Antiqua" w:cs="Arial"/>
          <w:color w:val="000000"/>
        </w:rPr>
        <w:t>, his sexuality</w:t>
      </w:r>
      <w:r w:rsidR="00347DC8" w:rsidRPr="00DF3FFF">
        <w:rPr>
          <w:rFonts w:ascii="Book Antiqua" w:hAnsi="Book Antiqua" w:cs="Arial"/>
          <w:color w:val="000000"/>
        </w:rPr>
        <w:t xml:space="preserve">, and the </w:t>
      </w:r>
      <w:r w:rsidR="000661A0">
        <w:rPr>
          <w:rFonts w:ascii="Book Antiqua" w:hAnsi="Book Antiqua" w:cs="Arial"/>
          <w:color w:val="000000"/>
        </w:rPr>
        <w:t>nature</w:t>
      </w:r>
      <w:r w:rsidR="00347DC8" w:rsidRPr="00DF3FFF">
        <w:rPr>
          <w:rFonts w:ascii="Book Antiqua" w:hAnsi="Book Antiqua" w:cs="Arial"/>
          <w:color w:val="000000"/>
        </w:rPr>
        <w:t xml:space="preserve"> of his contacts there.</w:t>
      </w:r>
      <w:r w:rsidR="000101CB" w:rsidRPr="00DF3FFF">
        <w:rPr>
          <w:rFonts w:ascii="Book Antiqua" w:hAnsi="Book Antiqua" w:cs="Arial"/>
          <w:color w:val="000000"/>
        </w:rPr>
        <w:t xml:space="preserve">  Conclusions will then have to be reached applying </w:t>
      </w:r>
      <w:r w:rsidR="00347DC8" w:rsidRPr="00DF3FFF">
        <w:rPr>
          <w:rFonts w:ascii="Book Antiqua" w:hAnsi="Book Antiqua" w:cs="Arial"/>
        </w:rPr>
        <w:t>country guidance</w:t>
      </w:r>
      <w:r w:rsidR="004F7430" w:rsidRPr="00DF3FFF">
        <w:rPr>
          <w:rFonts w:ascii="Book Antiqua" w:hAnsi="Book Antiqua" w:cs="Arial"/>
        </w:rPr>
        <w:t>, which</w:t>
      </w:r>
      <w:r w:rsidR="00347DC8" w:rsidRPr="00DF3FFF">
        <w:rPr>
          <w:rFonts w:ascii="Book Antiqua" w:hAnsi="Book Antiqua" w:cs="Arial"/>
        </w:rPr>
        <w:t xml:space="preserve"> has been updated since the proceedings in the FtT</w:t>
      </w:r>
      <w:r w:rsidR="004F7430" w:rsidRPr="00DF3FFF">
        <w:rPr>
          <w:rFonts w:ascii="Book Antiqua" w:hAnsi="Book Antiqua" w:cs="Arial"/>
        </w:rPr>
        <w:t xml:space="preserve">, and </w:t>
      </w:r>
      <w:r w:rsidR="00347DC8" w:rsidRPr="00DF3FFF">
        <w:rPr>
          <w:rFonts w:ascii="Book Antiqua" w:hAnsi="Book Antiqua" w:cs="Arial"/>
        </w:rPr>
        <w:t xml:space="preserve">now stands as annexed to the Court of Appeal’s decision in </w:t>
      </w:r>
      <w:r w:rsidR="00347DC8" w:rsidRPr="00DF3FFF">
        <w:rPr>
          <w:rFonts w:ascii="Book Antiqua" w:hAnsi="Book Antiqua" w:cs="Arial"/>
          <w:i/>
        </w:rPr>
        <w:t>AA (Iraq) v Secretary of State for the Home Department</w:t>
      </w:r>
      <w:r w:rsidR="00347DC8" w:rsidRPr="00DF3FFF">
        <w:rPr>
          <w:rFonts w:ascii="Book Antiqua" w:hAnsi="Book Antiqua" w:cs="Arial"/>
        </w:rPr>
        <w:t xml:space="preserve"> [2017] Imm AR 1440; [2017] EWCA Civ 944, supplemented in </w:t>
      </w:r>
      <w:r w:rsidR="00347DC8" w:rsidRPr="00DF3FFF">
        <w:rPr>
          <w:rFonts w:ascii="Book Antiqua" w:hAnsi="Book Antiqua"/>
          <w:i/>
        </w:rPr>
        <w:t>AAH</w:t>
      </w:r>
      <w:r w:rsidR="00347DC8" w:rsidRPr="00DF3FFF">
        <w:rPr>
          <w:rFonts w:ascii="Book Antiqua" w:hAnsi="Book Antiqua"/>
        </w:rPr>
        <w:t xml:space="preserve"> (Iraqi Kurds – internal relocation) Iraq CG </w:t>
      </w:r>
      <w:r w:rsidR="00347DC8" w:rsidRPr="00DF3FFF">
        <w:rPr>
          <w:rFonts w:ascii="Book Antiqua" w:hAnsi="Book Antiqua" w:cs="Arial"/>
          <w:color w:val="000000"/>
        </w:rPr>
        <w:t>UKUT 00212 (IAC).</w:t>
      </w:r>
    </w:p>
    <w:p w:rsidR="00064591" w:rsidRPr="00064591" w:rsidRDefault="00064591" w:rsidP="00064591">
      <w:pPr>
        <w:pStyle w:val="ListParagraph"/>
        <w:rPr>
          <w:rFonts w:ascii="Book Antiqua" w:hAnsi="Book Antiqua"/>
        </w:rPr>
      </w:pPr>
    </w:p>
    <w:p w:rsidR="00321C6F" w:rsidRPr="00064591" w:rsidRDefault="00321C6F" w:rsidP="009B0739">
      <w:pPr>
        <w:pStyle w:val="ListParagraph"/>
        <w:numPr>
          <w:ilvl w:val="0"/>
          <w:numId w:val="5"/>
        </w:numPr>
        <w:spacing w:before="240"/>
        <w:jc w:val="both"/>
        <w:rPr>
          <w:rFonts w:ascii="Book Antiqua" w:hAnsi="Book Antiqua" w:cs="Arial"/>
        </w:rPr>
      </w:pPr>
      <w:r w:rsidRPr="00064591">
        <w:rPr>
          <w:rFonts w:ascii="Book Antiqua" w:hAnsi="Book Antiqua" w:cs="Arial"/>
        </w:rPr>
        <w:t>No</w:t>
      </w:r>
      <w:r w:rsidRPr="00064591">
        <w:rPr>
          <w:rFonts w:ascii="Book Antiqua" w:hAnsi="Book Antiqua"/>
        </w:rPr>
        <w:t xml:space="preserve"> anonymity direction has been requested or made. </w:t>
      </w:r>
    </w:p>
    <w:p w:rsidR="00321C6F" w:rsidRPr="00A56832" w:rsidRDefault="00321C6F" w:rsidP="00321C6F">
      <w:pPr>
        <w:jc w:val="both"/>
        <w:rPr>
          <w:rFonts w:ascii="Book Antiqua" w:hAnsi="Book Antiqua" w:cs="Arial"/>
        </w:rPr>
      </w:pPr>
    </w:p>
    <w:p w:rsidR="00321C6F" w:rsidRPr="00A56832" w:rsidRDefault="00321C6F" w:rsidP="00321C6F">
      <w:pPr>
        <w:jc w:val="both"/>
        <w:rPr>
          <w:rFonts w:ascii="Book Antiqua" w:hAnsi="Book Antiqua" w:cs="Arial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FE0046" w:rsidRPr="009445D2">
        <w:rPr>
          <w:noProof/>
          <w:sz w:val="22"/>
          <w:szCs w:val="22"/>
        </w:rPr>
        <w:drawing>
          <wp:inline distT="0" distB="0" distL="0" distR="0" wp14:anchorId="334D9F4B" wp14:editId="334D9F4C">
            <wp:extent cx="1533525" cy="571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1C6F" w:rsidRPr="00A56832" w:rsidRDefault="00321C6F" w:rsidP="00321C6F">
      <w:pPr>
        <w:jc w:val="both"/>
        <w:rPr>
          <w:rFonts w:ascii="Book Antiqua" w:hAnsi="Book Antiqua" w:cs="Arial"/>
        </w:rPr>
      </w:pPr>
    </w:p>
    <w:p w:rsidR="00321C6F" w:rsidRPr="00A56832" w:rsidRDefault="00321C6F" w:rsidP="00321C6F">
      <w:pPr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ab/>
      </w:r>
      <w:r>
        <w:rPr>
          <w:rFonts w:ascii="Book Antiqua" w:hAnsi="Book Antiqua" w:cs="Arial"/>
        </w:rPr>
        <w:tab/>
      </w:r>
      <w:r w:rsidR="003675BF">
        <w:rPr>
          <w:rFonts w:ascii="Book Antiqua" w:hAnsi="Book Antiqua" w:cs="Arial"/>
        </w:rPr>
        <w:t xml:space="preserve">17 July </w:t>
      </w:r>
      <w:r w:rsidR="000B442A">
        <w:rPr>
          <w:rFonts w:ascii="Book Antiqua" w:hAnsi="Book Antiqua" w:cs="Arial"/>
        </w:rPr>
        <w:t>20</w:t>
      </w:r>
      <w:r w:rsidR="00A810D2">
        <w:rPr>
          <w:rFonts w:ascii="Book Antiqua" w:hAnsi="Book Antiqua" w:cs="Arial"/>
        </w:rPr>
        <w:t>1</w:t>
      </w:r>
      <w:r w:rsidR="00B170ED">
        <w:rPr>
          <w:rFonts w:ascii="Book Antiqua" w:hAnsi="Book Antiqua" w:cs="Arial"/>
        </w:rPr>
        <w:t>8</w:t>
      </w:r>
      <w:r>
        <w:rPr>
          <w:rFonts w:ascii="Book Antiqua" w:hAnsi="Book Antiqua" w:cs="Arial"/>
        </w:rPr>
        <w:t xml:space="preserve"> </w:t>
      </w:r>
    </w:p>
    <w:p w:rsidR="00266FFE" w:rsidRDefault="00321C6F" w:rsidP="00064591">
      <w:pPr>
        <w:jc w:val="both"/>
      </w:pPr>
      <w:r>
        <w:rPr>
          <w:rFonts w:ascii="Book Antiqua" w:hAnsi="Book Antiqua" w:cs="Arial"/>
        </w:rPr>
        <w:tab/>
      </w:r>
      <w:r>
        <w:rPr>
          <w:rFonts w:ascii="Book Antiqua" w:hAnsi="Book Antiqua" w:cs="Arial"/>
        </w:rPr>
        <w:tab/>
        <w:t>Upper Tribunal Judge Macleman</w:t>
      </w:r>
    </w:p>
    <w:sectPr w:rsidR="00266FFE" w:rsidSect="00614E94">
      <w:headerReference w:type="default" r:id="rId10"/>
      <w:footerReference w:type="default" r:id="rId11"/>
      <w:footerReference w:type="first" r:id="rId12"/>
      <w:pgSz w:w="11906" w:h="16838"/>
      <w:pgMar w:top="1440" w:right="1134" w:bottom="1440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030BA" w:rsidRDefault="003030BA">
      <w:r>
        <w:separator/>
      </w:r>
    </w:p>
  </w:endnote>
  <w:endnote w:type="continuationSeparator" w:id="0">
    <w:p w:rsidR="003030BA" w:rsidRDefault="003030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4782" w:rsidRPr="00593795" w:rsidRDefault="008D4782" w:rsidP="00614E94">
    <w:pPr>
      <w:pStyle w:val="Footer"/>
      <w:jc w:val="center"/>
      <w:rPr>
        <w:rFonts w:ascii="Arial" w:hAnsi="Arial" w:cs="Arial"/>
        <w:sz w:val="16"/>
        <w:szCs w:val="16"/>
      </w:rPr>
    </w:pPr>
    <w:r w:rsidRPr="00593795">
      <w:rPr>
        <w:rStyle w:val="PageNumber"/>
        <w:rFonts w:ascii="Arial" w:hAnsi="Arial" w:cs="Arial"/>
        <w:sz w:val="16"/>
        <w:szCs w:val="16"/>
      </w:rPr>
      <w:fldChar w:fldCharType="begin"/>
    </w:r>
    <w:r w:rsidRPr="00593795">
      <w:rPr>
        <w:rStyle w:val="PageNumber"/>
        <w:rFonts w:ascii="Arial" w:hAnsi="Arial" w:cs="Arial"/>
        <w:sz w:val="16"/>
        <w:szCs w:val="16"/>
      </w:rPr>
      <w:instrText xml:space="preserve"> PAGE </w:instrText>
    </w:r>
    <w:r w:rsidRPr="00593795">
      <w:rPr>
        <w:rStyle w:val="PageNumber"/>
        <w:rFonts w:ascii="Arial" w:hAnsi="Arial" w:cs="Arial"/>
        <w:sz w:val="16"/>
        <w:szCs w:val="16"/>
      </w:rPr>
      <w:fldChar w:fldCharType="separate"/>
    </w:r>
    <w:r w:rsidR="00B36608">
      <w:rPr>
        <w:rStyle w:val="PageNumber"/>
        <w:rFonts w:ascii="Arial" w:hAnsi="Arial" w:cs="Arial"/>
        <w:noProof/>
        <w:sz w:val="16"/>
        <w:szCs w:val="16"/>
      </w:rPr>
      <w:t>2</w:t>
    </w:r>
    <w:r w:rsidRPr="00593795">
      <w:rPr>
        <w:rStyle w:val="PageNumber"/>
        <w:rFonts w:ascii="Arial" w:hAnsi="Arial" w:cs="Arial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4782" w:rsidRPr="00090CF9" w:rsidRDefault="008D4782" w:rsidP="00614E94">
    <w:pPr>
      <w:jc w:val="center"/>
      <w:rPr>
        <w:rFonts w:ascii="Arial" w:hAnsi="Arial" w:cs="Arial"/>
        <w:b/>
      </w:rPr>
    </w:pPr>
    <w:r w:rsidRPr="00090CF9">
      <w:rPr>
        <w:rFonts w:ascii="Arial" w:hAnsi="Arial" w:cs="Arial"/>
        <w:b/>
        <w:spacing w:val="-6"/>
      </w:rPr>
      <w:t>©</w:t>
    </w:r>
    <w:r>
      <w:rPr>
        <w:rFonts w:ascii="Arial" w:hAnsi="Arial" w:cs="Arial"/>
        <w:b/>
      </w:rPr>
      <w:t xml:space="preserve"> CROWN COPYRIGHT</w:t>
    </w:r>
    <w:r w:rsidR="008D76D2">
      <w:rPr>
        <w:rFonts w:ascii="Arial" w:hAnsi="Arial" w:cs="Arial"/>
        <w:b/>
      </w:rPr>
      <w:t xml:space="preserve">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030BA" w:rsidRDefault="003030BA">
      <w:r>
        <w:separator/>
      </w:r>
    </w:p>
  </w:footnote>
  <w:footnote w:type="continuationSeparator" w:id="0">
    <w:p w:rsidR="003030BA" w:rsidRDefault="003030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4782" w:rsidRPr="003C5CE5" w:rsidRDefault="008D4782" w:rsidP="00614E94">
    <w:pPr>
      <w:pStyle w:val="Header"/>
      <w:jc w:val="right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 xml:space="preserve">Appeal Number: </w:t>
    </w:r>
    <w:r w:rsidR="008D76D2" w:rsidRPr="008D76D2">
      <w:rPr>
        <w:rFonts w:ascii="Arial" w:hAnsi="Arial" w:cs="Arial"/>
        <w:sz w:val="16"/>
        <w:szCs w:val="16"/>
      </w:rPr>
      <w:t>PA/01603/2017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C0F75"/>
    <w:multiLevelType w:val="multilevel"/>
    <w:tmpl w:val="5B10D58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i w:val="0"/>
      </w:rPr>
    </w:lvl>
    <w:lvl w:ilvl="1">
      <w:start w:val="1"/>
      <w:numFmt w:val="lowerRoman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268"/>
        </w:tabs>
        <w:ind w:left="2268" w:hanging="567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835"/>
        </w:tabs>
        <w:ind w:left="2835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" w15:restartNumberingAfterBreak="0">
    <w:nsid w:val="14D60EB8"/>
    <w:multiLevelType w:val="multilevel"/>
    <w:tmpl w:val="5B10D58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i w:val="0"/>
      </w:rPr>
    </w:lvl>
    <w:lvl w:ilvl="1">
      <w:start w:val="1"/>
      <w:numFmt w:val="lowerRoman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268"/>
        </w:tabs>
        <w:ind w:left="2268" w:hanging="567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835"/>
        </w:tabs>
        <w:ind w:left="2835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39246ACC"/>
    <w:multiLevelType w:val="multilevel"/>
    <w:tmpl w:val="5B10D58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i w:val="0"/>
      </w:rPr>
    </w:lvl>
    <w:lvl w:ilvl="1">
      <w:start w:val="1"/>
      <w:numFmt w:val="lowerRoman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268"/>
        </w:tabs>
        <w:ind w:left="2268" w:hanging="567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835"/>
        </w:tabs>
        <w:ind w:left="2835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3F933103"/>
    <w:multiLevelType w:val="multilevel"/>
    <w:tmpl w:val="5B10D58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i w:val="0"/>
      </w:rPr>
    </w:lvl>
    <w:lvl w:ilvl="1">
      <w:start w:val="1"/>
      <w:numFmt w:val="lowerRoman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268"/>
        </w:tabs>
        <w:ind w:left="2268" w:hanging="567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835"/>
        </w:tabs>
        <w:ind w:left="2835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" w15:restartNumberingAfterBreak="0">
    <w:nsid w:val="4F4250BF"/>
    <w:multiLevelType w:val="hybridMultilevel"/>
    <w:tmpl w:val="83FE4D62"/>
    <w:lvl w:ilvl="0" w:tplc="0809000F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gnword-docGUID" w:val="{4B0DE73B-20F5-437B-A273-C6DEF1875814}"/>
    <w:docVar w:name="dgnword-eventsink" w:val="402238880"/>
  </w:docVars>
  <w:rsids>
    <w:rsidRoot w:val="00933B65"/>
    <w:rsid w:val="00005159"/>
    <w:rsid w:val="00006446"/>
    <w:rsid w:val="00007BAC"/>
    <w:rsid w:val="000101CB"/>
    <w:rsid w:val="00050DFB"/>
    <w:rsid w:val="00050F40"/>
    <w:rsid w:val="00056FD6"/>
    <w:rsid w:val="00064591"/>
    <w:rsid w:val="000661A0"/>
    <w:rsid w:val="000777B7"/>
    <w:rsid w:val="00087C41"/>
    <w:rsid w:val="000A202B"/>
    <w:rsid w:val="000A4BC4"/>
    <w:rsid w:val="000B442A"/>
    <w:rsid w:val="001103E2"/>
    <w:rsid w:val="00114770"/>
    <w:rsid w:val="00117089"/>
    <w:rsid w:val="0014649D"/>
    <w:rsid w:val="00164BB6"/>
    <w:rsid w:val="00172233"/>
    <w:rsid w:val="00184269"/>
    <w:rsid w:val="001D6343"/>
    <w:rsid w:val="001E0145"/>
    <w:rsid w:val="001F3A81"/>
    <w:rsid w:val="00202C91"/>
    <w:rsid w:val="002065B8"/>
    <w:rsid w:val="002135A6"/>
    <w:rsid w:val="002154EF"/>
    <w:rsid w:val="00224440"/>
    <w:rsid w:val="0025750F"/>
    <w:rsid w:val="002644DC"/>
    <w:rsid w:val="00266FFE"/>
    <w:rsid w:val="00274F92"/>
    <w:rsid w:val="002A677C"/>
    <w:rsid w:val="002C683E"/>
    <w:rsid w:val="002D1B20"/>
    <w:rsid w:val="002F1EC2"/>
    <w:rsid w:val="002F2A27"/>
    <w:rsid w:val="002F4480"/>
    <w:rsid w:val="003030BA"/>
    <w:rsid w:val="00321C6F"/>
    <w:rsid w:val="003239F4"/>
    <w:rsid w:val="00347DC8"/>
    <w:rsid w:val="00352495"/>
    <w:rsid w:val="003675BF"/>
    <w:rsid w:val="003812EE"/>
    <w:rsid w:val="00391DAA"/>
    <w:rsid w:val="003A2266"/>
    <w:rsid w:val="003A53FC"/>
    <w:rsid w:val="003C1934"/>
    <w:rsid w:val="003D7D3D"/>
    <w:rsid w:val="003D7F34"/>
    <w:rsid w:val="003E6445"/>
    <w:rsid w:val="003F1CF2"/>
    <w:rsid w:val="00410E4D"/>
    <w:rsid w:val="004171D0"/>
    <w:rsid w:val="00441640"/>
    <w:rsid w:val="00443933"/>
    <w:rsid w:val="00447129"/>
    <w:rsid w:val="004541E5"/>
    <w:rsid w:val="0046122D"/>
    <w:rsid w:val="00470675"/>
    <w:rsid w:val="004836D3"/>
    <w:rsid w:val="004A012D"/>
    <w:rsid w:val="004F69E7"/>
    <w:rsid w:val="004F7430"/>
    <w:rsid w:val="00513527"/>
    <w:rsid w:val="0057020B"/>
    <w:rsid w:val="00590CEE"/>
    <w:rsid w:val="00594CA2"/>
    <w:rsid w:val="00595C55"/>
    <w:rsid w:val="005A1712"/>
    <w:rsid w:val="005A6A5E"/>
    <w:rsid w:val="005F463A"/>
    <w:rsid w:val="005F6D40"/>
    <w:rsid w:val="00600070"/>
    <w:rsid w:val="006057A3"/>
    <w:rsid w:val="00614020"/>
    <w:rsid w:val="00614E94"/>
    <w:rsid w:val="0063091E"/>
    <w:rsid w:val="0064000D"/>
    <w:rsid w:val="0065091A"/>
    <w:rsid w:val="00657E4A"/>
    <w:rsid w:val="00673BBC"/>
    <w:rsid w:val="00676EF8"/>
    <w:rsid w:val="00683256"/>
    <w:rsid w:val="006906A7"/>
    <w:rsid w:val="006A2D39"/>
    <w:rsid w:val="006C7B70"/>
    <w:rsid w:val="006D017C"/>
    <w:rsid w:val="006D2D9A"/>
    <w:rsid w:val="006D7C16"/>
    <w:rsid w:val="006E3DE1"/>
    <w:rsid w:val="006F49A6"/>
    <w:rsid w:val="00734D2D"/>
    <w:rsid w:val="007412E0"/>
    <w:rsid w:val="00774C7C"/>
    <w:rsid w:val="00775556"/>
    <w:rsid w:val="007D7875"/>
    <w:rsid w:val="007E0CE8"/>
    <w:rsid w:val="007F7538"/>
    <w:rsid w:val="0080239D"/>
    <w:rsid w:val="00810338"/>
    <w:rsid w:val="0084146A"/>
    <w:rsid w:val="0084433E"/>
    <w:rsid w:val="00847492"/>
    <w:rsid w:val="008524D3"/>
    <w:rsid w:val="0085583B"/>
    <w:rsid w:val="00861DE2"/>
    <w:rsid w:val="00877BE8"/>
    <w:rsid w:val="008832E8"/>
    <w:rsid w:val="008A64A7"/>
    <w:rsid w:val="008B5B9B"/>
    <w:rsid w:val="008C2761"/>
    <w:rsid w:val="008D4782"/>
    <w:rsid w:val="008D76D2"/>
    <w:rsid w:val="008E4AC7"/>
    <w:rsid w:val="008F2CE1"/>
    <w:rsid w:val="00917FD9"/>
    <w:rsid w:val="00923BA9"/>
    <w:rsid w:val="00926DE2"/>
    <w:rsid w:val="00933B65"/>
    <w:rsid w:val="00950998"/>
    <w:rsid w:val="00964929"/>
    <w:rsid w:val="009701EB"/>
    <w:rsid w:val="00974287"/>
    <w:rsid w:val="009C2345"/>
    <w:rsid w:val="009E3D21"/>
    <w:rsid w:val="009F361B"/>
    <w:rsid w:val="00A179C8"/>
    <w:rsid w:val="00A54E86"/>
    <w:rsid w:val="00A810D2"/>
    <w:rsid w:val="00A86A8D"/>
    <w:rsid w:val="00A92690"/>
    <w:rsid w:val="00AA199C"/>
    <w:rsid w:val="00AA25A1"/>
    <w:rsid w:val="00AA5502"/>
    <w:rsid w:val="00AC466C"/>
    <w:rsid w:val="00AC6199"/>
    <w:rsid w:val="00AD4AF2"/>
    <w:rsid w:val="00AD63D3"/>
    <w:rsid w:val="00B170ED"/>
    <w:rsid w:val="00B36608"/>
    <w:rsid w:val="00B369DC"/>
    <w:rsid w:val="00B52844"/>
    <w:rsid w:val="00B53F2C"/>
    <w:rsid w:val="00BB2B34"/>
    <w:rsid w:val="00BB470C"/>
    <w:rsid w:val="00BB69F4"/>
    <w:rsid w:val="00BC0611"/>
    <w:rsid w:val="00BC220A"/>
    <w:rsid w:val="00BD5922"/>
    <w:rsid w:val="00BE34CF"/>
    <w:rsid w:val="00BF19C3"/>
    <w:rsid w:val="00BF1B46"/>
    <w:rsid w:val="00C01F6A"/>
    <w:rsid w:val="00C02C9D"/>
    <w:rsid w:val="00C15A7E"/>
    <w:rsid w:val="00C30511"/>
    <w:rsid w:val="00C4755C"/>
    <w:rsid w:val="00C51B29"/>
    <w:rsid w:val="00C5547C"/>
    <w:rsid w:val="00C6098F"/>
    <w:rsid w:val="00C628F1"/>
    <w:rsid w:val="00C97BA3"/>
    <w:rsid w:val="00CB5947"/>
    <w:rsid w:val="00CD5AEE"/>
    <w:rsid w:val="00CF0FE6"/>
    <w:rsid w:val="00D26297"/>
    <w:rsid w:val="00D30D90"/>
    <w:rsid w:val="00D31D54"/>
    <w:rsid w:val="00D44C2B"/>
    <w:rsid w:val="00DA3D04"/>
    <w:rsid w:val="00DC699D"/>
    <w:rsid w:val="00DE28D1"/>
    <w:rsid w:val="00DF3FFF"/>
    <w:rsid w:val="00DF432B"/>
    <w:rsid w:val="00E06022"/>
    <w:rsid w:val="00E2686E"/>
    <w:rsid w:val="00E3196E"/>
    <w:rsid w:val="00E4524E"/>
    <w:rsid w:val="00EA3D98"/>
    <w:rsid w:val="00ED3C56"/>
    <w:rsid w:val="00EE6CE7"/>
    <w:rsid w:val="00F125AD"/>
    <w:rsid w:val="00F12F2F"/>
    <w:rsid w:val="00F40619"/>
    <w:rsid w:val="00F45442"/>
    <w:rsid w:val="00F47052"/>
    <w:rsid w:val="00F52F2A"/>
    <w:rsid w:val="00F648C0"/>
    <w:rsid w:val="00F83014"/>
    <w:rsid w:val="00F85C8A"/>
    <w:rsid w:val="00F9075F"/>
    <w:rsid w:val="00FA0A2E"/>
    <w:rsid w:val="00FA2A43"/>
    <w:rsid w:val="00FA7FC0"/>
    <w:rsid w:val="00FB0516"/>
    <w:rsid w:val="00FB1F94"/>
    <w:rsid w:val="00FD560C"/>
    <w:rsid w:val="00FE0046"/>
    <w:rsid w:val="00FF48BE"/>
    <w:rsid w:val="00FF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EB73B1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933B65"/>
    <w:rPr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33B65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933B65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933B65"/>
  </w:style>
  <w:style w:type="table" w:styleId="TableGrid">
    <w:name w:val="Table Grid"/>
    <w:basedOn w:val="TableNormal"/>
    <w:rsid w:val="00933B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E28D1"/>
    <w:pPr>
      <w:ind w:left="720"/>
      <w:contextualSpacing/>
    </w:pPr>
  </w:style>
  <w:style w:type="paragraph" w:styleId="BalloonText">
    <w:name w:val="Balloon Text"/>
    <w:basedOn w:val="Normal"/>
    <w:link w:val="BalloonTextChar"/>
    <w:semiHidden/>
    <w:unhideWhenUsed/>
    <w:rsid w:val="0068325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683256"/>
    <w:rPr>
      <w:rFonts w:ascii="Segoe UI" w:hAnsi="Segoe UI" w:cs="Segoe UI"/>
      <w:sz w:val="18"/>
      <w:szCs w:val="18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794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BB3B8A-E2BB-4C07-8E1E-19C897FFAC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638</Words>
  <Characters>3113</Characters>
  <Application>Microsoft Office Word</Application>
  <DocSecurity>0</DocSecurity>
  <Lines>25</Lines>
  <Paragraphs>7</Paragraphs>
  <ScaleCrop>false</ScaleCrop>
  <Company/>
  <LinksUpToDate>false</LinksUpToDate>
  <CharactersWithSpaces>3744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2018-08-09T14:43:00Z</dcterms:created>
  <dcterms:modified xsi:type="dcterms:W3CDTF">2018-08-09T14:43:00Z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