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995C12" w:rsidP="00F97703">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Pr="003C4153" w:rsidRDefault="00F97703" w:rsidP="003C4153">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3C4153">
        <w:rPr>
          <w:rFonts w:ascii="Book Antiqua" w:hAnsi="Book Antiqua" w:cs="Arial"/>
          <w:b/>
          <w:color w:val="000000"/>
        </w:rPr>
        <w:t xml:space="preserve">   </w:t>
      </w:r>
      <w:proofErr w:type="gramEnd"/>
      <w:r w:rsidR="003C4153">
        <w:rPr>
          <w:rFonts w:ascii="Book Antiqua" w:hAnsi="Book Antiqua" w:cs="Arial"/>
          <w:b/>
          <w:color w:val="000000"/>
        </w:rPr>
        <w:t xml:space="preserve">                       </w:t>
      </w:r>
      <w:r w:rsidR="00B3524D" w:rsidRPr="003C4153">
        <w:rPr>
          <w:rFonts w:ascii="Book Antiqua" w:hAnsi="Book Antiqua" w:cs="Arial"/>
          <w:b/>
          <w:color w:val="000000"/>
        </w:rPr>
        <w:t>Appeal Number</w:t>
      </w:r>
      <w:r w:rsidR="00D53769" w:rsidRPr="003C4153">
        <w:rPr>
          <w:rFonts w:ascii="Book Antiqua" w:hAnsi="Book Antiqua" w:cs="Arial"/>
          <w:b/>
          <w:color w:val="000000"/>
        </w:rPr>
        <w:t>:</w:t>
      </w:r>
      <w:r w:rsidR="00B3524D" w:rsidRPr="003C4153">
        <w:rPr>
          <w:rFonts w:ascii="Book Antiqua" w:hAnsi="Book Antiqua" w:cs="Arial"/>
          <w:b/>
          <w:color w:val="000000"/>
        </w:rPr>
        <w:t xml:space="preserve"> </w:t>
      </w:r>
      <w:r w:rsidR="008C0005" w:rsidRPr="003C4153">
        <w:rPr>
          <w:rFonts w:ascii="Book Antiqua" w:hAnsi="Book Antiqua" w:cs="Arial"/>
          <w:b/>
          <w:color w:val="000000"/>
        </w:rPr>
        <w:t>PA/01621/2015</w:t>
      </w:r>
    </w:p>
    <w:p w:rsidR="009C0D39" w:rsidRPr="003C4153" w:rsidRDefault="009C0D39" w:rsidP="009C0D39">
      <w:pPr>
        <w:jc w:val="center"/>
        <w:rPr>
          <w:rFonts w:ascii="Book Antiqua" w:hAnsi="Book Antiqua" w:cs="Arial"/>
          <w:b/>
          <w:color w:val="000000"/>
        </w:rPr>
      </w:pPr>
    </w:p>
    <w:p w:rsidR="009C0D39" w:rsidRPr="00D32B8A" w:rsidRDefault="009C0D39" w:rsidP="009C0D39">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9C0D39" w:rsidRPr="00D32B8A" w:rsidRDefault="009C0D39" w:rsidP="009C0D39">
      <w:pPr>
        <w:jc w:val="center"/>
        <w:rPr>
          <w:rFonts w:ascii="Book Antiqua" w:hAnsi="Book Antiqua" w:cs="Arial"/>
          <w:b/>
          <w:u w:val="single"/>
        </w:rPr>
      </w:pPr>
    </w:p>
    <w:tbl>
      <w:tblPr>
        <w:tblW w:w="0" w:type="auto"/>
        <w:tblLook w:val="01E0" w:firstRow="1" w:lastRow="1" w:firstColumn="1" w:lastColumn="1" w:noHBand="0" w:noVBand="0"/>
      </w:tblPr>
      <w:tblGrid>
        <w:gridCol w:w="4689"/>
        <w:gridCol w:w="4949"/>
      </w:tblGrid>
      <w:tr w:rsidR="00E533BA" w:rsidRPr="003C5723" w:rsidTr="003C4153">
        <w:tc>
          <w:tcPr>
            <w:tcW w:w="4689"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0629F4">
              <w:rPr>
                <w:rFonts w:ascii="Book Antiqua" w:hAnsi="Book Antiqua" w:cs="Arial"/>
                <w:b/>
              </w:rPr>
              <w:t>Bradford</w:t>
            </w:r>
          </w:p>
        </w:tc>
        <w:tc>
          <w:tcPr>
            <w:tcW w:w="4949" w:type="dxa"/>
            <w:shd w:val="clear" w:color="auto" w:fill="auto"/>
          </w:tcPr>
          <w:p w:rsidR="00E533BA" w:rsidRPr="003C5723" w:rsidRDefault="003C4153" w:rsidP="003C5723">
            <w:pPr>
              <w:jc w:val="both"/>
              <w:rPr>
                <w:rFonts w:ascii="Book Antiqua" w:hAnsi="Book Antiqua" w:cs="Arial"/>
                <w:b/>
                <w:color w:val="000000"/>
              </w:rPr>
            </w:pPr>
            <w:r>
              <w:rPr>
                <w:rFonts w:ascii="Book Antiqua" w:hAnsi="Book Antiqua" w:cs="Arial"/>
                <w:b/>
                <w:color w:val="000000"/>
              </w:rPr>
              <w:t xml:space="preserve">            </w:t>
            </w:r>
            <w:r w:rsidR="00E533BA" w:rsidRPr="003C5723">
              <w:rPr>
                <w:rFonts w:ascii="Book Antiqua" w:hAnsi="Book Antiqua" w:cs="Arial"/>
                <w:b/>
                <w:color w:val="000000"/>
              </w:rPr>
              <w:t>De</w:t>
            </w:r>
            <w:r w:rsidR="000629F4">
              <w:rPr>
                <w:rFonts w:ascii="Book Antiqua" w:hAnsi="Book Antiqua" w:cs="Arial"/>
                <w:b/>
                <w:color w:val="000000"/>
              </w:rPr>
              <w:t>cision</w:t>
            </w:r>
            <w:r w:rsidR="00995C12">
              <w:rPr>
                <w:rFonts w:ascii="Book Antiqua" w:hAnsi="Book Antiqua" w:cs="Arial"/>
                <w:b/>
                <w:color w:val="000000"/>
              </w:rPr>
              <w:t xml:space="preserve"> &amp; Reasons P</w:t>
            </w:r>
            <w:r w:rsidR="00E533BA" w:rsidRPr="003C5723">
              <w:rPr>
                <w:rFonts w:ascii="Book Antiqua" w:hAnsi="Book Antiqua" w:cs="Arial"/>
                <w:b/>
                <w:color w:val="000000"/>
              </w:rPr>
              <w:t>romulgated</w:t>
            </w:r>
          </w:p>
        </w:tc>
      </w:tr>
      <w:tr w:rsidR="00E533BA" w:rsidRPr="003C5723" w:rsidTr="003C4153">
        <w:tc>
          <w:tcPr>
            <w:tcW w:w="4689"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0629F4">
              <w:rPr>
                <w:rFonts w:ascii="Book Antiqua" w:hAnsi="Book Antiqua" w:cs="Arial"/>
                <w:b/>
              </w:rPr>
              <w:t>30 May 2018</w:t>
            </w:r>
          </w:p>
        </w:tc>
        <w:tc>
          <w:tcPr>
            <w:tcW w:w="4949" w:type="dxa"/>
            <w:shd w:val="clear" w:color="auto" w:fill="auto"/>
          </w:tcPr>
          <w:p w:rsidR="00E533BA" w:rsidRPr="003C5723" w:rsidRDefault="003C4153" w:rsidP="003C5723">
            <w:pPr>
              <w:jc w:val="both"/>
              <w:rPr>
                <w:rFonts w:ascii="Book Antiqua" w:hAnsi="Book Antiqua" w:cs="Arial"/>
                <w:b/>
              </w:rPr>
            </w:pPr>
            <w:r>
              <w:rPr>
                <w:rFonts w:ascii="Book Antiqua" w:hAnsi="Book Antiqua" w:cs="Arial"/>
                <w:b/>
              </w:rPr>
              <w:t xml:space="preserve">            </w:t>
            </w:r>
            <w:r w:rsidR="00995C12">
              <w:rPr>
                <w:rFonts w:ascii="Book Antiqua" w:hAnsi="Book Antiqua" w:cs="Arial"/>
                <w:b/>
              </w:rPr>
              <w:t>on 10 July 2018</w:t>
            </w:r>
          </w:p>
        </w:tc>
      </w:tr>
    </w:tbl>
    <w:p w:rsidR="009C0D39" w:rsidRDefault="009C0D39" w:rsidP="00B467EA">
      <w:pPr>
        <w:jc w:val="center"/>
        <w:outlineLvl w:val="0"/>
        <w:rPr>
          <w:rFonts w:ascii="Book Antiqua" w:hAnsi="Book Antiqua" w:cs="Arial"/>
          <w:b/>
        </w:rPr>
      </w:pPr>
    </w:p>
    <w:p w:rsidR="009C0D39" w:rsidRDefault="009C0D39" w:rsidP="00B467EA">
      <w:pPr>
        <w:jc w:val="center"/>
        <w:outlineLvl w:val="0"/>
        <w:rPr>
          <w:rFonts w:ascii="Book Antiqua" w:hAnsi="Book Antiqua" w:cs="Arial"/>
          <w:b/>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0629F4" w:rsidRPr="00D32B8A" w:rsidRDefault="000629F4" w:rsidP="00B467EA">
      <w:pPr>
        <w:jc w:val="center"/>
        <w:outlineLvl w:val="0"/>
        <w:rPr>
          <w:rFonts w:ascii="Book Antiqua" w:hAnsi="Book Antiqua" w:cs="Arial"/>
          <w:b/>
        </w:rPr>
      </w:pPr>
    </w:p>
    <w:p w:rsidR="00A845DC" w:rsidRDefault="000629F4" w:rsidP="00A15234">
      <w:pPr>
        <w:jc w:val="center"/>
        <w:rPr>
          <w:rFonts w:ascii="Book Antiqua" w:hAnsi="Book Antiqua" w:cs="Arial"/>
          <w:b/>
        </w:rPr>
      </w:pPr>
      <w:r w:rsidRPr="000629F4">
        <w:rPr>
          <w:rFonts w:ascii="Book Antiqua" w:hAnsi="Book Antiqua" w:cs="Arial"/>
          <w:b/>
        </w:rPr>
        <w:t>MISH</w:t>
      </w:r>
    </w:p>
    <w:p w:rsidR="000629F4" w:rsidRPr="003C4153" w:rsidRDefault="003C4153" w:rsidP="00A15234">
      <w:pPr>
        <w:jc w:val="center"/>
        <w:rPr>
          <w:rFonts w:ascii="Book Antiqua" w:hAnsi="Book Antiqua" w:cs="Arial"/>
        </w:rPr>
      </w:pPr>
      <w:r w:rsidRPr="003C4153">
        <w:rPr>
          <w:rFonts w:ascii="Book Antiqua" w:hAnsi="Book Antiqua" w:cs="Arial"/>
        </w:rPr>
        <w:t>(ANONYMITY DIRECTION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3C4153" w:rsidRDefault="003C4153"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704B61">
      <w:pPr>
        <w:jc w:val="center"/>
        <w:rPr>
          <w:rFonts w:ascii="Book Antiqua" w:hAnsi="Book Antiqua" w:cs="Arial"/>
          <w:b/>
        </w:rPr>
      </w:pPr>
    </w:p>
    <w:p w:rsidR="003C4153" w:rsidRPr="00D32B8A" w:rsidRDefault="003C4153" w:rsidP="00704B61">
      <w:pPr>
        <w:jc w:val="center"/>
        <w:rPr>
          <w:rFonts w:ascii="Book Antiqua" w:hAnsi="Book Antiqua" w:cs="Arial"/>
          <w:b/>
        </w:rPr>
      </w:pPr>
      <w:r>
        <w:rPr>
          <w:rFonts w:ascii="Book Antiqua" w:hAnsi="Book Antiqua" w:cs="Arial"/>
          <w:b/>
        </w:rPr>
        <w:t>THE SECRETARY OF STATE FOR THE HOME DEPARTMENT</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B467EA">
      <w:pPr>
        <w:outlineLvl w:val="0"/>
        <w:rPr>
          <w:rFonts w:ascii="Book Antiqua" w:hAnsi="Book Antiqua" w:cs="Arial"/>
          <w:b/>
        </w:rPr>
      </w:pPr>
      <w:r w:rsidRPr="00D32B8A">
        <w:rPr>
          <w:rFonts w:ascii="Book Antiqua" w:hAnsi="Book Antiqua" w:cs="Arial"/>
          <w:b/>
          <w:u w:val="single"/>
        </w:rPr>
        <w:t>Representation</w:t>
      </w:r>
      <w:r w:rsidRPr="00D32B8A">
        <w:rPr>
          <w:rFonts w:ascii="Book Antiqua" w:hAnsi="Book Antiqua" w:cs="Arial"/>
          <w:b/>
        </w:rPr>
        <w:t>:</w:t>
      </w:r>
    </w:p>
    <w:p w:rsidR="003C4153" w:rsidRPr="00D32B8A" w:rsidRDefault="003C4153" w:rsidP="00B467EA">
      <w:pPr>
        <w:outlineLvl w:val="0"/>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3C4153">
        <w:rPr>
          <w:rFonts w:ascii="Book Antiqua" w:hAnsi="Book Antiqua" w:cs="Arial"/>
        </w:rPr>
        <w:t xml:space="preserve">       </w:t>
      </w:r>
      <w:r w:rsidR="000629F4">
        <w:rPr>
          <w:rFonts w:ascii="Book Antiqua" w:hAnsi="Book Antiqua" w:cs="Arial"/>
        </w:rPr>
        <w:t xml:space="preserve">Mr </w:t>
      </w:r>
      <w:proofErr w:type="spellStart"/>
      <w:r w:rsidR="000629F4">
        <w:rPr>
          <w:rFonts w:ascii="Book Antiqua" w:hAnsi="Book Antiqua" w:cs="Arial"/>
        </w:rPr>
        <w:t>Schwenk</w:t>
      </w:r>
      <w:proofErr w:type="spellEnd"/>
      <w:r w:rsidR="000629F4">
        <w:rPr>
          <w:rFonts w:ascii="Book Antiqua" w:hAnsi="Book Antiqua" w:cs="Arial"/>
        </w:rPr>
        <w:t xml:space="preserve"> instructed by Parker Rhodes Hickmotts Solicitors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3C4153">
        <w:rPr>
          <w:rFonts w:ascii="Book Antiqua" w:hAnsi="Book Antiqua" w:cs="Arial"/>
        </w:rPr>
        <w:t xml:space="preserve">    Mrs </w:t>
      </w:r>
      <w:proofErr w:type="spellStart"/>
      <w:r w:rsidR="003C4153">
        <w:rPr>
          <w:rFonts w:ascii="Book Antiqua" w:hAnsi="Book Antiqua" w:cs="Arial"/>
        </w:rPr>
        <w:t>Petterson</w:t>
      </w:r>
      <w:proofErr w:type="spellEnd"/>
      <w:r w:rsidR="003C4153">
        <w:rPr>
          <w:rFonts w:ascii="Book Antiqua" w:hAnsi="Book Antiqua" w:cs="Arial"/>
        </w:rPr>
        <w:t>, 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DE</w:t>
      </w:r>
      <w:r w:rsidR="000629F4">
        <w:rPr>
          <w:rFonts w:ascii="Book Antiqua" w:hAnsi="Book Antiqua"/>
          <w:b/>
          <w:u w:val="single"/>
        </w:rPr>
        <w:t xml:space="preserve">CISION AND </w:t>
      </w:r>
      <w:r>
        <w:rPr>
          <w:rFonts w:ascii="Book Antiqua" w:hAnsi="Book Antiqua"/>
          <w:b/>
          <w:u w:val="single"/>
        </w:rPr>
        <w:t>REASONS</w:t>
      </w:r>
    </w:p>
    <w:p w:rsidR="009C0D39" w:rsidRDefault="009C0D39" w:rsidP="00BE485D">
      <w:pPr>
        <w:tabs>
          <w:tab w:val="left" w:pos="2520"/>
        </w:tabs>
        <w:ind w:left="360"/>
        <w:jc w:val="both"/>
        <w:rPr>
          <w:rFonts w:ascii="Book Antiqua" w:hAnsi="Book Antiqua" w:cs="Arial"/>
        </w:rPr>
      </w:pPr>
    </w:p>
    <w:p w:rsidR="00BE485D" w:rsidRDefault="000629F4" w:rsidP="001E4A87">
      <w:pPr>
        <w:numPr>
          <w:ilvl w:val="0"/>
          <w:numId w:val="3"/>
        </w:numPr>
        <w:tabs>
          <w:tab w:val="left" w:pos="2520"/>
        </w:tabs>
        <w:jc w:val="both"/>
        <w:rPr>
          <w:rFonts w:ascii="Book Antiqua" w:hAnsi="Book Antiqua" w:cs="Arial"/>
        </w:rPr>
      </w:pPr>
      <w:r>
        <w:rPr>
          <w:rFonts w:ascii="Book Antiqua" w:hAnsi="Book Antiqua" w:cs="Arial"/>
        </w:rPr>
        <w:t xml:space="preserve">Following a hearing at Bradford on 12 December 2017 </w:t>
      </w:r>
      <w:r w:rsidR="00E37277">
        <w:rPr>
          <w:rFonts w:ascii="Book Antiqua" w:hAnsi="Book Antiqua" w:cs="Arial"/>
        </w:rPr>
        <w:t>i</w:t>
      </w:r>
      <w:r>
        <w:rPr>
          <w:rFonts w:ascii="Book Antiqua" w:hAnsi="Book Antiqua" w:cs="Arial"/>
        </w:rPr>
        <w:t xml:space="preserve">t was found the First-tier Tribunal had erred in law in a manner material to the decision to dismiss the appeal </w:t>
      </w:r>
      <w:r w:rsidR="00E37277">
        <w:rPr>
          <w:rFonts w:ascii="Book Antiqua" w:hAnsi="Book Antiqua" w:cs="Arial"/>
        </w:rPr>
        <w:t xml:space="preserve">with </w:t>
      </w:r>
      <w:r>
        <w:rPr>
          <w:rFonts w:ascii="Book Antiqua" w:hAnsi="Book Antiqua" w:cs="Arial"/>
        </w:rPr>
        <w:t xml:space="preserve">further directions being given for the further hearing of this appeal. The matter comes back before the Upper Tribunal </w:t>
      </w:r>
      <w:r w:rsidR="00E37277">
        <w:rPr>
          <w:rFonts w:ascii="Book Antiqua" w:hAnsi="Book Antiqua" w:cs="Arial"/>
        </w:rPr>
        <w:t xml:space="preserve">today </w:t>
      </w:r>
      <w:r>
        <w:rPr>
          <w:rFonts w:ascii="Book Antiqua" w:hAnsi="Book Antiqua" w:cs="Arial"/>
        </w:rPr>
        <w:t>for the purposes of a hearing after which th</w:t>
      </w:r>
      <w:r w:rsidR="00E37277">
        <w:rPr>
          <w:rFonts w:ascii="Book Antiqua" w:hAnsi="Book Antiqua" w:cs="Arial"/>
        </w:rPr>
        <w:t>e T</w:t>
      </w:r>
      <w:r>
        <w:rPr>
          <w:rFonts w:ascii="Book Antiqua" w:hAnsi="Book Antiqua" w:cs="Arial"/>
        </w:rPr>
        <w:t>ribunal shall substitute a decision to either allow or dismiss the appeal.</w:t>
      </w:r>
    </w:p>
    <w:p w:rsidR="00402B9E" w:rsidRPr="00D32B8A" w:rsidRDefault="00402B9E" w:rsidP="001E4A87">
      <w:pPr>
        <w:tabs>
          <w:tab w:val="left" w:pos="2520"/>
        </w:tabs>
        <w:ind w:left="360" w:firstLine="60"/>
        <w:jc w:val="both"/>
        <w:rPr>
          <w:rFonts w:ascii="Book Antiqua" w:hAnsi="Book Antiqua" w:cs="Arial"/>
        </w:rPr>
      </w:pPr>
    </w:p>
    <w:p w:rsidR="00D32B8A" w:rsidRDefault="00FD1BDB" w:rsidP="001E4A87">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1E4A87">
      <w:pPr>
        <w:jc w:val="both"/>
        <w:rPr>
          <w:lang w:eastAsia="en-US"/>
        </w:rPr>
      </w:pPr>
    </w:p>
    <w:p w:rsidR="000629F4" w:rsidRDefault="00E37277" w:rsidP="001E4A87">
      <w:pPr>
        <w:numPr>
          <w:ilvl w:val="0"/>
          <w:numId w:val="3"/>
        </w:numPr>
        <w:jc w:val="both"/>
        <w:rPr>
          <w:rFonts w:ascii="Book Antiqua" w:hAnsi="Book Antiqua" w:cs="Arial"/>
        </w:rPr>
      </w:pPr>
      <w:r>
        <w:rPr>
          <w:rFonts w:ascii="Book Antiqua" w:hAnsi="Book Antiqua" w:cs="Arial"/>
        </w:rPr>
        <w:t xml:space="preserve">There has </w:t>
      </w:r>
      <w:r w:rsidR="000629F4">
        <w:rPr>
          <w:rFonts w:ascii="Book Antiqua" w:hAnsi="Book Antiqua" w:cs="Arial"/>
        </w:rPr>
        <w:t>been a fundamental change in the appellant’s position since the hearing before the First-tier Tribunal. The chronology provided by Mr Schwenk, which is not disputed by Mrs Petterson, i</w:t>
      </w:r>
      <w:bookmarkStart w:id="0" w:name="_GoBack"/>
      <w:bookmarkEnd w:id="0"/>
      <w:r w:rsidR="000629F4">
        <w:rPr>
          <w:rFonts w:ascii="Book Antiqua" w:hAnsi="Book Antiqua" w:cs="Arial"/>
        </w:rPr>
        <w:t>s in the following terms:</w:t>
      </w:r>
    </w:p>
    <w:p w:rsidR="000629F4" w:rsidRDefault="00E37277" w:rsidP="009C0D39">
      <w:pPr>
        <w:numPr>
          <w:ilvl w:val="0"/>
          <w:numId w:val="4"/>
        </w:numPr>
        <w:spacing w:before="120" w:after="120"/>
        <w:jc w:val="both"/>
        <w:rPr>
          <w:rFonts w:ascii="Book Antiqua" w:hAnsi="Book Antiqua" w:cs="Arial"/>
        </w:rPr>
      </w:pPr>
      <w:r>
        <w:rPr>
          <w:rFonts w:ascii="Book Antiqua" w:hAnsi="Book Antiqua" w:cs="Arial"/>
        </w:rPr>
        <w:lastRenderedPageBreak/>
        <w:t>A</w:t>
      </w:r>
      <w:r w:rsidR="000629F4">
        <w:rPr>
          <w:rFonts w:ascii="Book Antiqua" w:hAnsi="Book Antiqua" w:cs="Arial"/>
        </w:rPr>
        <w:t>ppellant arrived in the United Kingdom in 2001.</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In February 2009 the appellant undertook an Islamic marriage in England with FIS.</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 xml:space="preserve">Two children </w:t>
      </w:r>
      <w:r w:rsidR="00E37277">
        <w:rPr>
          <w:rFonts w:ascii="Book Antiqua" w:hAnsi="Book Antiqua" w:cs="Arial"/>
        </w:rPr>
        <w:t xml:space="preserve">have been born </w:t>
      </w:r>
      <w:r>
        <w:rPr>
          <w:rFonts w:ascii="Book Antiqua" w:hAnsi="Book Antiqua" w:cs="Arial"/>
        </w:rPr>
        <w:t>to the appellant and his wife, Ay I on the 30 December 2009 and An I on 12 October 2012.</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The appellant live</w:t>
      </w:r>
      <w:r w:rsidR="00E37277">
        <w:rPr>
          <w:rFonts w:ascii="Book Antiqua" w:hAnsi="Book Antiqua" w:cs="Arial"/>
        </w:rPr>
        <w:t>d</w:t>
      </w:r>
      <w:r>
        <w:rPr>
          <w:rFonts w:ascii="Book Antiqua" w:hAnsi="Book Antiqua" w:cs="Arial"/>
        </w:rPr>
        <w:t xml:space="preserve"> with his wife and their first child until shortly after the birth of An</w:t>
      </w:r>
      <w:r w:rsidR="00E37277">
        <w:rPr>
          <w:rFonts w:ascii="Book Antiqua" w:hAnsi="Book Antiqua" w:cs="Arial"/>
        </w:rPr>
        <w:t xml:space="preserve"> I</w:t>
      </w:r>
      <w:r>
        <w:rPr>
          <w:rFonts w:ascii="Book Antiqua" w:hAnsi="Book Antiqua" w:cs="Arial"/>
        </w:rPr>
        <w:t>.</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Initially after the appellant and his wife separated the appellant remained in London whilst his wife to</w:t>
      </w:r>
      <w:r w:rsidR="00E37277">
        <w:rPr>
          <w:rFonts w:ascii="Book Antiqua" w:hAnsi="Book Antiqua" w:cs="Arial"/>
        </w:rPr>
        <w:t>ok</w:t>
      </w:r>
      <w:r>
        <w:rPr>
          <w:rFonts w:ascii="Book Antiqua" w:hAnsi="Book Antiqua" w:cs="Arial"/>
        </w:rPr>
        <w:t xml:space="preserve"> the children to Barnsley. The appellant </w:t>
      </w:r>
      <w:r w:rsidR="00E37277">
        <w:rPr>
          <w:rFonts w:ascii="Book Antiqua" w:hAnsi="Book Antiqua" w:cs="Arial"/>
        </w:rPr>
        <w:t xml:space="preserve">used to </w:t>
      </w:r>
      <w:r>
        <w:rPr>
          <w:rFonts w:ascii="Book Antiqua" w:hAnsi="Book Antiqua" w:cs="Arial"/>
        </w:rPr>
        <w:t>visit Barnsley weekly from London in order to have contact with his children.</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After the appellant claimed asylum in 2012 h</w:t>
      </w:r>
      <w:r w:rsidR="00E37277">
        <w:rPr>
          <w:rFonts w:ascii="Book Antiqua" w:hAnsi="Book Antiqua" w:cs="Arial"/>
        </w:rPr>
        <w:t xml:space="preserve">e moved to </w:t>
      </w:r>
      <w:r>
        <w:rPr>
          <w:rFonts w:ascii="Book Antiqua" w:hAnsi="Book Antiqua" w:cs="Arial"/>
        </w:rPr>
        <w:t>Barnsley</w:t>
      </w:r>
      <w:r w:rsidR="00E37277">
        <w:rPr>
          <w:rFonts w:ascii="Book Antiqua" w:hAnsi="Book Antiqua" w:cs="Arial"/>
        </w:rPr>
        <w:t xml:space="preserve">, to an </w:t>
      </w:r>
      <w:r>
        <w:rPr>
          <w:rFonts w:ascii="Book Antiqua" w:hAnsi="Book Antiqua" w:cs="Arial"/>
        </w:rPr>
        <w:t>address five minutes travelling time from his ex-wife. He had overnight stay</w:t>
      </w:r>
      <w:r w:rsidR="00E37277">
        <w:rPr>
          <w:rFonts w:ascii="Book Antiqua" w:hAnsi="Book Antiqua" w:cs="Arial"/>
        </w:rPr>
        <w:t>ing</w:t>
      </w:r>
      <w:r>
        <w:rPr>
          <w:rFonts w:ascii="Book Antiqua" w:hAnsi="Book Antiqua" w:cs="Arial"/>
        </w:rPr>
        <w:t xml:space="preserve"> contact with his children every weekend and saw them on other days of the week.</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FIS suffers from serious mental health problems. In February 2017 she was admitted to a menta</w:t>
      </w:r>
      <w:r w:rsidR="00E37277">
        <w:rPr>
          <w:rFonts w:ascii="Book Antiqua" w:hAnsi="Book Antiqua" w:cs="Arial"/>
        </w:rPr>
        <w:t>l health unit in Barnsley.</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Following FIS’s admission</w:t>
      </w:r>
      <w:r w:rsidR="00E37277">
        <w:rPr>
          <w:rFonts w:ascii="Book Antiqua" w:hAnsi="Book Antiqua" w:cs="Arial"/>
        </w:rPr>
        <w:t>,</w:t>
      </w:r>
      <w:r>
        <w:rPr>
          <w:rFonts w:ascii="Book Antiqua" w:hAnsi="Book Antiqua" w:cs="Arial"/>
        </w:rPr>
        <w:t xml:space="preserve"> the children commence</w:t>
      </w:r>
      <w:r w:rsidR="00E37277">
        <w:rPr>
          <w:rFonts w:ascii="Book Antiqua" w:hAnsi="Book Antiqua" w:cs="Arial"/>
        </w:rPr>
        <w:t>d</w:t>
      </w:r>
      <w:r>
        <w:rPr>
          <w:rFonts w:ascii="Book Antiqua" w:hAnsi="Book Antiqua" w:cs="Arial"/>
        </w:rPr>
        <w:t xml:space="preserve"> living with the appellant on a full time permanent basis.</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The appellant currently lives with his two children in NASS accommodation.</w:t>
      </w:r>
    </w:p>
    <w:p w:rsidR="000629F4" w:rsidRDefault="00E37277" w:rsidP="009C0D39">
      <w:pPr>
        <w:numPr>
          <w:ilvl w:val="0"/>
          <w:numId w:val="4"/>
        </w:numPr>
        <w:spacing w:before="120" w:after="120"/>
        <w:jc w:val="both"/>
        <w:rPr>
          <w:rFonts w:ascii="Book Antiqua" w:hAnsi="Book Antiqua" w:cs="Arial"/>
        </w:rPr>
      </w:pPr>
      <w:r>
        <w:rPr>
          <w:rFonts w:ascii="Book Antiqua" w:hAnsi="Book Antiqua" w:cs="Arial"/>
        </w:rPr>
        <w:t>The c</w:t>
      </w:r>
      <w:r w:rsidR="000629F4">
        <w:rPr>
          <w:rFonts w:ascii="Book Antiqua" w:hAnsi="Book Antiqua" w:cs="Arial"/>
        </w:rPr>
        <w:t>hildren have contact with their mother.</w:t>
      </w:r>
    </w:p>
    <w:p w:rsidR="000629F4" w:rsidRDefault="000629F4" w:rsidP="009C0D39">
      <w:pPr>
        <w:numPr>
          <w:ilvl w:val="0"/>
          <w:numId w:val="4"/>
        </w:numPr>
        <w:spacing w:before="120" w:after="120"/>
        <w:jc w:val="both"/>
        <w:rPr>
          <w:rFonts w:ascii="Book Antiqua" w:hAnsi="Book Antiqua" w:cs="Arial"/>
        </w:rPr>
      </w:pPr>
      <w:r>
        <w:rPr>
          <w:rFonts w:ascii="Book Antiqua" w:hAnsi="Book Antiqua" w:cs="Arial"/>
        </w:rPr>
        <w:t>FIS</w:t>
      </w:r>
      <w:r w:rsidR="000C4803">
        <w:rPr>
          <w:rFonts w:ascii="Book Antiqua" w:hAnsi="Book Antiqua" w:cs="Arial"/>
        </w:rPr>
        <w:t xml:space="preserve"> </w:t>
      </w:r>
      <w:r w:rsidR="00E37277">
        <w:rPr>
          <w:rFonts w:ascii="Book Antiqua" w:hAnsi="Book Antiqua" w:cs="Arial"/>
        </w:rPr>
        <w:t xml:space="preserve">has a </w:t>
      </w:r>
      <w:r w:rsidR="000C4803">
        <w:rPr>
          <w:rFonts w:ascii="Book Antiqua" w:hAnsi="Book Antiqua" w:cs="Arial"/>
        </w:rPr>
        <w:t>new partner with whom she has a child. That child is a British citizen.</w:t>
      </w:r>
    </w:p>
    <w:p w:rsidR="00FD1BDB" w:rsidRDefault="000C4803" w:rsidP="001E4A87">
      <w:pPr>
        <w:numPr>
          <w:ilvl w:val="0"/>
          <w:numId w:val="3"/>
        </w:numPr>
        <w:jc w:val="both"/>
        <w:rPr>
          <w:rFonts w:ascii="Book Antiqua" w:hAnsi="Book Antiqua" w:cs="Arial"/>
        </w:rPr>
      </w:pPr>
      <w:r>
        <w:rPr>
          <w:rFonts w:ascii="Book Antiqua" w:hAnsi="Book Antiqua" w:cs="Arial"/>
        </w:rPr>
        <w:t xml:space="preserve">The fact </w:t>
      </w:r>
      <w:r w:rsidR="00E37277">
        <w:rPr>
          <w:rFonts w:ascii="Book Antiqua" w:hAnsi="Book Antiqua" w:cs="Arial"/>
        </w:rPr>
        <w:t xml:space="preserve">the </w:t>
      </w:r>
      <w:r>
        <w:rPr>
          <w:rFonts w:ascii="Book Antiqua" w:hAnsi="Book Antiqua" w:cs="Arial"/>
        </w:rPr>
        <w:t xml:space="preserve">children currently live with the appellant is not disputed. It was also accepted by the advocates that the issue in this appeal was the reasonableness </w:t>
      </w:r>
      <w:r w:rsidR="00E37277">
        <w:rPr>
          <w:rFonts w:ascii="Book Antiqua" w:hAnsi="Book Antiqua" w:cs="Arial"/>
        </w:rPr>
        <w:t xml:space="preserve">of </w:t>
      </w:r>
      <w:r>
        <w:rPr>
          <w:rFonts w:ascii="Book Antiqua" w:hAnsi="Book Antiqua" w:cs="Arial"/>
        </w:rPr>
        <w:t>expecting the children to return to Sri Lanka and continue their life there with the appellant.</w:t>
      </w:r>
    </w:p>
    <w:p w:rsidR="000C4803" w:rsidRDefault="000C4803" w:rsidP="001E4A87">
      <w:pPr>
        <w:numPr>
          <w:ilvl w:val="0"/>
          <w:numId w:val="3"/>
        </w:numPr>
        <w:jc w:val="both"/>
        <w:rPr>
          <w:rFonts w:ascii="Book Antiqua" w:hAnsi="Book Antiqua" w:cs="Arial"/>
        </w:rPr>
      </w:pPr>
      <w:r>
        <w:rPr>
          <w:rFonts w:ascii="Book Antiqua" w:hAnsi="Book Antiqua" w:cs="Arial"/>
        </w:rPr>
        <w:t xml:space="preserve">Supplemental witness statements </w:t>
      </w:r>
      <w:r w:rsidR="00E37277">
        <w:rPr>
          <w:rFonts w:ascii="Book Antiqua" w:hAnsi="Book Antiqua" w:cs="Arial"/>
        </w:rPr>
        <w:t xml:space="preserve">have been </w:t>
      </w:r>
      <w:r>
        <w:rPr>
          <w:rFonts w:ascii="Book Antiqua" w:hAnsi="Book Antiqua" w:cs="Arial"/>
        </w:rPr>
        <w:t xml:space="preserve">provided </w:t>
      </w:r>
      <w:r w:rsidR="00E37277">
        <w:rPr>
          <w:rFonts w:ascii="Book Antiqua" w:hAnsi="Book Antiqua" w:cs="Arial"/>
        </w:rPr>
        <w:t xml:space="preserve">in </w:t>
      </w:r>
      <w:r>
        <w:rPr>
          <w:rFonts w:ascii="Book Antiqua" w:hAnsi="Book Antiqua" w:cs="Arial"/>
        </w:rPr>
        <w:t xml:space="preserve">which the appellant states the children do not have much understanding of Tamil. Evidence was given </w:t>
      </w:r>
      <w:r w:rsidR="00E37277">
        <w:rPr>
          <w:rFonts w:ascii="Book Antiqua" w:hAnsi="Book Antiqua" w:cs="Arial"/>
        </w:rPr>
        <w:t xml:space="preserve">of </w:t>
      </w:r>
      <w:r>
        <w:rPr>
          <w:rFonts w:ascii="Book Antiqua" w:hAnsi="Book Antiqua" w:cs="Arial"/>
        </w:rPr>
        <w:t xml:space="preserve">ongoing contact between the children and their mother in </w:t>
      </w:r>
      <w:r w:rsidR="00E37277">
        <w:rPr>
          <w:rFonts w:ascii="Book Antiqua" w:hAnsi="Book Antiqua" w:cs="Arial"/>
        </w:rPr>
        <w:t xml:space="preserve">the </w:t>
      </w:r>
      <w:r>
        <w:rPr>
          <w:rFonts w:ascii="Book Antiqua" w:hAnsi="Book Antiqua" w:cs="Arial"/>
        </w:rPr>
        <w:t xml:space="preserve">United Kingdom </w:t>
      </w:r>
      <w:r w:rsidR="00E37277">
        <w:rPr>
          <w:rFonts w:ascii="Book Antiqua" w:hAnsi="Book Antiqua" w:cs="Arial"/>
        </w:rPr>
        <w:t xml:space="preserve">by both </w:t>
      </w:r>
      <w:r>
        <w:rPr>
          <w:rFonts w:ascii="Book Antiqua" w:hAnsi="Book Antiqua" w:cs="Arial"/>
        </w:rPr>
        <w:t xml:space="preserve">indirect </w:t>
      </w:r>
      <w:r w:rsidR="00E37277">
        <w:rPr>
          <w:rFonts w:ascii="Book Antiqua" w:hAnsi="Book Antiqua" w:cs="Arial"/>
        </w:rPr>
        <w:t>telephone or v</w:t>
      </w:r>
      <w:r>
        <w:rPr>
          <w:rFonts w:ascii="Book Antiqua" w:hAnsi="Book Antiqua" w:cs="Arial"/>
        </w:rPr>
        <w:t xml:space="preserve">ideo link </w:t>
      </w:r>
      <w:r w:rsidR="00E37277">
        <w:rPr>
          <w:rFonts w:ascii="Book Antiqua" w:hAnsi="Book Antiqua" w:cs="Arial"/>
        </w:rPr>
        <w:t xml:space="preserve">and </w:t>
      </w:r>
      <w:r>
        <w:rPr>
          <w:rFonts w:ascii="Book Antiqua" w:hAnsi="Book Antiqua" w:cs="Arial"/>
        </w:rPr>
        <w:t xml:space="preserve">occasional direct contact. The children last physically met their mother on 26 April 2018 </w:t>
      </w:r>
      <w:r w:rsidR="00E37277">
        <w:rPr>
          <w:rFonts w:ascii="Book Antiqua" w:hAnsi="Book Antiqua" w:cs="Arial"/>
        </w:rPr>
        <w:t xml:space="preserve">but </w:t>
      </w:r>
      <w:r>
        <w:rPr>
          <w:rFonts w:ascii="Book Antiqua" w:hAnsi="Book Antiqua" w:cs="Arial"/>
        </w:rPr>
        <w:t>have had telephone/video contact since.</w:t>
      </w:r>
    </w:p>
    <w:p w:rsidR="000C4803" w:rsidRDefault="000C4803" w:rsidP="001E4A87">
      <w:pPr>
        <w:numPr>
          <w:ilvl w:val="0"/>
          <w:numId w:val="3"/>
        </w:numPr>
        <w:jc w:val="both"/>
        <w:rPr>
          <w:rFonts w:ascii="Book Antiqua" w:hAnsi="Book Antiqua" w:cs="Arial"/>
        </w:rPr>
      </w:pPr>
      <w:r>
        <w:rPr>
          <w:rFonts w:ascii="Book Antiqua" w:hAnsi="Book Antiqua" w:cs="Arial"/>
        </w:rPr>
        <w:t>Mrs Petterson, in her submissions, accepted the appellant</w:t>
      </w:r>
      <w:r w:rsidR="00E37277">
        <w:rPr>
          <w:rFonts w:ascii="Book Antiqua" w:hAnsi="Book Antiqua" w:cs="Arial"/>
        </w:rPr>
        <w:t>’s</w:t>
      </w:r>
      <w:r>
        <w:rPr>
          <w:rFonts w:ascii="Book Antiqua" w:hAnsi="Book Antiqua" w:cs="Arial"/>
        </w:rPr>
        <w:t xml:space="preserve"> circumstances have changed </w:t>
      </w:r>
      <w:r w:rsidR="00E37277">
        <w:rPr>
          <w:rFonts w:ascii="Book Antiqua" w:hAnsi="Book Antiqua" w:cs="Arial"/>
        </w:rPr>
        <w:t xml:space="preserve">and </w:t>
      </w:r>
      <w:r>
        <w:rPr>
          <w:rFonts w:ascii="Book Antiqua" w:hAnsi="Book Antiqua" w:cs="Arial"/>
        </w:rPr>
        <w:t xml:space="preserve">it </w:t>
      </w:r>
      <w:r w:rsidR="00E37277">
        <w:rPr>
          <w:rFonts w:ascii="Book Antiqua" w:hAnsi="Book Antiqua" w:cs="Arial"/>
        </w:rPr>
        <w:t>i</w:t>
      </w:r>
      <w:r>
        <w:rPr>
          <w:rFonts w:ascii="Book Antiqua" w:hAnsi="Book Antiqua" w:cs="Arial"/>
        </w:rPr>
        <w:t xml:space="preserve">s accepted the eldest child </w:t>
      </w:r>
      <w:r w:rsidR="00E37277">
        <w:rPr>
          <w:rFonts w:ascii="Book Antiqua" w:hAnsi="Book Antiqua" w:cs="Arial"/>
        </w:rPr>
        <w:t xml:space="preserve">has </w:t>
      </w:r>
      <w:r>
        <w:rPr>
          <w:rFonts w:ascii="Book Antiqua" w:hAnsi="Book Antiqua" w:cs="Arial"/>
        </w:rPr>
        <w:t xml:space="preserve">lived in </w:t>
      </w:r>
      <w:r w:rsidR="00E37277">
        <w:rPr>
          <w:rFonts w:ascii="Book Antiqua" w:hAnsi="Book Antiqua" w:cs="Arial"/>
        </w:rPr>
        <w:t xml:space="preserve">the </w:t>
      </w:r>
      <w:r>
        <w:rPr>
          <w:rFonts w:ascii="Book Antiqua" w:hAnsi="Book Antiqua" w:cs="Arial"/>
        </w:rPr>
        <w:t>United Kingdom for at least seven years and that paragraph 276ADE(</w:t>
      </w:r>
      <w:r w:rsidR="00E37277">
        <w:rPr>
          <w:rFonts w:ascii="Book Antiqua" w:hAnsi="Book Antiqua" w:cs="Arial"/>
        </w:rPr>
        <w:t>1</w:t>
      </w:r>
      <w:r>
        <w:rPr>
          <w:rFonts w:ascii="Book Antiqua" w:hAnsi="Book Antiqua" w:cs="Arial"/>
        </w:rPr>
        <w:t>)(iv) is relevant. It was submitted there was a need to consider the family life as a whole in assessing the question of reasonableness.</w:t>
      </w:r>
    </w:p>
    <w:p w:rsidR="000C4803" w:rsidRDefault="000C4803" w:rsidP="001E4A87">
      <w:pPr>
        <w:numPr>
          <w:ilvl w:val="0"/>
          <w:numId w:val="3"/>
        </w:numPr>
        <w:jc w:val="both"/>
        <w:rPr>
          <w:rFonts w:ascii="Book Antiqua" w:hAnsi="Book Antiqua" w:cs="Arial"/>
        </w:rPr>
      </w:pPr>
      <w:r>
        <w:rPr>
          <w:rFonts w:ascii="Book Antiqua" w:hAnsi="Book Antiqua" w:cs="Arial"/>
        </w:rPr>
        <w:t xml:space="preserve">Mrs Petterson submitted it was not unreasonable for the children to go to Sri Lanka with their father. </w:t>
      </w:r>
      <w:r w:rsidR="00E37277">
        <w:rPr>
          <w:rFonts w:ascii="Book Antiqua" w:hAnsi="Book Antiqua" w:cs="Arial"/>
        </w:rPr>
        <w:t xml:space="preserve">There </w:t>
      </w:r>
      <w:r>
        <w:rPr>
          <w:rFonts w:ascii="Book Antiqua" w:hAnsi="Book Antiqua" w:cs="Arial"/>
        </w:rPr>
        <w:t>was no evidence from the children’s mother and no reason for the children only to speak English at home. They could learn Tamil. There is no evidence the children have any relationship with the appellants ex-</w:t>
      </w:r>
      <w:r>
        <w:rPr>
          <w:rFonts w:ascii="Book Antiqua" w:hAnsi="Book Antiqua" w:cs="Arial"/>
        </w:rPr>
        <w:lastRenderedPageBreak/>
        <w:t xml:space="preserve">wife </w:t>
      </w:r>
      <w:r w:rsidR="00E37277">
        <w:rPr>
          <w:rFonts w:ascii="Book Antiqua" w:hAnsi="Book Antiqua" w:cs="Arial"/>
        </w:rPr>
        <w:t xml:space="preserve">and </w:t>
      </w:r>
      <w:r>
        <w:rPr>
          <w:rFonts w:ascii="Book Antiqua" w:hAnsi="Book Antiqua" w:cs="Arial"/>
        </w:rPr>
        <w:t xml:space="preserve">contact via indirect means could carry on with little evidence of physical contact between the children and their mother. It is submitted the children </w:t>
      </w:r>
      <w:r w:rsidR="00E37277">
        <w:rPr>
          <w:rFonts w:ascii="Book Antiqua" w:hAnsi="Book Antiqua" w:cs="Arial"/>
        </w:rPr>
        <w:t xml:space="preserve">have </w:t>
      </w:r>
      <w:r>
        <w:rPr>
          <w:rFonts w:ascii="Book Antiqua" w:hAnsi="Book Antiqua" w:cs="Arial"/>
        </w:rPr>
        <w:t>moved on to a</w:t>
      </w:r>
      <w:r w:rsidR="00E37277">
        <w:rPr>
          <w:rFonts w:ascii="Book Antiqua" w:hAnsi="Book Antiqua" w:cs="Arial"/>
        </w:rPr>
        <w:t xml:space="preserve"> </w:t>
      </w:r>
      <w:r>
        <w:rPr>
          <w:rFonts w:ascii="Book Antiqua" w:hAnsi="Book Antiqua" w:cs="Arial"/>
        </w:rPr>
        <w:t>n</w:t>
      </w:r>
      <w:r w:rsidR="00E37277">
        <w:rPr>
          <w:rFonts w:ascii="Book Antiqua" w:hAnsi="Book Antiqua" w:cs="Arial"/>
        </w:rPr>
        <w:t>ew</w:t>
      </w:r>
      <w:r>
        <w:rPr>
          <w:rFonts w:ascii="Book Antiqua" w:hAnsi="Book Antiqua" w:cs="Arial"/>
        </w:rPr>
        <w:t xml:space="preserve"> relationship and that it was not unreasonable for the children to go to Sri Lanka.</w:t>
      </w:r>
    </w:p>
    <w:p w:rsidR="000C4803" w:rsidRDefault="00E37277" w:rsidP="001E4A87">
      <w:pPr>
        <w:numPr>
          <w:ilvl w:val="0"/>
          <w:numId w:val="3"/>
        </w:numPr>
        <w:jc w:val="both"/>
        <w:rPr>
          <w:rFonts w:ascii="Book Antiqua" w:hAnsi="Book Antiqua" w:cs="Arial"/>
        </w:rPr>
      </w:pPr>
      <w:r>
        <w:rPr>
          <w:rFonts w:ascii="Book Antiqua" w:hAnsi="Book Antiqua" w:cs="Arial"/>
        </w:rPr>
        <w:t xml:space="preserve">It was </w:t>
      </w:r>
      <w:r w:rsidR="000C4803">
        <w:rPr>
          <w:rFonts w:ascii="Book Antiqua" w:hAnsi="Book Antiqua" w:cs="Arial"/>
        </w:rPr>
        <w:t xml:space="preserve">submitted </w:t>
      </w:r>
      <w:r>
        <w:rPr>
          <w:rFonts w:ascii="Book Antiqua" w:hAnsi="Book Antiqua" w:cs="Arial"/>
        </w:rPr>
        <w:t xml:space="preserve">that when </w:t>
      </w:r>
      <w:r w:rsidR="000C4803">
        <w:rPr>
          <w:rFonts w:ascii="Book Antiqua" w:hAnsi="Book Antiqua" w:cs="Arial"/>
        </w:rPr>
        <w:t>considering section 55</w:t>
      </w:r>
      <w:r>
        <w:rPr>
          <w:rFonts w:ascii="Book Antiqua" w:hAnsi="Book Antiqua" w:cs="Arial"/>
        </w:rPr>
        <w:t>,</w:t>
      </w:r>
      <w:r w:rsidR="000C4803">
        <w:rPr>
          <w:rFonts w:ascii="Book Antiqua" w:hAnsi="Book Antiqua" w:cs="Arial"/>
        </w:rPr>
        <w:t xml:space="preserve"> it was still reasonable for the children to go with their father and that the appeal should, accordingly, be dismissed.</w:t>
      </w:r>
    </w:p>
    <w:p w:rsidR="000C4803" w:rsidRDefault="000C4803" w:rsidP="001E4A87">
      <w:pPr>
        <w:numPr>
          <w:ilvl w:val="0"/>
          <w:numId w:val="3"/>
        </w:numPr>
        <w:jc w:val="both"/>
        <w:rPr>
          <w:rFonts w:ascii="Book Antiqua" w:hAnsi="Book Antiqua" w:cs="Arial"/>
        </w:rPr>
      </w:pPr>
      <w:r>
        <w:rPr>
          <w:rFonts w:ascii="Book Antiqua" w:hAnsi="Book Antiqua" w:cs="Arial"/>
        </w:rPr>
        <w:t>Mr Schwenk pose</w:t>
      </w:r>
      <w:r w:rsidR="00E37277">
        <w:rPr>
          <w:rFonts w:ascii="Book Antiqua" w:hAnsi="Book Antiqua" w:cs="Arial"/>
        </w:rPr>
        <w:t>d</w:t>
      </w:r>
      <w:r>
        <w:rPr>
          <w:rFonts w:ascii="Book Antiqua" w:hAnsi="Book Antiqua" w:cs="Arial"/>
        </w:rPr>
        <w:t xml:space="preserve"> the question</w:t>
      </w:r>
      <w:r w:rsidR="00E37277">
        <w:rPr>
          <w:rFonts w:ascii="Book Antiqua" w:hAnsi="Book Antiqua" w:cs="Arial"/>
        </w:rPr>
        <w:t>,</w:t>
      </w:r>
      <w:r>
        <w:rPr>
          <w:rFonts w:ascii="Book Antiqua" w:hAnsi="Book Antiqua" w:cs="Arial"/>
        </w:rPr>
        <w:t xml:space="preserve"> at the outset of his submissions</w:t>
      </w:r>
      <w:r w:rsidR="00E37277">
        <w:rPr>
          <w:rFonts w:ascii="Book Antiqua" w:hAnsi="Book Antiqua" w:cs="Arial"/>
        </w:rPr>
        <w:t>,</w:t>
      </w:r>
      <w:r>
        <w:rPr>
          <w:rFonts w:ascii="Book Antiqua" w:hAnsi="Book Antiqua" w:cs="Arial"/>
        </w:rPr>
        <w:t xml:space="preserve"> which family unit Mrs Petterson was actually referring</w:t>
      </w:r>
      <w:r w:rsidR="00E37277">
        <w:rPr>
          <w:rFonts w:ascii="Book Antiqua" w:hAnsi="Book Antiqua" w:cs="Arial"/>
        </w:rPr>
        <w:t xml:space="preserve"> to</w:t>
      </w:r>
      <w:r>
        <w:rPr>
          <w:rFonts w:ascii="Book Antiqua" w:hAnsi="Book Antiqua" w:cs="Arial"/>
        </w:rPr>
        <w:t xml:space="preserve">. </w:t>
      </w:r>
      <w:r w:rsidR="00E37277">
        <w:rPr>
          <w:rFonts w:ascii="Book Antiqua" w:hAnsi="Book Antiqua" w:cs="Arial"/>
        </w:rPr>
        <w:t xml:space="preserve"> It was submitted </w:t>
      </w:r>
      <w:r>
        <w:rPr>
          <w:rFonts w:ascii="Book Antiqua" w:hAnsi="Book Antiqua" w:cs="Arial"/>
        </w:rPr>
        <w:t xml:space="preserve">there is </w:t>
      </w:r>
      <w:r w:rsidR="00E37277">
        <w:rPr>
          <w:rFonts w:ascii="Book Antiqua" w:hAnsi="Book Antiqua" w:cs="Arial"/>
        </w:rPr>
        <w:t>one f</w:t>
      </w:r>
      <w:r>
        <w:rPr>
          <w:rFonts w:ascii="Book Antiqua" w:hAnsi="Book Antiqua" w:cs="Arial"/>
        </w:rPr>
        <w:t xml:space="preserve">amily unit between the appellant and the children but also </w:t>
      </w:r>
      <w:r w:rsidR="00E37277">
        <w:rPr>
          <w:rFonts w:ascii="Book Antiqua" w:hAnsi="Book Antiqua" w:cs="Arial"/>
        </w:rPr>
        <w:t xml:space="preserve">another with </w:t>
      </w:r>
      <w:r>
        <w:rPr>
          <w:rFonts w:ascii="Book Antiqua" w:hAnsi="Book Antiqua" w:cs="Arial"/>
        </w:rPr>
        <w:t>the children and their mother with whom they would lose direct contact if they had to leave the United Kingdom.</w:t>
      </w:r>
    </w:p>
    <w:p w:rsidR="000C4803" w:rsidRDefault="00E37277" w:rsidP="001E4A87">
      <w:pPr>
        <w:numPr>
          <w:ilvl w:val="0"/>
          <w:numId w:val="3"/>
        </w:numPr>
        <w:jc w:val="both"/>
        <w:rPr>
          <w:rFonts w:ascii="Book Antiqua" w:hAnsi="Book Antiqua" w:cs="Arial"/>
        </w:rPr>
      </w:pPr>
      <w:r>
        <w:rPr>
          <w:rFonts w:ascii="Book Antiqua" w:hAnsi="Book Antiqua" w:cs="Arial"/>
        </w:rPr>
        <w:t xml:space="preserve">It was </w:t>
      </w:r>
      <w:r w:rsidR="000C4803">
        <w:rPr>
          <w:rFonts w:ascii="Book Antiqua" w:hAnsi="Book Antiqua" w:cs="Arial"/>
        </w:rPr>
        <w:t>submitted that a finding</w:t>
      </w:r>
      <w:r>
        <w:rPr>
          <w:rFonts w:ascii="Book Antiqua" w:hAnsi="Book Antiqua" w:cs="Arial"/>
        </w:rPr>
        <w:t xml:space="preserve"> has</w:t>
      </w:r>
      <w:r w:rsidR="000C4803">
        <w:rPr>
          <w:rFonts w:ascii="Book Antiqua" w:hAnsi="Book Antiqua" w:cs="Arial"/>
        </w:rPr>
        <w:t xml:space="preserve"> been made that the mother sees the children and that the appellant had a lot of contact before the children were handed to him</w:t>
      </w:r>
      <w:r>
        <w:rPr>
          <w:rFonts w:ascii="Book Antiqua" w:hAnsi="Book Antiqua" w:cs="Arial"/>
        </w:rPr>
        <w:t xml:space="preserve">.  The </w:t>
      </w:r>
      <w:r w:rsidR="000C4803">
        <w:rPr>
          <w:rFonts w:ascii="Book Antiqua" w:hAnsi="Book Antiqua" w:cs="Arial"/>
        </w:rPr>
        <w:t xml:space="preserve">children </w:t>
      </w:r>
      <w:r>
        <w:rPr>
          <w:rFonts w:ascii="Book Antiqua" w:hAnsi="Book Antiqua" w:cs="Arial"/>
        </w:rPr>
        <w:t xml:space="preserve">have two </w:t>
      </w:r>
      <w:r w:rsidR="000C4803">
        <w:rPr>
          <w:rFonts w:ascii="Book Antiqua" w:hAnsi="Book Antiqua" w:cs="Arial"/>
        </w:rPr>
        <w:t xml:space="preserve">family units, that </w:t>
      </w:r>
      <w:r>
        <w:rPr>
          <w:rFonts w:ascii="Book Antiqua" w:hAnsi="Book Antiqua" w:cs="Arial"/>
        </w:rPr>
        <w:t xml:space="preserve">with </w:t>
      </w:r>
      <w:r w:rsidR="000C4803">
        <w:rPr>
          <w:rFonts w:ascii="Book Antiqua" w:hAnsi="Book Antiqua" w:cs="Arial"/>
        </w:rPr>
        <w:t>their father and mother.</w:t>
      </w:r>
    </w:p>
    <w:p w:rsidR="000C4803" w:rsidRDefault="000C4803" w:rsidP="001E4A87">
      <w:pPr>
        <w:numPr>
          <w:ilvl w:val="0"/>
          <w:numId w:val="3"/>
        </w:numPr>
        <w:jc w:val="both"/>
        <w:rPr>
          <w:rFonts w:ascii="Book Antiqua" w:hAnsi="Book Antiqua" w:cs="Arial"/>
        </w:rPr>
      </w:pPr>
      <w:r>
        <w:rPr>
          <w:rFonts w:ascii="Book Antiqua" w:hAnsi="Book Antiqua" w:cs="Arial"/>
        </w:rPr>
        <w:t xml:space="preserve">Mr Schwenk submitted that interference </w:t>
      </w:r>
      <w:r w:rsidR="00E37277">
        <w:rPr>
          <w:rFonts w:ascii="Book Antiqua" w:hAnsi="Book Antiqua" w:cs="Arial"/>
        </w:rPr>
        <w:t xml:space="preserve">in the children’s </w:t>
      </w:r>
      <w:r>
        <w:rPr>
          <w:rFonts w:ascii="Book Antiqua" w:hAnsi="Book Antiqua" w:cs="Arial"/>
        </w:rPr>
        <w:t>private and family life</w:t>
      </w:r>
      <w:r w:rsidR="00E37277">
        <w:rPr>
          <w:rFonts w:ascii="Book Antiqua" w:hAnsi="Book Antiqua" w:cs="Arial"/>
        </w:rPr>
        <w:t>,</w:t>
      </w:r>
      <w:r>
        <w:rPr>
          <w:rFonts w:ascii="Book Antiqua" w:hAnsi="Book Antiqua" w:cs="Arial"/>
        </w:rPr>
        <w:t xml:space="preserve"> particularly if the children </w:t>
      </w:r>
      <w:r w:rsidR="00E37277">
        <w:rPr>
          <w:rFonts w:ascii="Book Antiqua" w:hAnsi="Book Antiqua" w:cs="Arial"/>
        </w:rPr>
        <w:t xml:space="preserve">cannot see their </w:t>
      </w:r>
      <w:r>
        <w:rPr>
          <w:rFonts w:ascii="Book Antiqua" w:hAnsi="Book Antiqua" w:cs="Arial"/>
        </w:rPr>
        <w:t>mother</w:t>
      </w:r>
      <w:r w:rsidR="00E37277">
        <w:rPr>
          <w:rFonts w:ascii="Book Antiqua" w:hAnsi="Book Antiqua" w:cs="Arial"/>
        </w:rPr>
        <w:t>, is unreasonable</w:t>
      </w:r>
      <w:r>
        <w:rPr>
          <w:rFonts w:ascii="Book Antiqua" w:hAnsi="Book Antiqua" w:cs="Arial"/>
        </w:rPr>
        <w:t xml:space="preserve">. Even if the children could have daily FaceTime contact from Sri Lanka they could not have fortnightly physical contact either with their mother or </w:t>
      </w:r>
      <w:r w:rsidR="00E37277">
        <w:rPr>
          <w:rFonts w:ascii="Book Antiqua" w:hAnsi="Book Antiqua" w:cs="Arial"/>
        </w:rPr>
        <w:t>with t</w:t>
      </w:r>
      <w:r>
        <w:rPr>
          <w:rFonts w:ascii="Book Antiqua" w:hAnsi="Book Antiqua" w:cs="Arial"/>
        </w:rPr>
        <w:t xml:space="preserve">heir mother’s </w:t>
      </w:r>
      <w:r w:rsidR="00E37277">
        <w:rPr>
          <w:rFonts w:ascii="Book Antiqua" w:hAnsi="Book Antiqua" w:cs="Arial"/>
        </w:rPr>
        <w:t xml:space="preserve">new </w:t>
      </w:r>
      <w:r>
        <w:rPr>
          <w:rFonts w:ascii="Book Antiqua" w:hAnsi="Book Antiqua" w:cs="Arial"/>
        </w:rPr>
        <w:t>child. Mr Schwenk referred to the fact children had lived with their half</w:t>
      </w:r>
      <w:r w:rsidR="00E37277">
        <w:rPr>
          <w:rFonts w:ascii="Book Antiqua" w:hAnsi="Book Antiqua" w:cs="Arial"/>
        </w:rPr>
        <w:t>-</w:t>
      </w:r>
      <w:r>
        <w:rPr>
          <w:rFonts w:ascii="Book Antiqua" w:hAnsi="Book Antiqua" w:cs="Arial"/>
        </w:rPr>
        <w:t xml:space="preserve">brother </w:t>
      </w:r>
      <w:r w:rsidR="0050134D">
        <w:rPr>
          <w:rFonts w:ascii="Book Antiqua" w:hAnsi="Book Antiqua" w:cs="Arial"/>
        </w:rPr>
        <w:t xml:space="preserve">and their </w:t>
      </w:r>
      <w:r>
        <w:rPr>
          <w:rFonts w:ascii="Book Antiqua" w:hAnsi="Book Antiqua" w:cs="Arial"/>
        </w:rPr>
        <w:t>mother prior to moving to live with their father.</w:t>
      </w:r>
    </w:p>
    <w:p w:rsidR="000C4803" w:rsidRDefault="0050134D" w:rsidP="001E4A87">
      <w:pPr>
        <w:numPr>
          <w:ilvl w:val="0"/>
          <w:numId w:val="3"/>
        </w:numPr>
        <w:jc w:val="both"/>
        <w:rPr>
          <w:rFonts w:ascii="Book Antiqua" w:hAnsi="Book Antiqua" w:cs="Arial"/>
        </w:rPr>
      </w:pPr>
      <w:r>
        <w:rPr>
          <w:rFonts w:ascii="Book Antiqua" w:hAnsi="Book Antiqua" w:cs="Arial"/>
        </w:rPr>
        <w:t>It was s</w:t>
      </w:r>
      <w:r w:rsidR="000C4803">
        <w:rPr>
          <w:rFonts w:ascii="Book Antiqua" w:hAnsi="Book Antiqua" w:cs="Arial"/>
        </w:rPr>
        <w:t xml:space="preserve">ubmitted both mother and the child </w:t>
      </w:r>
      <w:r>
        <w:rPr>
          <w:rFonts w:ascii="Book Antiqua" w:hAnsi="Book Antiqua" w:cs="Arial"/>
        </w:rPr>
        <w:t xml:space="preserve">are </w:t>
      </w:r>
      <w:r w:rsidR="000C4803">
        <w:rPr>
          <w:rFonts w:ascii="Book Antiqua" w:hAnsi="Book Antiqua" w:cs="Arial"/>
        </w:rPr>
        <w:t xml:space="preserve">British citizens </w:t>
      </w:r>
      <w:r>
        <w:rPr>
          <w:rFonts w:ascii="Book Antiqua" w:hAnsi="Book Antiqua" w:cs="Arial"/>
        </w:rPr>
        <w:t xml:space="preserve">and </w:t>
      </w:r>
      <w:r w:rsidR="000C4803">
        <w:rPr>
          <w:rFonts w:ascii="Book Antiqua" w:hAnsi="Book Antiqua" w:cs="Arial"/>
        </w:rPr>
        <w:t xml:space="preserve">that although the appellant’s mother lost her </w:t>
      </w:r>
      <w:r>
        <w:rPr>
          <w:rFonts w:ascii="Book Antiqua" w:hAnsi="Book Antiqua" w:cs="Arial"/>
        </w:rPr>
        <w:t xml:space="preserve">recent </w:t>
      </w:r>
      <w:r w:rsidR="000C4803">
        <w:rPr>
          <w:rFonts w:ascii="Book Antiqua" w:hAnsi="Book Antiqua" w:cs="Arial"/>
        </w:rPr>
        <w:t>appeal before the First-tier Tribunal</w:t>
      </w:r>
      <w:r>
        <w:rPr>
          <w:rFonts w:ascii="Book Antiqua" w:hAnsi="Book Antiqua" w:cs="Arial"/>
        </w:rPr>
        <w:t>,</w:t>
      </w:r>
      <w:r w:rsidR="000C4803">
        <w:rPr>
          <w:rFonts w:ascii="Book Antiqua" w:hAnsi="Book Antiqua" w:cs="Arial"/>
        </w:rPr>
        <w:t xml:space="preserve"> permission to a</w:t>
      </w:r>
      <w:r>
        <w:rPr>
          <w:rFonts w:ascii="Book Antiqua" w:hAnsi="Book Antiqua" w:cs="Arial"/>
        </w:rPr>
        <w:t>ppeal has been sought from the U</w:t>
      </w:r>
      <w:r w:rsidR="000C4803">
        <w:rPr>
          <w:rFonts w:ascii="Book Antiqua" w:hAnsi="Book Antiqua" w:cs="Arial"/>
        </w:rPr>
        <w:t xml:space="preserve">pper Tribunal although </w:t>
      </w:r>
      <w:r>
        <w:rPr>
          <w:rFonts w:ascii="Book Antiqua" w:hAnsi="Book Antiqua" w:cs="Arial"/>
        </w:rPr>
        <w:t xml:space="preserve">a </w:t>
      </w:r>
      <w:r w:rsidR="000C4803">
        <w:rPr>
          <w:rFonts w:ascii="Book Antiqua" w:hAnsi="Book Antiqua" w:cs="Arial"/>
        </w:rPr>
        <w:t>decision is awaited. Mr Schwenk submitted it was hard to see how</w:t>
      </w:r>
      <w:r>
        <w:rPr>
          <w:rFonts w:ascii="Book Antiqua" w:hAnsi="Book Antiqua" w:cs="Arial"/>
        </w:rPr>
        <w:t xml:space="preserve"> the</w:t>
      </w:r>
      <w:r w:rsidR="000C4803">
        <w:rPr>
          <w:rFonts w:ascii="Book Antiqua" w:hAnsi="Book Antiqua" w:cs="Arial"/>
        </w:rPr>
        <w:t xml:space="preserve"> respondent could remove the appellant’s ex-wife without breaching </w:t>
      </w:r>
      <w:r>
        <w:rPr>
          <w:rFonts w:ascii="Book Antiqua" w:hAnsi="Book Antiqua" w:cs="Arial"/>
        </w:rPr>
        <w:t xml:space="preserve">the </w:t>
      </w:r>
      <w:r w:rsidR="000C4803">
        <w:rPr>
          <w:rFonts w:ascii="Book Antiqua" w:hAnsi="Book Antiqua" w:cs="Arial"/>
        </w:rPr>
        <w:t>Zambrano principle since there is a British Citizen child</w:t>
      </w:r>
      <w:r>
        <w:rPr>
          <w:rFonts w:ascii="Book Antiqua" w:hAnsi="Book Antiqua" w:cs="Arial"/>
        </w:rPr>
        <w:t xml:space="preserve">. </w:t>
      </w:r>
      <w:r w:rsidR="00ED5AD5">
        <w:rPr>
          <w:rFonts w:ascii="Book Antiqua" w:hAnsi="Book Antiqua" w:cs="Arial"/>
        </w:rPr>
        <w:t>Accordingly,</w:t>
      </w:r>
      <w:r>
        <w:rPr>
          <w:rFonts w:ascii="Book Antiqua" w:hAnsi="Book Antiqua" w:cs="Arial"/>
        </w:rPr>
        <w:t xml:space="preserve"> she </w:t>
      </w:r>
      <w:r w:rsidR="000C4803">
        <w:rPr>
          <w:rFonts w:ascii="Book Antiqua" w:hAnsi="Book Antiqua" w:cs="Arial"/>
        </w:rPr>
        <w:t>would have to remain in the United Kingdom.</w:t>
      </w:r>
    </w:p>
    <w:p w:rsidR="000C4803" w:rsidRDefault="0050134D" w:rsidP="001E4A87">
      <w:pPr>
        <w:numPr>
          <w:ilvl w:val="0"/>
          <w:numId w:val="3"/>
        </w:numPr>
        <w:jc w:val="both"/>
        <w:rPr>
          <w:rFonts w:ascii="Book Antiqua" w:hAnsi="Book Antiqua" w:cs="Arial"/>
        </w:rPr>
      </w:pPr>
      <w:r>
        <w:rPr>
          <w:rFonts w:ascii="Book Antiqua" w:hAnsi="Book Antiqua" w:cs="Arial"/>
        </w:rPr>
        <w:t xml:space="preserve">Mr Schwenk </w:t>
      </w:r>
      <w:r w:rsidR="000C4803">
        <w:rPr>
          <w:rFonts w:ascii="Book Antiqua" w:hAnsi="Book Antiqua" w:cs="Arial"/>
        </w:rPr>
        <w:t>submitted section 117</w:t>
      </w:r>
      <w:proofErr w:type="gramStart"/>
      <w:r w:rsidR="000C4803">
        <w:rPr>
          <w:rFonts w:ascii="Book Antiqua" w:hAnsi="Book Antiqua" w:cs="Arial"/>
        </w:rPr>
        <w:t>B(</w:t>
      </w:r>
      <w:proofErr w:type="gramEnd"/>
      <w:r w:rsidR="000C4803">
        <w:rPr>
          <w:rFonts w:ascii="Book Antiqua" w:hAnsi="Book Antiqua" w:cs="Arial"/>
        </w:rPr>
        <w:t>6) is also applicable when considering article 8 outside the Rules which provides that in the case of a person who is not liable to deportation the public interest does not require the person’s removal where (a) the person has a genuine and subsisting parental relationship with a qualifying child, and (</w:t>
      </w:r>
      <w:r>
        <w:rPr>
          <w:rFonts w:ascii="Book Antiqua" w:hAnsi="Book Antiqua" w:cs="Arial"/>
        </w:rPr>
        <w:t>b</w:t>
      </w:r>
      <w:r w:rsidR="000C4803">
        <w:rPr>
          <w:rFonts w:ascii="Book Antiqua" w:hAnsi="Book Antiqua" w:cs="Arial"/>
        </w:rPr>
        <w:t>) it would not be reasonable to expect the child to leave the United Kingdom.</w:t>
      </w:r>
    </w:p>
    <w:p w:rsidR="000C4803" w:rsidRDefault="000C4803" w:rsidP="001E4A87">
      <w:pPr>
        <w:numPr>
          <w:ilvl w:val="0"/>
          <w:numId w:val="3"/>
        </w:numPr>
        <w:jc w:val="both"/>
        <w:rPr>
          <w:rFonts w:ascii="Book Antiqua" w:hAnsi="Book Antiqua" w:cs="Arial"/>
        </w:rPr>
      </w:pPr>
      <w:r>
        <w:rPr>
          <w:rFonts w:ascii="Book Antiqua" w:hAnsi="Book Antiqua" w:cs="Arial"/>
        </w:rPr>
        <w:t xml:space="preserve">Mr Schwenk accepted there </w:t>
      </w:r>
      <w:r w:rsidR="0050134D">
        <w:rPr>
          <w:rFonts w:ascii="Book Antiqua" w:hAnsi="Book Antiqua" w:cs="Arial"/>
        </w:rPr>
        <w:t>i</w:t>
      </w:r>
      <w:r>
        <w:rPr>
          <w:rFonts w:ascii="Book Antiqua" w:hAnsi="Book Antiqua" w:cs="Arial"/>
        </w:rPr>
        <w:t xml:space="preserve">s family in Sri Lanka </w:t>
      </w:r>
      <w:r w:rsidR="0050134D">
        <w:rPr>
          <w:rFonts w:ascii="Book Antiqua" w:hAnsi="Book Antiqua" w:cs="Arial"/>
        </w:rPr>
        <w:t xml:space="preserve">but </w:t>
      </w:r>
      <w:r>
        <w:rPr>
          <w:rFonts w:ascii="Book Antiqua" w:hAnsi="Book Antiqua" w:cs="Arial"/>
        </w:rPr>
        <w:t>that although there may have been contact between the adults there was little or no contact between the children and their relatives in Sri Lanka. It was submitted lack of language was an issue as the children would need to speak Tamil to be educated in Sri Lanka</w:t>
      </w:r>
      <w:r w:rsidR="00DC1E72">
        <w:rPr>
          <w:rFonts w:ascii="Book Antiqua" w:hAnsi="Book Antiqua" w:cs="Arial"/>
        </w:rPr>
        <w:t xml:space="preserve">. </w:t>
      </w:r>
      <w:r w:rsidR="0050134D">
        <w:rPr>
          <w:rFonts w:ascii="Book Antiqua" w:hAnsi="Book Antiqua" w:cs="Arial"/>
        </w:rPr>
        <w:t xml:space="preserve">It was </w:t>
      </w:r>
      <w:r w:rsidR="00DC1E72">
        <w:rPr>
          <w:rFonts w:ascii="Book Antiqua" w:hAnsi="Book Antiqua" w:cs="Arial"/>
        </w:rPr>
        <w:t xml:space="preserve">argued the children would find it difficult to establish bonds without speaking the local language. </w:t>
      </w:r>
      <w:r w:rsidR="0050134D">
        <w:rPr>
          <w:rFonts w:ascii="Book Antiqua" w:hAnsi="Book Antiqua" w:cs="Arial"/>
        </w:rPr>
        <w:t xml:space="preserve">Mr </w:t>
      </w:r>
      <w:r w:rsidR="00DC1E72">
        <w:rPr>
          <w:rFonts w:ascii="Book Antiqua" w:hAnsi="Book Antiqua" w:cs="Arial"/>
        </w:rPr>
        <w:t xml:space="preserve">Schwenk submitted the best interests of children are to remain in the United Kingdom </w:t>
      </w:r>
      <w:r w:rsidR="0050134D">
        <w:rPr>
          <w:rFonts w:ascii="Book Antiqua" w:hAnsi="Book Antiqua" w:cs="Arial"/>
        </w:rPr>
        <w:t xml:space="preserve">and </w:t>
      </w:r>
      <w:r w:rsidR="00DC1E72">
        <w:rPr>
          <w:rFonts w:ascii="Book Antiqua" w:hAnsi="Book Antiqua" w:cs="Arial"/>
        </w:rPr>
        <w:t>that there are strong reasons for finding accordingly.</w:t>
      </w:r>
    </w:p>
    <w:p w:rsidR="00DC1E72" w:rsidRDefault="00DC1E72" w:rsidP="001E4A87">
      <w:pPr>
        <w:numPr>
          <w:ilvl w:val="0"/>
          <w:numId w:val="3"/>
        </w:numPr>
        <w:jc w:val="both"/>
        <w:rPr>
          <w:rFonts w:ascii="Book Antiqua" w:hAnsi="Book Antiqua" w:cs="Arial"/>
        </w:rPr>
      </w:pPr>
      <w:r>
        <w:rPr>
          <w:rFonts w:ascii="Book Antiqua" w:hAnsi="Book Antiqua" w:cs="Arial"/>
        </w:rPr>
        <w:t xml:space="preserve">It is accepted the appellant himself has overstayed </w:t>
      </w:r>
      <w:r w:rsidR="0050134D">
        <w:rPr>
          <w:rFonts w:ascii="Book Antiqua" w:hAnsi="Book Antiqua" w:cs="Arial"/>
        </w:rPr>
        <w:t xml:space="preserve">but </w:t>
      </w:r>
      <w:r>
        <w:rPr>
          <w:rFonts w:ascii="Book Antiqua" w:hAnsi="Book Antiqua" w:cs="Arial"/>
        </w:rPr>
        <w:t>it is submitted there is nothing exceptional about his circumstances that would warrant his removal.</w:t>
      </w:r>
    </w:p>
    <w:p w:rsidR="00DC1E72" w:rsidRDefault="0050134D" w:rsidP="001E4A87">
      <w:pPr>
        <w:numPr>
          <w:ilvl w:val="0"/>
          <w:numId w:val="3"/>
        </w:numPr>
        <w:jc w:val="both"/>
        <w:rPr>
          <w:rFonts w:ascii="Book Antiqua" w:hAnsi="Book Antiqua" w:cs="Arial"/>
        </w:rPr>
      </w:pPr>
      <w:r>
        <w:rPr>
          <w:rFonts w:ascii="Book Antiqua" w:hAnsi="Book Antiqua" w:cs="Arial"/>
        </w:rPr>
        <w:t xml:space="preserve">It was </w:t>
      </w:r>
      <w:r w:rsidR="00DC1E72">
        <w:rPr>
          <w:rFonts w:ascii="Book Antiqua" w:hAnsi="Book Antiqua" w:cs="Arial"/>
        </w:rPr>
        <w:t>submitted there are powerful reasons why</w:t>
      </w:r>
      <w:r>
        <w:rPr>
          <w:rFonts w:ascii="Book Antiqua" w:hAnsi="Book Antiqua" w:cs="Arial"/>
        </w:rPr>
        <w:t xml:space="preserve">, on the </w:t>
      </w:r>
      <w:r w:rsidR="00DC1E72">
        <w:rPr>
          <w:rFonts w:ascii="Book Antiqua" w:hAnsi="Book Antiqua" w:cs="Arial"/>
        </w:rPr>
        <w:t>facts of this matter</w:t>
      </w:r>
      <w:r>
        <w:rPr>
          <w:rFonts w:ascii="Book Antiqua" w:hAnsi="Book Antiqua" w:cs="Arial"/>
        </w:rPr>
        <w:t>,</w:t>
      </w:r>
      <w:r w:rsidR="00DC1E72">
        <w:rPr>
          <w:rFonts w:ascii="Book Antiqua" w:hAnsi="Book Antiqua" w:cs="Arial"/>
        </w:rPr>
        <w:t xml:space="preserve"> the appeal should be allowed.</w:t>
      </w:r>
    </w:p>
    <w:p w:rsidR="0050134D" w:rsidRDefault="0050134D" w:rsidP="001E4A87">
      <w:pPr>
        <w:pStyle w:val="Heading5"/>
        <w:jc w:val="both"/>
        <w:rPr>
          <w:rFonts w:ascii="Book Antiqua" w:hAnsi="Book Antiqua" w:cs="Arial"/>
          <w:sz w:val="24"/>
        </w:rPr>
      </w:pPr>
    </w:p>
    <w:p w:rsidR="00D32B8A" w:rsidRPr="00D32B8A" w:rsidRDefault="00FD1BDB" w:rsidP="001E4A87">
      <w:pPr>
        <w:pStyle w:val="Heading5"/>
        <w:jc w:val="both"/>
        <w:rPr>
          <w:rFonts w:ascii="Book Antiqua" w:hAnsi="Book Antiqua" w:cs="Arial"/>
          <w:sz w:val="24"/>
        </w:rPr>
      </w:pPr>
      <w:r>
        <w:rPr>
          <w:rFonts w:ascii="Book Antiqua" w:hAnsi="Book Antiqua" w:cs="Arial"/>
          <w:sz w:val="24"/>
        </w:rPr>
        <w:t>Discussion</w:t>
      </w:r>
    </w:p>
    <w:p w:rsidR="00D32B8A" w:rsidRPr="00D32B8A" w:rsidRDefault="00D32B8A" w:rsidP="001E4A87">
      <w:pPr>
        <w:ind w:firstLine="60"/>
        <w:jc w:val="both"/>
        <w:rPr>
          <w:rFonts w:ascii="Book Antiqua" w:hAnsi="Book Antiqua" w:cs="Arial"/>
        </w:rPr>
      </w:pPr>
    </w:p>
    <w:p w:rsidR="00D32B8A" w:rsidRDefault="00DC1E72" w:rsidP="001E4A87">
      <w:pPr>
        <w:numPr>
          <w:ilvl w:val="0"/>
          <w:numId w:val="3"/>
        </w:numPr>
        <w:jc w:val="both"/>
        <w:rPr>
          <w:rFonts w:ascii="Book Antiqua" w:hAnsi="Book Antiqua" w:cs="Arial"/>
        </w:rPr>
      </w:pPr>
      <w:r>
        <w:rPr>
          <w:rFonts w:ascii="Book Antiqua" w:hAnsi="Book Antiqua" w:cs="Arial"/>
        </w:rPr>
        <w:t>It is not disputed that if it w</w:t>
      </w:r>
      <w:r w:rsidR="0050134D">
        <w:rPr>
          <w:rFonts w:ascii="Book Antiqua" w:hAnsi="Book Antiqua" w:cs="Arial"/>
        </w:rPr>
        <w:t xml:space="preserve">ere </w:t>
      </w:r>
      <w:r>
        <w:rPr>
          <w:rFonts w:ascii="Book Antiqua" w:hAnsi="Book Antiqua" w:cs="Arial"/>
        </w:rPr>
        <w:t>not for the need to consider the children the appellant’s appeal w</w:t>
      </w:r>
      <w:r w:rsidR="0050134D">
        <w:rPr>
          <w:rFonts w:ascii="Book Antiqua" w:hAnsi="Book Antiqua" w:cs="Arial"/>
        </w:rPr>
        <w:t xml:space="preserve">ould </w:t>
      </w:r>
      <w:r>
        <w:rPr>
          <w:rFonts w:ascii="Book Antiqua" w:hAnsi="Book Antiqua" w:cs="Arial"/>
        </w:rPr>
        <w:t xml:space="preserve">be dismissed as it would be reasonable for him to return to Sri Lanka as a relatively </w:t>
      </w:r>
      <w:r w:rsidR="0050134D">
        <w:rPr>
          <w:rFonts w:ascii="Book Antiqua" w:hAnsi="Book Antiqua" w:cs="Arial"/>
        </w:rPr>
        <w:t xml:space="preserve">young </w:t>
      </w:r>
      <w:r>
        <w:rPr>
          <w:rFonts w:ascii="Book Antiqua" w:hAnsi="Book Antiqua" w:cs="Arial"/>
        </w:rPr>
        <w:t xml:space="preserve">healthy </w:t>
      </w:r>
      <w:r w:rsidR="0050134D">
        <w:rPr>
          <w:rFonts w:ascii="Book Antiqua" w:hAnsi="Book Antiqua" w:cs="Arial"/>
        </w:rPr>
        <w:t>i</w:t>
      </w:r>
      <w:r>
        <w:rPr>
          <w:rFonts w:ascii="Book Antiqua" w:hAnsi="Book Antiqua" w:cs="Arial"/>
        </w:rPr>
        <w:t>ndividual. It is also not disputed that this is a case in which the children have come to live with their father</w:t>
      </w:r>
      <w:r w:rsidR="0050134D">
        <w:rPr>
          <w:rFonts w:ascii="Book Antiqua" w:hAnsi="Book Antiqua" w:cs="Arial"/>
        </w:rPr>
        <w:t>;</w:t>
      </w:r>
      <w:r>
        <w:rPr>
          <w:rFonts w:ascii="Book Antiqua" w:hAnsi="Book Antiqua" w:cs="Arial"/>
        </w:rPr>
        <w:t xml:space="preserve"> as a result of very unfortunate and sad circumstances when their mother, who was the</w:t>
      </w:r>
      <w:r w:rsidR="0050134D">
        <w:rPr>
          <w:rFonts w:ascii="Book Antiqua" w:hAnsi="Book Antiqua" w:cs="Arial"/>
        </w:rPr>
        <w:t>ir</w:t>
      </w:r>
      <w:r>
        <w:rPr>
          <w:rFonts w:ascii="Book Antiqua" w:hAnsi="Book Antiqua" w:cs="Arial"/>
        </w:rPr>
        <w:t xml:space="preserve"> primary carer, had to be admitted to a psychiatric hospital in February 2017 as a result of difficulties she has experienced.</w:t>
      </w:r>
    </w:p>
    <w:p w:rsidR="00DC1E72" w:rsidRDefault="00DC1E72" w:rsidP="001E4A87">
      <w:pPr>
        <w:numPr>
          <w:ilvl w:val="0"/>
          <w:numId w:val="3"/>
        </w:numPr>
        <w:jc w:val="both"/>
        <w:rPr>
          <w:rFonts w:ascii="Book Antiqua" w:hAnsi="Book Antiqua" w:cs="Arial"/>
        </w:rPr>
      </w:pPr>
      <w:r>
        <w:rPr>
          <w:rFonts w:ascii="Book Antiqua" w:hAnsi="Book Antiqua" w:cs="Arial"/>
        </w:rPr>
        <w:t xml:space="preserve">The children have experienced two forms of separation in their lives already the first when the appellant who used to live in the family unit left following the breakdown of the relationship between their father </w:t>
      </w:r>
      <w:r w:rsidR="0050134D">
        <w:rPr>
          <w:rFonts w:ascii="Book Antiqua" w:hAnsi="Book Antiqua" w:cs="Arial"/>
        </w:rPr>
        <w:t xml:space="preserve">and </w:t>
      </w:r>
      <w:r>
        <w:rPr>
          <w:rFonts w:ascii="Book Antiqua" w:hAnsi="Book Antiqua" w:cs="Arial"/>
        </w:rPr>
        <w:t>mother and</w:t>
      </w:r>
      <w:r w:rsidR="0050134D">
        <w:rPr>
          <w:rFonts w:ascii="Book Antiqua" w:hAnsi="Book Antiqua" w:cs="Arial"/>
        </w:rPr>
        <w:t>,</w:t>
      </w:r>
      <w:r>
        <w:rPr>
          <w:rFonts w:ascii="Book Antiqua" w:hAnsi="Book Antiqua" w:cs="Arial"/>
        </w:rPr>
        <w:t xml:space="preserve"> secondly</w:t>
      </w:r>
      <w:r w:rsidR="0050134D">
        <w:rPr>
          <w:rFonts w:ascii="Book Antiqua" w:hAnsi="Book Antiqua" w:cs="Arial"/>
        </w:rPr>
        <w:t>,</w:t>
      </w:r>
      <w:r>
        <w:rPr>
          <w:rFonts w:ascii="Book Antiqua" w:hAnsi="Book Antiqua" w:cs="Arial"/>
        </w:rPr>
        <w:t xml:space="preserve"> when they moved to live with their father. It is not disputed, however, that the children have been looked after by their father since February 2017 in what appears to be a permanent arrangement. It is also not disputed that the appellant is providing a stable home environment for the children.</w:t>
      </w:r>
    </w:p>
    <w:p w:rsidR="00DC1E72" w:rsidRDefault="00DC1E72" w:rsidP="001E4A87">
      <w:pPr>
        <w:numPr>
          <w:ilvl w:val="0"/>
          <w:numId w:val="3"/>
        </w:numPr>
        <w:jc w:val="both"/>
        <w:rPr>
          <w:rFonts w:ascii="Book Antiqua" w:hAnsi="Book Antiqua" w:cs="Arial"/>
        </w:rPr>
      </w:pPr>
      <w:r>
        <w:rPr>
          <w:rFonts w:ascii="Book Antiqua" w:hAnsi="Book Antiqua" w:cs="Arial"/>
        </w:rPr>
        <w:t>If the children were removed from the United Kingdom to accompany their father back to Sri Lanka they would remain in his care albeit in different circumstances. It is not establish</w:t>
      </w:r>
      <w:r w:rsidR="0050134D">
        <w:rPr>
          <w:rFonts w:ascii="Book Antiqua" w:hAnsi="Book Antiqua" w:cs="Arial"/>
        </w:rPr>
        <w:t>ed</w:t>
      </w:r>
      <w:r>
        <w:rPr>
          <w:rFonts w:ascii="Book Antiqua" w:hAnsi="Book Antiqua" w:cs="Arial"/>
        </w:rPr>
        <w:t xml:space="preserve"> the children are British nationals a</w:t>
      </w:r>
      <w:r w:rsidR="0050134D">
        <w:rPr>
          <w:rFonts w:ascii="Book Antiqua" w:hAnsi="Book Antiqua" w:cs="Arial"/>
        </w:rPr>
        <w:t>nd it</w:t>
      </w:r>
      <w:r>
        <w:rPr>
          <w:rFonts w:ascii="Book Antiqua" w:hAnsi="Book Antiqua" w:cs="Arial"/>
        </w:rPr>
        <w:t xml:space="preserve"> must be accepted that the reality of the appellants intervention kept the children </w:t>
      </w:r>
      <w:r w:rsidR="0050134D">
        <w:rPr>
          <w:rFonts w:ascii="Book Antiqua" w:hAnsi="Book Antiqua" w:cs="Arial"/>
        </w:rPr>
        <w:t xml:space="preserve">out of the </w:t>
      </w:r>
      <w:r>
        <w:rPr>
          <w:rFonts w:ascii="Book Antiqua" w:hAnsi="Book Antiqua" w:cs="Arial"/>
        </w:rPr>
        <w:t>care system and in a safe environment in the United Kingdom. It is accepted within that environment the children have developed relationships with the appellant and settled in their community and schooling.</w:t>
      </w:r>
    </w:p>
    <w:p w:rsidR="00DC1E72" w:rsidRDefault="00DC1E72" w:rsidP="001E4A87">
      <w:pPr>
        <w:numPr>
          <w:ilvl w:val="0"/>
          <w:numId w:val="3"/>
        </w:numPr>
        <w:jc w:val="both"/>
        <w:rPr>
          <w:rFonts w:ascii="Book Antiqua" w:hAnsi="Book Antiqua" w:cs="Arial"/>
        </w:rPr>
      </w:pPr>
      <w:r>
        <w:rPr>
          <w:rFonts w:ascii="Book Antiqua" w:hAnsi="Book Antiqua" w:cs="Arial"/>
        </w:rPr>
        <w:t>The children would therefore lose the bonds they have currently formed. One of the children has been in the United Kingdom for more than seven years and so the applicable statutory provision and rules referred to above apply.</w:t>
      </w:r>
    </w:p>
    <w:p w:rsidR="00DC1E72" w:rsidRDefault="00DC1E72" w:rsidP="001E4A87">
      <w:pPr>
        <w:numPr>
          <w:ilvl w:val="0"/>
          <w:numId w:val="3"/>
        </w:numPr>
        <w:jc w:val="both"/>
        <w:rPr>
          <w:rFonts w:ascii="Book Antiqua" w:hAnsi="Book Antiqua" w:cs="Arial"/>
        </w:rPr>
      </w:pPr>
      <w:r>
        <w:rPr>
          <w:rFonts w:ascii="Book Antiqua" w:hAnsi="Book Antiqua" w:cs="Arial"/>
        </w:rPr>
        <w:t>Whether it is reasonable to remove the children is a question of fact. Taking into account the immigration history of the appellant and all that has occurred it is still important to consider the children’s own position. If the children go to Sri Lanka with the appellant it is not made out the</w:t>
      </w:r>
      <w:r w:rsidR="0050134D">
        <w:rPr>
          <w:rFonts w:ascii="Book Antiqua" w:hAnsi="Book Antiqua" w:cs="Arial"/>
        </w:rPr>
        <w:t>y</w:t>
      </w:r>
      <w:r>
        <w:rPr>
          <w:rFonts w:ascii="Book Antiqua" w:hAnsi="Book Antiqua" w:cs="Arial"/>
        </w:rPr>
        <w:t xml:space="preserve"> speak Tamil which is the local language of the area in which they will resettle. It is accepted that English is widely spoken in Sri Lanka </w:t>
      </w:r>
      <w:r w:rsidR="0050134D">
        <w:rPr>
          <w:rFonts w:ascii="Book Antiqua" w:hAnsi="Book Antiqua" w:cs="Arial"/>
        </w:rPr>
        <w:t xml:space="preserve">but </w:t>
      </w:r>
      <w:r>
        <w:rPr>
          <w:rFonts w:ascii="Book Antiqua" w:hAnsi="Book Antiqua" w:cs="Arial"/>
        </w:rPr>
        <w:t xml:space="preserve">that in </w:t>
      </w:r>
      <w:r w:rsidR="0050134D">
        <w:rPr>
          <w:rFonts w:ascii="Book Antiqua" w:hAnsi="Book Antiqua" w:cs="Arial"/>
        </w:rPr>
        <w:t xml:space="preserve">a </w:t>
      </w:r>
      <w:r>
        <w:rPr>
          <w:rFonts w:ascii="Book Antiqua" w:hAnsi="Book Antiqua" w:cs="Arial"/>
        </w:rPr>
        <w:t>Tamil area it is reasonable to expect that to integrate into society and to be able to attend school and follow a curriculum knowledge of Tamil will be required, unless the appellant has the resources to put the children in a school that teaches the curriculum in English only.</w:t>
      </w:r>
    </w:p>
    <w:p w:rsidR="00DC1E72" w:rsidRDefault="00DC1E72" w:rsidP="001E4A87">
      <w:pPr>
        <w:numPr>
          <w:ilvl w:val="0"/>
          <w:numId w:val="3"/>
        </w:numPr>
        <w:jc w:val="both"/>
        <w:rPr>
          <w:rFonts w:ascii="Book Antiqua" w:hAnsi="Book Antiqua" w:cs="Arial"/>
        </w:rPr>
      </w:pPr>
      <w:r>
        <w:rPr>
          <w:rFonts w:ascii="Book Antiqua" w:hAnsi="Book Antiqua" w:cs="Arial"/>
        </w:rPr>
        <w:t xml:space="preserve">Of more importance, perhaps, in relation to this matter is the impact on the children of the loss of the direct contact they have with their mother. As stated, from the date </w:t>
      </w:r>
      <w:r w:rsidR="0050134D">
        <w:rPr>
          <w:rFonts w:ascii="Book Antiqua" w:hAnsi="Book Antiqua" w:cs="Arial"/>
        </w:rPr>
        <w:t xml:space="preserve">the </w:t>
      </w:r>
      <w:r>
        <w:rPr>
          <w:rFonts w:ascii="Book Antiqua" w:hAnsi="Book Antiqua" w:cs="Arial"/>
        </w:rPr>
        <w:t xml:space="preserve">children </w:t>
      </w:r>
      <w:r w:rsidR="0050134D">
        <w:rPr>
          <w:rFonts w:ascii="Book Antiqua" w:hAnsi="Book Antiqua" w:cs="Arial"/>
        </w:rPr>
        <w:t xml:space="preserve">were </w:t>
      </w:r>
      <w:r>
        <w:rPr>
          <w:rFonts w:ascii="Book Antiqua" w:hAnsi="Book Antiqua" w:cs="Arial"/>
        </w:rPr>
        <w:t xml:space="preserve">born </w:t>
      </w:r>
      <w:r w:rsidR="0050134D">
        <w:rPr>
          <w:rFonts w:ascii="Book Antiqua" w:hAnsi="Book Antiqua" w:cs="Arial"/>
        </w:rPr>
        <w:t xml:space="preserve">until </w:t>
      </w:r>
      <w:r>
        <w:rPr>
          <w:rFonts w:ascii="Book Antiqua" w:hAnsi="Book Antiqua" w:cs="Arial"/>
        </w:rPr>
        <w:t xml:space="preserve">2 February 2017 their mother was their primary carer. This is not a case in which the children only have indirect contact by way of video or telephone with their mother as they also have occasional direct face-to-face contact. Such contact may be important to their mother but it is more important for the children </w:t>
      </w:r>
      <w:r w:rsidR="0050134D">
        <w:rPr>
          <w:rFonts w:ascii="Book Antiqua" w:hAnsi="Book Antiqua" w:cs="Arial"/>
        </w:rPr>
        <w:t xml:space="preserve">who </w:t>
      </w:r>
      <w:r>
        <w:rPr>
          <w:rFonts w:ascii="Book Antiqua" w:hAnsi="Book Antiqua" w:cs="Arial"/>
        </w:rPr>
        <w:t xml:space="preserve">must not feel they have been rejected by their mother who was effectively abandoning them. There is therefore </w:t>
      </w:r>
      <w:r w:rsidR="0050134D">
        <w:rPr>
          <w:rFonts w:ascii="Book Antiqua" w:hAnsi="Book Antiqua" w:cs="Arial"/>
        </w:rPr>
        <w:t xml:space="preserve">an </w:t>
      </w:r>
      <w:r>
        <w:rPr>
          <w:rFonts w:ascii="Book Antiqua" w:hAnsi="Book Antiqua" w:cs="Arial"/>
        </w:rPr>
        <w:t xml:space="preserve">arguable psychological aspect to this case in relation to the effect on the children of denying any further face-to-face contact with their mother who it has not been found presents any real risk to them. Such contact may be weekly, fortnightly, monthly </w:t>
      </w:r>
      <w:r>
        <w:rPr>
          <w:rFonts w:ascii="Book Antiqua" w:hAnsi="Book Antiqua" w:cs="Arial"/>
        </w:rPr>
        <w:lastRenderedPageBreak/>
        <w:t>and maybe not as much as may be seen in other cases, but it is the best that can be arranged for these children at this point in time.</w:t>
      </w:r>
    </w:p>
    <w:p w:rsidR="00DC1E72" w:rsidRDefault="00DC1E72" w:rsidP="001E4A87">
      <w:pPr>
        <w:numPr>
          <w:ilvl w:val="0"/>
          <w:numId w:val="3"/>
        </w:numPr>
        <w:jc w:val="both"/>
        <w:rPr>
          <w:rFonts w:ascii="Book Antiqua" w:hAnsi="Book Antiqua" w:cs="Arial"/>
        </w:rPr>
      </w:pPr>
      <w:r>
        <w:rPr>
          <w:rFonts w:ascii="Book Antiqua" w:hAnsi="Book Antiqua" w:cs="Arial"/>
        </w:rPr>
        <w:t>In addition</w:t>
      </w:r>
      <w:r w:rsidR="0050134D">
        <w:rPr>
          <w:rFonts w:ascii="Book Antiqua" w:hAnsi="Book Antiqua" w:cs="Arial"/>
        </w:rPr>
        <w:t>,</w:t>
      </w:r>
      <w:r>
        <w:rPr>
          <w:rFonts w:ascii="Book Antiqua" w:hAnsi="Book Antiqua" w:cs="Arial"/>
        </w:rPr>
        <w:t xml:space="preserve"> the children have a British national half</w:t>
      </w:r>
      <w:r w:rsidR="0050134D">
        <w:rPr>
          <w:rFonts w:ascii="Book Antiqua" w:hAnsi="Book Antiqua" w:cs="Arial"/>
        </w:rPr>
        <w:t>-</w:t>
      </w:r>
      <w:r>
        <w:rPr>
          <w:rFonts w:ascii="Book Antiqua" w:hAnsi="Book Antiqua" w:cs="Arial"/>
        </w:rPr>
        <w:t>brother in the United Kingdom. The children lived with their mother and a half</w:t>
      </w:r>
      <w:r w:rsidR="0050134D">
        <w:rPr>
          <w:rFonts w:ascii="Book Antiqua" w:hAnsi="Book Antiqua" w:cs="Arial"/>
        </w:rPr>
        <w:t>-</w:t>
      </w:r>
      <w:r>
        <w:rPr>
          <w:rFonts w:ascii="Book Antiqua" w:hAnsi="Book Antiqua" w:cs="Arial"/>
        </w:rPr>
        <w:t xml:space="preserve">brother until they came to live with their father and so contact between the siblings is something of which both the appellant’s and younger child have knowledge of. No evidence was provided </w:t>
      </w:r>
      <w:r w:rsidR="0050134D">
        <w:rPr>
          <w:rFonts w:ascii="Book Antiqua" w:hAnsi="Book Antiqua" w:cs="Arial"/>
        </w:rPr>
        <w:t xml:space="preserve">showing an </w:t>
      </w:r>
      <w:r>
        <w:rPr>
          <w:rFonts w:ascii="Book Antiqua" w:hAnsi="Book Antiqua" w:cs="Arial"/>
        </w:rPr>
        <w:t>adverse impact of such contact not be</w:t>
      </w:r>
      <w:r w:rsidR="0050134D">
        <w:rPr>
          <w:rFonts w:ascii="Book Antiqua" w:hAnsi="Book Antiqua" w:cs="Arial"/>
        </w:rPr>
        <w:t xml:space="preserve">ing </w:t>
      </w:r>
      <w:r>
        <w:rPr>
          <w:rFonts w:ascii="Book Antiqua" w:hAnsi="Book Antiqua" w:cs="Arial"/>
        </w:rPr>
        <w:t>able to continue and it is not found that that is the primary reason for the finding reached</w:t>
      </w:r>
      <w:r w:rsidR="0050134D">
        <w:rPr>
          <w:rFonts w:ascii="Book Antiqua" w:hAnsi="Book Antiqua" w:cs="Arial"/>
        </w:rPr>
        <w:t>,</w:t>
      </w:r>
      <w:r>
        <w:rPr>
          <w:rFonts w:ascii="Book Antiqua" w:hAnsi="Book Antiqua" w:cs="Arial"/>
        </w:rPr>
        <w:t xml:space="preserve"> albeit it is part of the factual matrix that needs to be considered in this appeal.</w:t>
      </w:r>
    </w:p>
    <w:p w:rsidR="00DC1E72" w:rsidRDefault="00DC1E72" w:rsidP="001E4A87">
      <w:pPr>
        <w:numPr>
          <w:ilvl w:val="0"/>
          <w:numId w:val="3"/>
        </w:numPr>
        <w:jc w:val="both"/>
        <w:rPr>
          <w:rFonts w:ascii="Book Antiqua" w:hAnsi="Book Antiqua" w:cs="Arial"/>
        </w:rPr>
      </w:pPr>
      <w:r>
        <w:rPr>
          <w:rFonts w:ascii="Book Antiqua" w:hAnsi="Book Antiqua" w:cs="Arial"/>
        </w:rPr>
        <w:t>The core element in this appeal is the consequence of the removal of the appellants from the opportunity to enjoy contact with their mother.</w:t>
      </w:r>
      <w:r w:rsidR="002E2D0A">
        <w:rPr>
          <w:rFonts w:ascii="Book Antiqua" w:hAnsi="Book Antiqua" w:cs="Arial"/>
        </w:rPr>
        <w:t xml:space="preserve"> I do not find in all the circumstances that it is reasonable to take the children away from their current environment in which contact with their mother will form an important element. The appellant is doing his best for his children but he is only one parent and maintaining knowledge and identity of their mother and the ability to spend time with her I consider</w:t>
      </w:r>
      <w:r w:rsidR="0050134D">
        <w:rPr>
          <w:rFonts w:ascii="Book Antiqua" w:hAnsi="Book Antiqua" w:cs="Arial"/>
        </w:rPr>
        <w:t>,</w:t>
      </w:r>
      <w:r w:rsidR="002E2D0A">
        <w:rPr>
          <w:rFonts w:ascii="Book Antiqua" w:hAnsi="Book Antiqua" w:cs="Arial"/>
        </w:rPr>
        <w:t xml:space="preserve"> at this stage in their development</w:t>
      </w:r>
      <w:r w:rsidR="0050134D">
        <w:rPr>
          <w:rFonts w:ascii="Book Antiqua" w:hAnsi="Book Antiqua" w:cs="Arial"/>
        </w:rPr>
        <w:t>,</w:t>
      </w:r>
      <w:r w:rsidR="002E2D0A">
        <w:rPr>
          <w:rFonts w:ascii="Book Antiqua" w:hAnsi="Book Antiqua" w:cs="Arial"/>
        </w:rPr>
        <w:t xml:space="preserve"> makes their removal from the United Kingdom unreasonable.</w:t>
      </w:r>
    </w:p>
    <w:p w:rsidR="002E2D0A" w:rsidRDefault="002E2D0A" w:rsidP="001E4A87">
      <w:pPr>
        <w:numPr>
          <w:ilvl w:val="0"/>
          <w:numId w:val="3"/>
        </w:numPr>
        <w:jc w:val="both"/>
        <w:rPr>
          <w:rFonts w:ascii="Book Antiqua" w:hAnsi="Book Antiqua" w:cs="Arial"/>
        </w:rPr>
      </w:pPr>
      <w:r>
        <w:rPr>
          <w:rFonts w:ascii="Book Antiqua" w:hAnsi="Book Antiqua" w:cs="Arial"/>
        </w:rPr>
        <w:t xml:space="preserve">If the circumstances change and the children’s mother becomes too ill for any future direct contact </w:t>
      </w:r>
      <w:r w:rsidR="0050134D">
        <w:rPr>
          <w:rFonts w:ascii="Book Antiqua" w:hAnsi="Book Antiqua" w:cs="Arial"/>
        </w:rPr>
        <w:t xml:space="preserve">or is deemed </w:t>
      </w:r>
      <w:r>
        <w:rPr>
          <w:rFonts w:ascii="Book Antiqua" w:hAnsi="Book Antiqua" w:cs="Arial"/>
        </w:rPr>
        <w:t>a threat to the children</w:t>
      </w:r>
      <w:r w:rsidR="0050134D">
        <w:rPr>
          <w:rFonts w:ascii="Book Antiqua" w:hAnsi="Book Antiqua" w:cs="Arial"/>
        </w:rPr>
        <w:t>, or her appeal proceedings fail as a result of which</w:t>
      </w:r>
      <w:r w:rsidR="00AF071E">
        <w:rPr>
          <w:rFonts w:ascii="Book Antiqua" w:hAnsi="Book Antiqua" w:cs="Arial"/>
        </w:rPr>
        <w:t xml:space="preserve"> she is to be removed from the United Kingdom,</w:t>
      </w:r>
      <w:r>
        <w:rPr>
          <w:rFonts w:ascii="Book Antiqua" w:hAnsi="Book Antiqua" w:cs="Arial"/>
        </w:rPr>
        <w:t xml:space="preserve"> it is arguable that the decision may be different in that indirect contact can be enjoyed from Sri Lanka as much as the United Kingdom</w:t>
      </w:r>
      <w:r w:rsidR="00AF071E">
        <w:rPr>
          <w:rFonts w:ascii="Book Antiqua" w:hAnsi="Book Antiqua" w:cs="Arial"/>
        </w:rPr>
        <w:t xml:space="preserve"> or direct contact occurred if she is in Sri Lanka.</w:t>
      </w:r>
      <w:r>
        <w:rPr>
          <w:rFonts w:ascii="Book Antiqua" w:hAnsi="Book Antiqua" w:cs="Arial"/>
        </w:rPr>
        <w:t xml:space="preserve"> O</w:t>
      </w:r>
      <w:r w:rsidR="00AF071E">
        <w:rPr>
          <w:rFonts w:ascii="Book Antiqua" w:hAnsi="Book Antiqua" w:cs="Arial"/>
        </w:rPr>
        <w:t xml:space="preserve">n the </w:t>
      </w:r>
      <w:r>
        <w:rPr>
          <w:rFonts w:ascii="Book Antiqua" w:hAnsi="Book Antiqua" w:cs="Arial"/>
        </w:rPr>
        <w:t xml:space="preserve">facts of this matter </w:t>
      </w:r>
      <w:r w:rsidR="00AF071E">
        <w:rPr>
          <w:rFonts w:ascii="Book Antiqua" w:hAnsi="Book Antiqua" w:cs="Arial"/>
        </w:rPr>
        <w:t xml:space="preserve">is currently known, </w:t>
      </w:r>
      <w:r>
        <w:rPr>
          <w:rFonts w:ascii="Book Antiqua" w:hAnsi="Book Antiqua" w:cs="Arial"/>
        </w:rPr>
        <w:t>I find the respondent has failed to discharge the burden upon he</w:t>
      </w:r>
      <w:r w:rsidR="00AF071E">
        <w:rPr>
          <w:rFonts w:ascii="Book Antiqua" w:hAnsi="Book Antiqua" w:cs="Arial"/>
        </w:rPr>
        <w:t xml:space="preserve">r to the </w:t>
      </w:r>
      <w:r>
        <w:rPr>
          <w:rFonts w:ascii="Book Antiqua" w:hAnsi="Book Antiqua" w:cs="Arial"/>
        </w:rPr>
        <w:t>required standard to establish that the decision to remove the appellant from the United Kingdom is proportionate.</w:t>
      </w:r>
    </w:p>
    <w:p w:rsidR="00DC1E72" w:rsidRPr="00D32B8A" w:rsidRDefault="00DC1E72" w:rsidP="001E4A87">
      <w:pPr>
        <w:ind w:left="1080"/>
        <w:jc w:val="both"/>
        <w:rPr>
          <w:rFonts w:ascii="Book Antiqua" w:hAnsi="Book Antiqua" w:cs="Arial"/>
        </w:rPr>
      </w:pPr>
    </w:p>
    <w:p w:rsidR="00D32B8A" w:rsidRDefault="00D32B8A" w:rsidP="001E4A87">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2E2D0A" w:rsidRPr="00D32B8A" w:rsidRDefault="002E2D0A" w:rsidP="001E4A87">
      <w:pPr>
        <w:pStyle w:val="BodyTextIndent"/>
        <w:ind w:left="0"/>
        <w:jc w:val="both"/>
        <w:rPr>
          <w:rFonts w:ascii="Book Antiqua" w:hAnsi="Book Antiqua" w:cs="Arial"/>
          <w:b/>
          <w:bCs/>
          <w:sz w:val="24"/>
          <w:u w:val="single"/>
        </w:rPr>
      </w:pPr>
    </w:p>
    <w:p w:rsidR="00D32B8A" w:rsidRPr="00813355" w:rsidRDefault="008E55FE" w:rsidP="001E4A87">
      <w:pPr>
        <w:pStyle w:val="BodyTextIndent"/>
        <w:numPr>
          <w:ilvl w:val="0"/>
          <w:numId w:val="3"/>
        </w:numPr>
        <w:jc w:val="both"/>
        <w:rPr>
          <w:rFonts w:ascii="Book Antiqua" w:hAnsi="Book Antiqua" w:cs="Arial"/>
          <w:sz w:val="24"/>
          <w:u w:val="single"/>
        </w:rPr>
      </w:pPr>
      <w:r>
        <w:rPr>
          <w:rFonts w:ascii="Book Antiqua" w:hAnsi="Book Antiqua" w:cs="Arial"/>
          <w:b/>
          <w:sz w:val="24"/>
        </w:rPr>
        <w:t>I remake the decision as follows.</w:t>
      </w:r>
      <w:r w:rsidR="00D32B8A" w:rsidRPr="00D32B8A">
        <w:rPr>
          <w:rFonts w:ascii="Book Antiqua" w:hAnsi="Book Antiqua" w:cs="Arial"/>
          <w:b/>
          <w:sz w:val="24"/>
        </w:rPr>
        <w:t xml:space="preserve"> This appeal is allowed</w:t>
      </w:r>
      <w:r w:rsidR="002E2D0A">
        <w:rPr>
          <w:rFonts w:ascii="Book Antiqua" w:hAnsi="Book Antiqua" w:cs="Arial"/>
          <w:b/>
          <w:sz w:val="24"/>
        </w:rPr>
        <w:t>.</w:t>
      </w:r>
    </w:p>
    <w:p w:rsidR="00813355" w:rsidRDefault="00813355" w:rsidP="001E4A87">
      <w:pPr>
        <w:pStyle w:val="BodyTextIndent"/>
        <w:jc w:val="both"/>
        <w:rPr>
          <w:rFonts w:ascii="Book Antiqua" w:hAnsi="Book Antiqua" w:cs="Arial"/>
          <w:b/>
          <w:sz w:val="24"/>
        </w:rPr>
      </w:pPr>
    </w:p>
    <w:p w:rsidR="00813355" w:rsidRPr="00DB5024" w:rsidRDefault="00813355" w:rsidP="001E4A87">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1E4A87">
      <w:pPr>
        <w:pStyle w:val="BodyTextIndent"/>
        <w:ind w:left="360"/>
        <w:jc w:val="both"/>
        <w:rPr>
          <w:rFonts w:ascii="Book Antiqua" w:hAnsi="Book Antiqua" w:cs="Arial"/>
          <w:sz w:val="24"/>
        </w:rPr>
      </w:pPr>
    </w:p>
    <w:p w:rsidR="00813355" w:rsidRPr="00DB5024" w:rsidRDefault="00813355" w:rsidP="001E4A87">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1E4A87">
      <w:pPr>
        <w:pStyle w:val="BodyTextIndent"/>
        <w:ind w:left="360"/>
        <w:jc w:val="both"/>
        <w:rPr>
          <w:rFonts w:ascii="Book Antiqua" w:hAnsi="Book Antiqua" w:cs="Arial"/>
          <w:sz w:val="24"/>
        </w:rPr>
      </w:pPr>
    </w:p>
    <w:p w:rsidR="00813355" w:rsidRDefault="00813355" w:rsidP="001E4A87">
      <w:pPr>
        <w:pStyle w:val="BodyTextIndent"/>
        <w:jc w:val="both"/>
        <w:rPr>
          <w:rFonts w:ascii="Book Antiqua" w:eastAsia="Book Antiqua,Arial" w:hAnsi="Book Antiqua" w:cs="Book Antiqua,Arial"/>
          <w:sz w:val="24"/>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2E2D0A">
        <w:rPr>
          <w:rFonts w:ascii="Book Antiqua" w:eastAsia="Book Antiqua,Arial" w:hAnsi="Book Antiqua" w:cs="Book Antiqua,Arial"/>
          <w:sz w:val="24"/>
        </w:rPr>
        <w:t>.</w:t>
      </w:r>
    </w:p>
    <w:p w:rsidR="00AF071E" w:rsidRPr="008E55FE" w:rsidRDefault="00AF071E" w:rsidP="001E4A87">
      <w:pPr>
        <w:pStyle w:val="BodyTextIndent"/>
        <w:jc w:val="both"/>
        <w:rPr>
          <w:rFonts w:ascii="Book Antiqua" w:hAnsi="Book Antiqua" w:cs="Arial"/>
          <w:sz w:val="24"/>
          <w:u w:val="single"/>
        </w:rPr>
      </w:pPr>
    </w:p>
    <w:p w:rsidR="002E2D0A" w:rsidRDefault="002E2D0A" w:rsidP="00D32B8A">
      <w:pPr>
        <w:pStyle w:val="BodyTextIndent"/>
        <w:ind w:left="0"/>
        <w:rPr>
          <w:rFonts w:ascii="Book Antiqua" w:hAnsi="Book Antiqua" w:cs="Arial"/>
          <w:sz w:val="24"/>
        </w:rPr>
      </w:pPr>
    </w:p>
    <w:p w:rsidR="00D32B8A" w:rsidRPr="00D32B8A" w:rsidRDefault="002E2D0A" w:rsidP="00D32B8A">
      <w:pPr>
        <w:pStyle w:val="BodyTextIndent"/>
        <w:ind w:left="0"/>
        <w:rPr>
          <w:rFonts w:ascii="Book Antiqua" w:hAnsi="Book Antiqua" w:cs="Arial"/>
          <w:sz w:val="24"/>
        </w:rPr>
      </w:pPr>
      <w:r>
        <w:rPr>
          <w:rFonts w:ascii="Book Antiqua" w:hAnsi="Book Antiqua" w:cs="Arial"/>
          <w:sz w:val="24"/>
        </w:rPr>
        <w:t>S</w:t>
      </w:r>
      <w:r w:rsidR="00D32B8A" w:rsidRPr="00D32B8A">
        <w:rPr>
          <w:rFonts w:ascii="Book Antiqua" w:hAnsi="Book Antiqua" w:cs="Arial"/>
          <w:sz w:val="24"/>
        </w:rPr>
        <w:t>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2E2D0A">
        <w:rPr>
          <w:rFonts w:ascii="Book Antiqua" w:hAnsi="Book Antiqua" w:cs="Arial"/>
          <w:color w:val="000000"/>
          <w:sz w:val="24"/>
        </w:rPr>
        <w:t xml:space="preserve">Judge </w:t>
      </w:r>
      <w:r w:rsidR="00E54934">
        <w:rPr>
          <w:rFonts w:ascii="Book Antiqua" w:hAnsi="Book Antiqua" w:cs="Arial"/>
          <w:color w:val="000000"/>
          <w:sz w:val="24"/>
        </w:rPr>
        <w:t>Hanson</w:t>
      </w:r>
    </w:p>
    <w:p w:rsidR="00B95326" w:rsidRPr="00F97703" w:rsidRDefault="00D32B8A" w:rsidP="00160877">
      <w:pPr>
        <w:pStyle w:val="BodyTextIndent"/>
        <w:ind w:left="0"/>
        <w:rPr>
          <w:rFonts w:ascii="Book Antiqua" w:hAnsi="Book Antiqua" w:cs="Arial"/>
          <w:color w:val="000000"/>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1"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2E2D0A">
        <w:rPr>
          <w:rFonts w:ascii="Book Antiqua" w:eastAsia="Arial Unicode MS" w:hAnsi="Arial Unicode MS" w:cs="Arial Unicode MS"/>
          <w:noProof/>
          <w:sz w:val="24"/>
        </w:rPr>
        <w:t>6 July 2018</w:t>
      </w:r>
      <w:r w:rsidRPr="00D32B8A">
        <w:rPr>
          <w:rFonts w:ascii="Book Antiqua" w:hAnsi="Book Antiqua" w:cs="Arial"/>
          <w:sz w:val="24"/>
        </w:rPr>
        <w:fldChar w:fldCharType="end"/>
      </w:r>
      <w:bookmarkEnd w:id="1"/>
    </w:p>
    <w:sectPr w:rsidR="00B95326" w:rsidRPr="00F97703" w:rsidSect="003C4153">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AFC" w:rsidRDefault="00D33AFC">
      <w:r>
        <w:separator/>
      </w:r>
    </w:p>
  </w:endnote>
  <w:endnote w:type="continuationSeparator" w:id="0">
    <w:p w:rsidR="00D33AFC" w:rsidRDefault="00D3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4153" w:rsidRDefault="00FD1BDB" w:rsidP="00593795">
    <w:pPr>
      <w:pStyle w:val="Footer"/>
      <w:jc w:val="center"/>
      <w:rPr>
        <w:rFonts w:ascii="Book Antiqua" w:hAnsi="Book Antiqua" w:cs="Arial"/>
      </w:rPr>
    </w:pPr>
    <w:r w:rsidRPr="003C4153">
      <w:rPr>
        <w:rStyle w:val="PageNumber"/>
        <w:rFonts w:ascii="Book Antiqua" w:hAnsi="Book Antiqua" w:cs="Arial"/>
      </w:rPr>
      <w:fldChar w:fldCharType="begin"/>
    </w:r>
    <w:r w:rsidRPr="003C4153">
      <w:rPr>
        <w:rStyle w:val="PageNumber"/>
        <w:rFonts w:ascii="Book Antiqua" w:hAnsi="Book Antiqua" w:cs="Arial"/>
      </w:rPr>
      <w:instrText xml:space="preserve"> PAGE </w:instrText>
    </w:r>
    <w:r w:rsidRPr="003C4153">
      <w:rPr>
        <w:rStyle w:val="PageNumber"/>
        <w:rFonts w:ascii="Book Antiqua" w:hAnsi="Book Antiqua" w:cs="Arial"/>
      </w:rPr>
      <w:fldChar w:fldCharType="separate"/>
    </w:r>
    <w:r w:rsidR="00CB11B5">
      <w:rPr>
        <w:rStyle w:val="PageNumber"/>
        <w:rFonts w:ascii="Book Antiqua" w:hAnsi="Book Antiqua" w:cs="Arial"/>
        <w:noProof/>
      </w:rPr>
      <w:t>4</w:t>
    </w:r>
    <w:r w:rsidRPr="003C415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4153" w:rsidRDefault="00FD1BDB" w:rsidP="00090CF9">
    <w:pPr>
      <w:jc w:val="center"/>
      <w:rPr>
        <w:rFonts w:ascii="Book Antiqua" w:hAnsi="Book Antiqua" w:cs="Arial"/>
        <w:b/>
      </w:rPr>
    </w:pPr>
    <w:r w:rsidRPr="003C4153">
      <w:rPr>
        <w:rFonts w:ascii="Book Antiqua" w:hAnsi="Book Antiqua" w:cs="Arial"/>
        <w:b/>
        <w:spacing w:val="-6"/>
      </w:rPr>
      <w:t>©</w:t>
    </w:r>
    <w:r w:rsidR="00FB3BB0" w:rsidRPr="003C415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AFC" w:rsidRDefault="00D33AFC">
      <w:r>
        <w:separator/>
      </w:r>
    </w:p>
  </w:footnote>
  <w:footnote w:type="continuationSeparator" w:id="0">
    <w:p w:rsidR="00D33AFC" w:rsidRDefault="00D33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Default="00FD1BDB" w:rsidP="00593795">
    <w:pPr>
      <w:pStyle w:val="Header"/>
      <w:jc w:val="right"/>
      <w:rPr>
        <w:rFonts w:ascii="Book Antiqua" w:hAnsi="Book Antiqua" w:cs="Arial"/>
        <w:sz w:val="16"/>
        <w:szCs w:val="16"/>
      </w:rPr>
    </w:pPr>
    <w:r w:rsidRPr="003C4153">
      <w:rPr>
        <w:rFonts w:ascii="Book Antiqua" w:hAnsi="Book Antiqua" w:cs="Arial"/>
        <w:sz w:val="16"/>
        <w:szCs w:val="16"/>
      </w:rPr>
      <w:t xml:space="preserve">Appeal Number: </w:t>
    </w:r>
    <w:r w:rsidR="000629F4" w:rsidRPr="003C4153">
      <w:rPr>
        <w:rFonts w:ascii="Book Antiqua" w:hAnsi="Book Antiqua" w:cs="Arial"/>
        <w:sz w:val="16"/>
        <w:szCs w:val="16"/>
      </w:rPr>
      <w:t>PA/01621/2015</w:t>
    </w:r>
  </w:p>
  <w:p w:rsidR="003C4153" w:rsidRPr="003C4153" w:rsidRDefault="003C4153"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46E23FC"/>
    <w:multiLevelType w:val="hybridMultilevel"/>
    <w:tmpl w:val="6E4E16FE"/>
    <w:lvl w:ilvl="0" w:tplc="08090019">
      <w:start w:val="1"/>
      <w:numFmt w:val="lowerLetter"/>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F14C538-528A-4431-A552-63678CE8AA0F}"/>
    <w:docVar w:name="dgnword-eventsink" w:val="706102184"/>
  </w:docVars>
  <w:rsids>
    <w:rsidRoot w:val="00C26032"/>
    <w:rsid w:val="00000621"/>
    <w:rsid w:val="0000285C"/>
    <w:rsid w:val="000036C2"/>
    <w:rsid w:val="00033D3D"/>
    <w:rsid w:val="00057601"/>
    <w:rsid w:val="000629F4"/>
    <w:rsid w:val="00062F02"/>
    <w:rsid w:val="00071A7E"/>
    <w:rsid w:val="000746C0"/>
    <w:rsid w:val="00074D1D"/>
    <w:rsid w:val="00090CF9"/>
    <w:rsid w:val="00092580"/>
    <w:rsid w:val="00093D4D"/>
    <w:rsid w:val="000C4803"/>
    <w:rsid w:val="000D5D94"/>
    <w:rsid w:val="000F1A0E"/>
    <w:rsid w:val="001165A7"/>
    <w:rsid w:val="00160877"/>
    <w:rsid w:val="00167D3A"/>
    <w:rsid w:val="001A3082"/>
    <w:rsid w:val="001B186A"/>
    <w:rsid w:val="001B2F75"/>
    <w:rsid w:val="001E4A87"/>
    <w:rsid w:val="001F2716"/>
    <w:rsid w:val="00207617"/>
    <w:rsid w:val="0023134B"/>
    <w:rsid w:val="00237CDE"/>
    <w:rsid w:val="00243EB4"/>
    <w:rsid w:val="0026015E"/>
    <w:rsid w:val="002667BE"/>
    <w:rsid w:val="00270E13"/>
    <w:rsid w:val="00283659"/>
    <w:rsid w:val="002B5149"/>
    <w:rsid w:val="002C6BD4"/>
    <w:rsid w:val="002D68BF"/>
    <w:rsid w:val="002E2D0A"/>
    <w:rsid w:val="002F6B98"/>
    <w:rsid w:val="00324B30"/>
    <w:rsid w:val="00336CBF"/>
    <w:rsid w:val="00343FE3"/>
    <w:rsid w:val="003446EF"/>
    <w:rsid w:val="003546C8"/>
    <w:rsid w:val="003A7CF2"/>
    <w:rsid w:val="003C4153"/>
    <w:rsid w:val="003C5723"/>
    <w:rsid w:val="003C5CE5"/>
    <w:rsid w:val="003E267B"/>
    <w:rsid w:val="003E5773"/>
    <w:rsid w:val="003E7CD1"/>
    <w:rsid w:val="00402B9E"/>
    <w:rsid w:val="00412714"/>
    <w:rsid w:val="00420643"/>
    <w:rsid w:val="004249CB"/>
    <w:rsid w:val="0044127D"/>
    <w:rsid w:val="004448DB"/>
    <w:rsid w:val="00446C9A"/>
    <w:rsid w:val="00452F2B"/>
    <w:rsid w:val="00477193"/>
    <w:rsid w:val="004A1848"/>
    <w:rsid w:val="004A6F4A"/>
    <w:rsid w:val="004E4717"/>
    <w:rsid w:val="0050134D"/>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F1F19"/>
    <w:rsid w:val="00601D8F"/>
    <w:rsid w:val="00611011"/>
    <w:rsid w:val="00611B31"/>
    <w:rsid w:val="00653E97"/>
    <w:rsid w:val="006630CD"/>
    <w:rsid w:val="00676204"/>
    <w:rsid w:val="00684A74"/>
    <w:rsid w:val="00690B8A"/>
    <w:rsid w:val="006F2CF1"/>
    <w:rsid w:val="007038ED"/>
    <w:rsid w:val="00703BC3"/>
    <w:rsid w:val="00704B61"/>
    <w:rsid w:val="007334B3"/>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303B8"/>
    <w:rsid w:val="00833DCE"/>
    <w:rsid w:val="00870C49"/>
    <w:rsid w:val="00871D34"/>
    <w:rsid w:val="008B270C"/>
    <w:rsid w:val="008B382D"/>
    <w:rsid w:val="008B5078"/>
    <w:rsid w:val="008C0005"/>
    <w:rsid w:val="008C3D3D"/>
    <w:rsid w:val="008D4131"/>
    <w:rsid w:val="008E55FE"/>
    <w:rsid w:val="008F1932"/>
    <w:rsid w:val="008F2F5B"/>
    <w:rsid w:val="00907F6B"/>
    <w:rsid w:val="00921062"/>
    <w:rsid w:val="00925AB2"/>
    <w:rsid w:val="00936DD5"/>
    <w:rsid w:val="009722BC"/>
    <w:rsid w:val="009727A3"/>
    <w:rsid w:val="00987774"/>
    <w:rsid w:val="00995C12"/>
    <w:rsid w:val="009A11E8"/>
    <w:rsid w:val="009C0D39"/>
    <w:rsid w:val="009D595D"/>
    <w:rsid w:val="009F5220"/>
    <w:rsid w:val="00A03DE3"/>
    <w:rsid w:val="00A15234"/>
    <w:rsid w:val="00A201AB"/>
    <w:rsid w:val="00A240AA"/>
    <w:rsid w:val="00A253BF"/>
    <w:rsid w:val="00A31C8B"/>
    <w:rsid w:val="00A509FA"/>
    <w:rsid w:val="00A845DC"/>
    <w:rsid w:val="00AE582E"/>
    <w:rsid w:val="00AF071E"/>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26032"/>
    <w:rsid w:val="00C345E1"/>
    <w:rsid w:val="00C43BFD"/>
    <w:rsid w:val="00C51218"/>
    <w:rsid w:val="00C5697F"/>
    <w:rsid w:val="00CB11B5"/>
    <w:rsid w:val="00CB31E6"/>
    <w:rsid w:val="00CB6E35"/>
    <w:rsid w:val="00CE1A46"/>
    <w:rsid w:val="00D20757"/>
    <w:rsid w:val="00D22636"/>
    <w:rsid w:val="00D32B8A"/>
    <w:rsid w:val="00D33AFC"/>
    <w:rsid w:val="00D40FD9"/>
    <w:rsid w:val="00D53769"/>
    <w:rsid w:val="00D63887"/>
    <w:rsid w:val="00D85C13"/>
    <w:rsid w:val="00D9111A"/>
    <w:rsid w:val="00D91BE3"/>
    <w:rsid w:val="00D94AFC"/>
    <w:rsid w:val="00DB70AE"/>
    <w:rsid w:val="00DC1E72"/>
    <w:rsid w:val="00DD5071"/>
    <w:rsid w:val="00DD5C39"/>
    <w:rsid w:val="00DE7DB7"/>
    <w:rsid w:val="00E00A0A"/>
    <w:rsid w:val="00E066DE"/>
    <w:rsid w:val="00E07F57"/>
    <w:rsid w:val="00E303E0"/>
    <w:rsid w:val="00E30683"/>
    <w:rsid w:val="00E37277"/>
    <w:rsid w:val="00E453D8"/>
    <w:rsid w:val="00E50BCE"/>
    <w:rsid w:val="00E533BA"/>
    <w:rsid w:val="00E54934"/>
    <w:rsid w:val="00E574BF"/>
    <w:rsid w:val="00E61292"/>
    <w:rsid w:val="00E77C4D"/>
    <w:rsid w:val="00E80AD9"/>
    <w:rsid w:val="00E81D01"/>
    <w:rsid w:val="00ED5AD5"/>
    <w:rsid w:val="00EE43F3"/>
    <w:rsid w:val="00EE45D8"/>
    <w:rsid w:val="00F22EDA"/>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AE7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2193</Words>
  <Characters>10652</Characters>
  <Application>Microsoft Office Word</Application>
  <DocSecurity>0</DocSecurity>
  <Lines>88</Lines>
  <Paragraphs>25</Paragraphs>
  <ScaleCrop>false</ScaleCrop>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2018-07-24T16:50:00Z</dcterms:created>
  <dcterms:modified xsi:type="dcterms:W3CDTF">2018-07-24T16:51:00Z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