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365" w:rsidRPr="00AE22BD" w:rsidRDefault="00724CAA" w:rsidP="00BF4365">
      <w:pPr>
        <w:jc w:val="center"/>
        <w:rPr>
          <w:rFonts w:ascii="Book Antiqua" w:hAnsi="Book Antiqua" w:cs="Arial"/>
          <w:caps/>
          <w:color w:val="000000"/>
          <w:sz w:val="16"/>
          <w:szCs w:val="16"/>
        </w:rPr>
      </w:pPr>
      <w:r>
        <w:rPr>
          <w:noProof/>
        </w:rPr>
        <w:drawing>
          <wp:inline distT="0" distB="0" distL="0" distR="0" wp14:anchorId="429E27C6" wp14:editId="6FF98805">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BF4365" w:rsidRPr="00AE22BD" w:rsidRDefault="00BF4365" w:rsidP="00780F86">
      <w:pPr>
        <w:tabs>
          <w:tab w:val="right" w:pos="9720"/>
        </w:tabs>
        <w:ind w:right="-82"/>
        <w:rPr>
          <w:rFonts w:ascii="Book Antiqua" w:hAnsi="Book Antiqua" w:cs="Arial"/>
          <w:b/>
          <w:color w:val="000000"/>
        </w:rPr>
      </w:pPr>
      <w:r w:rsidRPr="00AE22BD">
        <w:rPr>
          <w:rFonts w:ascii="Book Antiqua" w:hAnsi="Book Antiqua" w:cs="Arial"/>
          <w:b/>
          <w:color w:val="000000"/>
        </w:rPr>
        <w:t xml:space="preserve">Upper Tribunal </w:t>
      </w:r>
    </w:p>
    <w:p w:rsidR="007B0824" w:rsidRPr="00DD4188" w:rsidRDefault="00BF4365" w:rsidP="00780F86">
      <w:pPr>
        <w:tabs>
          <w:tab w:val="right" w:pos="9720"/>
        </w:tabs>
        <w:ind w:right="-82"/>
        <w:rPr>
          <w:rFonts w:ascii="Book Antiqua" w:hAnsi="Book Antiqua" w:cs="Arial"/>
          <w:b/>
          <w:color w:val="000000"/>
        </w:rPr>
      </w:pPr>
      <w:r w:rsidRPr="00AE22BD">
        <w:rPr>
          <w:rFonts w:ascii="Book Antiqua" w:hAnsi="Book Antiqua" w:cs="Arial"/>
          <w:b/>
          <w:color w:val="000000"/>
        </w:rPr>
        <w:t xml:space="preserve">(Immigration and Asylum </w:t>
      </w:r>
      <w:proofErr w:type="gramStart"/>
      <w:r w:rsidRPr="00AE22BD">
        <w:rPr>
          <w:rFonts w:ascii="Book Antiqua" w:hAnsi="Book Antiqua" w:cs="Arial"/>
          <w:b/>
          <w:color w:val="000000"/>
        </w:rPr>
        <w:t>Chamber)</w:t>
      </w:r>
      <w:r w:rsidR="00DD4188">
        <w:rPr>
          <w:rFonts w:ascii="Book Antiqua" w:hAnsi="Book Antiqua" w:cs="Arial"/>
          <w:b/>
          <w:color w:val="000000"/>
        </w:rPr>
        <w:t xml:space="preserve">   </w:t>
      </w:r>
      <w:proofErr w:type="gramEnd"/>
      <w:r w:rsidR="00DD4188">
        <w:rPr>
          <w:rFonts w:ascii="Book Antiqua" w:hAnsi="Book Antiqua" w:cs="Arial"/>
          <w:b/>
          <w:color w:val="000000"/>
        </w:rPr>
        <w:t xml:space="preserve">                   </w:t>
      </w:r>
      <w:r w:rsidR="00B3524D" w:rsidRPr="00DD4188">
        <w:rPr>
          <w:rFonts w:ascii="Book Antiqua" w:hAnsi="Book Antiqua" w:cs="Arial"/>
          <w:b/>
          <w:color w:val="000000"/>
        </w:rPr>
        <w:t>Appeal Number</w:t>
      </w:r>
      <w:r w:rsidR="00D53769" w:rsidRPr="00DD4188">
        <w:rPr>
          <w:rFonts w:ascii="Book Antiqua" w:hAnsi="Book Antiqua" w:cs="Arial"/>
          <w:b/>
          <w:color w:val="000000"/>
        </w:rPr>
        <w:t>:</w:t>
      </w:r>
      <w:r w:rsidR="00B3524D" w:rsidRPr="00DD4188">
        <w:rPr>
          <w:rFonts w:ascii="Book Antiqua" w:hAnsi="Book Antiqua" w:cs="Arial"/>
          <w:b/>
          <w:color w:val="000000"/>
        </w:rPr>
        <w:t xml:space="preserve"> </w:t>
      </w:r>
      <w:r w:rsidR="002842F5" w:rsidRPr="00DD4188">
        <w:rPr>
          <w:rFonts w:ascii="Book Antiqua" w:hAnsi="Book Antiqua" w:cs="Arial"/>
          <w:b/>
          <w:caps/>
          <w:color w:val="000000"/>
        </w:rPr>
        <w:t>PA/01868/2017</w:t>
      </w:r>
    </w:p>
    <w:p w:rsidR="00C345E1" w:rsidRPr="00AE22BD" w:rsidRDefault="00C345E1" w:rsidP="00C345E1">
      <w:pPr>
        <w:jc w:val="center"/>
        <w:rPr>
          <w:rFonts w:ascii="Book Antiqua" w:hAnsi="Book Antiqua" w:cs="Arial"/>
          <w:color w:val="000000"/>
        </w:rPr>
      </w:pPr>
    </w:p>
    <w:p w:rsidR="00C345E1" w:rsidRPr="00AE22BD" w:rsidRDefault="00C345E1" w:rsidP="00C345E1">
      <w:pPr>
        <w:jc w:val="center"/>
        <w:rPr>
          <w:rFonts w:ascii="Book Antiqua" w:hAnsi="Book Antiqua" w:cs="Arial"/>
          <w:b/>
          <w:color w:val="000000"/>
          <w:u w:val="single"/>
        </w:rPr>
      </w:pPr>
      <w:r w:rsidRPr="00AE22BD">
        <w:rPr>
          <w:rFonts w:ascii="Book Antiqua" w:hAnsi="Book Antiqua" w:cs="Arial"/>
          <w:b/>
          <w:color w:val="000000"/>
          <w:u w:val="single"/>
        </w:rPr>
        <w:t>THE IMMIGRATION ACTS</w:t>
      </w:r>
    </w:p>
    <w:p w:rsidR="00C345E1" w:rsidRPr="00AE22BD"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763"/>
      </w:tblGrid>
      <w:tr w:rsidR="00D22636" w:rsidRPr="00AE22BD" w:rsidTr="00DD4188">
        <w:tc>
          <w:tcPr>
            <w:tcW w:w="5245" w:type="dxa"/>
          </w:tcPr>
          <w:p w:rsidR="00D22636" w:rsidRPr="00AE22BD" w:rsidRDefault="00D22636" w:rsidP="004A1848">
            <w:pPr>
              <w:jc w:val="both"/>
              <w:rPr>
                <w:rFonts w:ascii="Book Antiqua" w:hAnsi="Book Antiqua" w:cs="Arial"/>
                <w:b/>
              </w:rPr>
            </w:pPr>
            <w:r w:rsidRPr="00AE22BD">
              <w:rPr>
                <w:rFonts w:ascii="Book Antiqua" w:hAnsi="Book Antiqua" w:cs="Arial"/>
                <w:b/>
              </w:rPr>
              <w:t xml:space="preserve">Heard at </w:t>
            </w:r>
            <w:r w:rsidR="002842F5">
              <w:rPr>
                <w:rFonts w:ascii="Book Antiqua" w:hAnsi="Book Antiqua" w:cs="Arial"/>
                <w:b/>
              </w:rPr>
              <w:t>Field House</w:t>
            </w:r>
          </w:p>
        </w:tc>
        <w:tc>
          <w:tcPr>
            <w:tcW w:w="4763" w:type="dxa"/>
          </w:tcPr>
          <w:p w:rsidR="00D22636" w:rsidRPr="00AE22BD" w:rsidRDefault="007C61CF" w:rsidP="00093D4D">
            <w:pPr>
              <w:jc w:val="both"/>
              <w:rPr>
                <w:rFonts w:ascii="Book Antiqua" w:hAnsi="Book Antiqua" w:cs="Arial"/>
                <w:b/>
                <w:color w:val="000000"/>
              </w:rPr>
            </w:pPr>
            <w:r>
              <w:rPr>
                <w:rFonts w:ascii="Book Antiqua" w:hAnsi="Book Antiqua" w:cs="Arial"/>
                <w:b/>
                <w:color w:val="000000"/>
              </w:rPr>
              <w:t>Decision &amp; Reasons</w:t>
            </w:r>
            <w:r w:rsidR="00283659" w:rsidRPr="00AE22BD">
              <w:rPr>
                <w:rFonts w:ascii="Book Antiqua" w:hAnsi="Book Antiqua" w:cs="Arial"/>
                <w:b/>
                <w:color w:val="000000"/>
              </w:rPr>
              <w:t xml:space="preserve"> Promulgated</w:t>
            </w:r>
          </w:p>
        </w:tc>
      </w:tr>
      <w:tr w:rsidR="00D22636" w:rsidRPr="00AE22BD" w:rsidTr="00DD4188">
        <w:tc>
          <w:tcPr>
            <w:tcW w:w="5245" w:type="dxa"/>
          </w:tcPr>
          <w:p w:rsidR="00D22636" w:rsidRPr="00AE22BD" w:rsidRDefault="00D22636" w:rsidP="004A1848">
            <w:pPr>
              <w:jc w:val="both"/>
              <w:rPr>
                <w:rFonts w:ascii="Book Antiqua" w:hAnsi="Book Antiqua" w:cs="Arial"/>
                <w:b/>
              </w:rPr>
            </w:pPr>
            <w:r w:rsidRPr="00AE22BD">
              <w:rPr>
                <w:rFonts w:ascii="Book Antiqua" w:hAnsi="Book Antiqua" w:cs="Arial"/>
                <w:b/>
              </w:rPr>
              <w:t xml:space="preserve">On </w:t>
            </w:r>
            <w:r w:rsidR="002842F5">
              <w:rPr>
                <w:rFonts w:ascii="Book Antiqua" w:hAnsi="Book Antiqua" w:cs="Arial"/>
                <w:b/>
              </w:rPr>
              <w:t>12 June 2018</w:t>
            </w:r>
          </w:p>
        </w:tc>
        <w:tc>
          <w:tcPr>
            <w:tcW w:w="4763" w:type="dxa"/>
          </w:tcPr>
          <w:p w:rsidR="00D22636" w:rsidRPr="00AE22BD" w:rsidRDefault="00CD7049" w:rsidP="004A1848">
            <w:pPr>
              <w:jc w:val="both"/>
              <w:rPr>
                <w:rFonts w:ascii="Book Antiqua" w:hAnsi="Book Antiqua" w:cs="Arial"/>
                <w:b/>
              </w:rPr>
            </w:pPr>
            <w:r>
              <w:rPr>
                <w:rFonts w:ascii="Book Antiqua" w:hAnsi="Book Antiqua" w:cs="Arial"/>
                <w:b/>
              </w:rPr>
              <w:t>On 27 June 2018</w:t>
            </w:r>
          </w:p>
        </w:tc>
      </w:tr>
      <w:tr w:rsidR="00D22636" w:rsidRPr="00AE22BD" w:rsidTr="00DD4188">
        <w:tc>
          <w:tcPr>
            <w:tcW w:w="5245" w:type="dxa"/>
          </w:tcPr>
          <w:p w:rsidR="00D22636" w:rsidRPr="00AE22BD" w:rsidRDefault="00D22636" w:rsidP="004A1848">
            <w:pPr>
              <w:jc w:val="both"/>
              <w:rPr>
                <w:rFonts w:ascii="Book Antiqua" w:hAnsi="Book Antiqua" w:cs="Arial"/>
                <w:b/>
              </w:rPr>
            </w:pPr>
          </w:p>
        </w:tc>
        <w:tc>
          <w:tcPr>
            <w:tcW w:w="4763" w:type="dxa"/>
          </w:tcPr>
          <w:p w:rsidR="00D22636" w:rsidRPr="00AE22BD" w:rsidRDefault="00D22636" w:rsidP="004A1848">
            <w:pPr>
              <w:jc w:val="both"/>
              <w:rPr>
                <w:rFonts w:ascii="Book Antiqua" w:hAnsi="Book Antiqua" w:cs="Arial"/>
                <w:b/>
              </w:rPr>
            </w:pPr>
          </w:p>
        </w:tc>
      </w:tr>
    </w:tbl>
    <w:p w:rsidR="00A15234" w:rsidRPr="00AE22BD" w:rsidRDefault="00A15234" w:rsidP="00884204">
      <w:pPr>
        <w:rPr>
          <w:rFonts w:ascii="Book Antiqua" w:hAnsi="Book Antiqua" w:cs="Arial"/>
        </w:rPr>
      </w:pPr>
    </w:p>
    <w:p w:rsidR="00A15234" w:rsidRPr="00AE22BD" w:rsidRDefault="00207617" w:rsidP="00A15234">
      <w:pPr>
        <w:jc w:val="center"/>
        <w:rPr>
          <w:rFonts w:ascii="Book Antiqua" w:hAnsi="Book Antiqua" w:cs="Arial"/>
          <w:b/>
        </w:rPr>
      </w:pPr>
      <w:r w:rsidRPr="00AE22BD">
        <w:rPr>
          <w:rFonts w:ascii="Book Antiqua" w:hAnsi="Book Antiqua" w:cs="Arial"/>
          <w:b/>
        </w:rPr>
        <w:t>Befo</w:t>
      </w:r>
      <w:r w:rsidR="00A15234" w:rsidRPr="00AE22BD">
        <w:rPr>
          <w:rFonts w:ascii="Book Antiqua" w:hAnsi="Book Antiqua" w:cs="Arial"/>
          <w:b/>
        </w:rPr>
        <w:t>re</w:t>
      </w:r>
    </w:p>
    <w:p w:rsidR="00A15234" w:rsidRPr="00AE22BD" w:rsidRDefault="00A15234" w:rsidP="00A15234">
      <w:pPr>
        <w:jc w:val="center"/>
        <w:rPr>
          <w:rFonts w:ascii="Book Antiqua" w:hAnsi="Book Antiqua" w:cs="Arial"/>
          <w:b/>
        </w:rPr>
      </w:pPr>
    </w:p>
    <w:p w:rsidR="00751700" w:rsidRPr="00AE22BD" w:rsidRDefault="00751700" w:rsidP="00751700">
      <w:pPr>
        <w:jc w:val="center"/>
        <w:rPr>
          <w:rFonts w:ascii="Book Antiqua" w:hAnsi="Book Antiqua" w:cs="Arial"/>
          <w:b/>
          <w:color w:val="000000"/>
        </w:rPr>
      </w:pPr>
      <w:r>
        <w:rPr>
          <w:rFonts w:ascii="Book Antiqua" w:hAnsi="Book Antiqua" w:cs="Arial"/>
          <w:b/>
          <w:color w:val="000000"/>
        </w:rPr>
        <w:t>UPPER TRIBUNAL</w:t>
      </w:r>
      <w:r w:rsidRPr="00AE22BD">
        <w:rPr>
          <w:rFonts w:ascii="Book Antiqua" w:hAnsi="Book Antiqua" w:cs="Arial"/>
          <w:b/>
          <w:color w:val="000000"/>
        </w:rPr>
        <w:t xml:space="preserve"> JUDGE </w:t>
      </w:r>
      <w:r>
        <w:rPr>
          <w:rFonts w:ascii="Book Antiqua" w:hAnsi="Book Antiqua" w:cs="Arial"/>
          <w:b/>
          <w:color w:val="000000"/>
        </w:rPr>
        <w:t>PITT</w:t>
      </w:r>
    </w:p>
    <w:p w:rsidR="002842F5" w:rsidRDefault="002842F5" w:rsidP="00A15234">
      <w:pPr>
        <w:jc w:val="center"/>
        <w:rPr>
          <w:rFonts w:ascii="Book Antiqua" w:hAnsi="Book Antiqua" w:cs="Arial"/>
          <w:b/>
          <w:color w:val="000000"/>
        </w:rPr>
      </w:pPr>
      <w:r>
        <w:rPr>
          <w:rFonts w:ascii="Book Antiqua" w:hAnsi="Book Antiqua" w:cs="Arial"/>
          <w:b/>
          <w:color w:val="000000"/>
        </w:rPr>
        <w:t>DEPUTY UPPER TRIBUNAL JUDGE HILL QC</w:t>
      </w:r>
    </w:p>
    <w:p w:rsidR="001B186A" w:rsidRPr="00AE22BD" w:rsidRDefault="001B186A" w:rsidP="00A15234">
      <w:pPr>
        <w:jc w:val="center"/>
        <w:rPr>
          <w:rFonts w:ascii="Book Antiqua" w:hAnsi="Book Antiqua" w:cs="Arial"/>
          <w:b/>
          <w:color w:val="000000"/>
        </w:rPr>
      </w:pPr>
    </w:p>
    <w:p w:rsidR="00A845DC" w:rsidRPr="00AE22BD" w:rsidRDefault="00A845DC" w:rsidP="00A15234">
      <w:pPr>
        <w:jc w:val="center"/>
        <w:rPr>
          <w:rFonts w:ascii="Book Antiqua" w:hAnsi="Book Antiqua" w:cs="Arial"/>
          <w:b/>
        </w:rPr>
      </w:pPr>
      <w:r w:rsidRPr="00AE22BD">
        <w:rPr>
          <w:rFonts w:ascii="Book Antiqua" w:hAnsi="Book Antiqua" w:cs="Arial"/>
          <w:b/>
        </w:rPr>
        <w:t>Between</w:t>
      </w:r>
    </w:p>
    <w:p w:rsidR="00A845DC" w:rsidRDefault="00A845DC" w:rsidP="00A15234">
      <w:pPr>
        <w:jc w:val="center"/>
        <w:rPr>
          <w:rFonts w:ascii="Book Antiqua" w:hAnsi="Book Antiqua" w:cs="Arial"/>
          <w:b/>
        </w:rPr>
      </w:pPr>
    </w:p>
    <w:p w:rsidR="00DD4188" w:rsidRPr="00AE22BD" w:rsidRDefault="00DD4188" w:rsidP="00A15234">
      <w:pPr>
        <w:jc w:val="center"/>
        <w:rPr>
          <w:rFonts w:ascii="Book Antiqua" w:hAnsi="Book Antiqua" w:cs="Arial"/>
          <w:b/>
        </w:rPr>
      </w:pPr>
      <w:r>
        <w:rPr>
          <w:rFonts w:ascii="Book Antiqua" w:hAnsi="Book Antiqua" w:cs="Arial"/>
          <w:b/>
        </w:rPr>
        <w:t>THE SECRETARY OF STATE FOR THE HOME DEPARTMENT</w:t>
      </w:r>
    </w:p>
    <w:p w:rsidR="00704B61" w:rsidRPr="00AE22BD" w:rsidRDefault="00704B61" w:rsidP="00704B61">
      <w:pPr>
        <w:jc w:val="right"/>
        <w:rPr>
          <w:rFonts w:ascii="Book Antiqua" w:hAnsi="Book Antiqua" w:cs="Arial"/>
          <w:u w:val="single"/>
        </w:rPr>
      </w:pPr>
      <w:r w:rsidRPr="00AE22BD">
        <w:rPr>
          <w:rFonts w:ascii="Book Antiqua" w:hAnsi="Book Antiqua" w:cs="Arial"/>
          <w:u w:val="single"/>
        </w:rPr>
        <w:t>Appellant</w:t>
      </w:r>
    </w:p>
    <w:p w:rsidR="00DD4188" w:rsidRDefault="00DD4188" w:rsidP="00704B61">
      <w:pPr>
        <w:jc w:val="center"/>
        <w:rPr>
          <w:rFonts w:ascii="Book Antiqua" w:hAnsi="Book Antiqua" w:cs="Arial"/>
          <w:b/>
        </w:rPr>
      </w:pPr>
    </w:p>
    <w:p w:rsidR="00704B61" w:rsidRPr="00AE22BD" w:rsidRDefault="00DD5071" w:rsidP="00704B61">
      <w:pPr>
        <w:jc w:val="center"/>
        <w:rPr>
          <w:rFonts w:ascii="Book Antiqua" w:hAnsi="Book Antiqua" w:cs="Arial"/>
          <w:b/>
        </w:rPr>
      </w:pPr>
      <w:r w:rsidRPr="00AE22BD">
        <w:rPr>
          <w:rFonts w:ascii="Book Antiqua" w:hAnsi="Book Antiqua" w:cs="Arial"/>
          <w:b/>
        </w:rPr>
        <w:t>and</w:t>
      </w:r>
    </w:p>
    <w:p w:rsidR="00DD5071" w:rsidRPr="00AE22BD" w:rsidRDefault="00DD5071" w:rsidP="00704B61">
      <w:pPr>
        <w:jc w:val="center"/>
        <w:rPr>
          <w:rFonts w:ascii="Book Antiqua" w:hAnsi="Book Antiqua" w:cs="Arial"/>
          <w:b/>
        </w:rPr>
      </w:pPr>
    </w:p>
    <w:p w:rsidR="00DD5071" w:rsidRPr="00AE22BD" w:rsidRDefault="002842F5" w:rsidP="00704B61">
      <w:pPr>
        <w:jc w:val="center"/>
        <w:rPr>
          <w:rFonts w:ascii="Book Antiqua" w:hAnsi="Book Antiqua" w:cs="Arial"/>
          <w:b/>
        </w:rPr>
      </w:pPr>
      <w:r>
        <w:rPr>
          <w:rFonts w:ascii="Book Antiqua" w:hAnsi="Book Antiqua" w:cs="Arial"/>
          <w:b/>
        </w:rPr>
        <w:t>MR CRISTIAN-IOAN BLAJ</w:t>
      </w:r>
    </w:p>
    <w:p w:rsidR="00DD5071" w:rsidRPr="00DD4188" w:rsidRDefault="002842F5" w:rsidP="002842F5">
      <w:pPr>
        <w:jc w:val="center"/>
        <w:rPr>
          <w:rFonts w:ascii="Book Antiqua" w:hAnsi="Book Antiqua" w:cs="Arial"/>
          <w:caps/>
        </w:rPr>
      </w:pPr>
      <w:r w:rsidRPr="00DD4188">
        <w:rPr>
          <w:rFonts w:ascii="Book Antiqua" w:hAnsi="Book Antiqua" w:cs="Arial"/>
          <w:caps/>
        </w:rPr>
        <w:t>(ANONYMITY DIRECTION NOT MADE)</w:t>
      </w:r>
    </w:p>
    <w:p w:rsidR="00DD5071" w:rsidRPr="00AE22BD" w:rsidRDefault="00DD5071" w:rsidP="00DD5071">
      <w:pPr>
        <w:jc w:val="right"/>
        <w:rPr>
          <w:rFonts w:ascii="Book Antiqua" w:hAnsi="Book Antiqua" w:cs="Arial"/>
          <w:u w:val="single"/>
        </w:rPr>
      </w:pPr>
      <w:r w:rsidRPr="00AE22BD">
        <w:rPr>
          <w:rFonts w:ascii="Book Antiqua" w:hAnsi="Book Antiqua" w:cs="Arial"/>
          <w:u w:val="single"/>
        </w:rPr>
        <w:t>Respondent</w:t>
      </w:r>
    </w:p>
    <w:p w:rsidR="00DD5071" w:rsidRPr="00AE22BD" w:rsidRDefault="00DD5071" w:rsidP="00DD5071">
      <w:pPr>
        <w:rPr>
          <w:rFonts w:ascii="Book Antiqua" w:hAnsi="Book Antiqua" w:cs="Arial"/>
          <w:u w:val="single"/>
        </w:rPr>
      </w:pPr>
    </w:p>
    <w:p w:rsidR="00DD5071" w:rsidRPr="00AE22BD" w:rsidRDefault="00DE7DB7" w:rsidP="00DD5071">
      <w:pPr>
        <w:rPr>
          <w:rFonts w:ascii="Book Antiqua" w:hAnsi="Book Antiqua" w:cs="Arial"/>
        </w:rPr>
      </w:pPr>
      <w:r w:rsidRPr="00AE22BD">
        <w:rPr>
          <w:rFonts w:ascii="Book Antiqua" w:hAnsi="Book Antiqua" w:cs="Arial"/>
          <w:b/>
          <w:u w:val="single"/>
        </w:rPr>
        <w:t>Representation</w:t>
      </w:r>
      <w:r w:rsidRPr="00AE22BD">
        <w:rPr>
          <w:rFonts w:ascii="Book Antiqua" w:hAnsi="Book Antiqua" w:cs="Arial"/>
          <w:b/>
        </w:rPr>
        <w:t>:</w:t>
      </w:r>
    </w:p>
    <w:p w:rsidR="00DE7DB7" w:rsidRPr="00AE22BD" w:rsidRDefault="00DE7DB7" w:rsidP="00DD5071">
      <w:pPr>
        <w:rPr>
          <w:rFonts w:ascii="Book Antiqua" w:hAnsi="Book Antiqua" w:cs="Arial"/>
        </w:rPr>
      </w:pPr>
    </w:p>
    <w:p w:rsidR="00DE7DB7" w:rsidRPr="00AE22BD" w:rsidRDefault="00DE7DB7" w:rsidP="00DE7DB7">
      <w:pPr>
        <w:tabs>
          <w:tab w:val="left" w:pos="2520"/>
        </w:tabs>
        <w:rPr>
          <w:rFonts w:ascii="Book Antiqua" w:hAnsi="Book Antiqua" w:cs="Arial"/>
        </w:rPr>
      </w:pPr>
      <w:r w:rsidRPr="00AE22BD">
        <w:rPr>
          <w:rFonts w:ascii="Book Antiqua" w:hAnsi="Book Antiqua" w:cs="Arial"/>
        </w:rPr>
        <w:t>For the Appellant:</w:t>
      </w:r>
      <w:r w:rsidRPr="00AE22BD">
        <w:rPr>
          <w:rFonts w:ascii="Book Antiqua" w:hAnsi="Book Antiqua" w:cs="Arial"/>
        </w:rPr>
        <w:tab/>
      </w:r>
      <w:r w:rsidR="002842F5">
        <w:rPr>
          <w:rFonts w:ascii="Book Antiqua" w:hAnsi="Book Antiqua" w:cs="Arial"/>
        </w:rPr>
        <w:t xml:space="preserve">Ms A Holmes, Senior Home Office Presenting Officer </w:t>
      </w:r>
    </w:p>
    <w:p w:rsidR="00DE7DB7" w:rsidRPr="00AE22BD" w:rsidRDefault="00DE7DB7" w:rsidP="00DE7DB7">
      <w:pPr>
        <w:tabs>
          <w:tab w:val="left" w:pos="2520"/>
        </w:tabs>
        <w:rPr>
          <w:rFonts w:ascii="Book Antiqua" w:hAnsi="Book Antiqua" w:cs="Arial"/>
        </w:rPr>
      </w:pPr>
      <w:r w:rsidRPr="00AE22BD">
        <w:rPr>
          <w:rFonts w:ascii="Book Antiqua" w:hAnsi="Book Antiqua" w:cs="Arial"/>
        </w:rPr>
        <w:t>For the Respondent:</w:t>
      </w:r>
      <w:r w:rsidRPr="00AE22BD">
        <w:rPr>
          <w:rFonts w:ascii="Book Antiqua" w:hAnsi="Book Antiqua" w:cs="Arial"/>
        </w:rPr>
        <w:tab/>
      </w:r>
      <w:r w:rsidR="002842F5">
        <w:rPr>
          <w:rFonts w:ascii="Book Antiqua" w:hAnsi="Book Antiqua" w:cs="Arial"/>
        </w:rPr>
        <w:t>In person</w:t>
      </w:r>
    </w:p>
    <w:p w:rsidR="00DE7DB7" w:rsidRPr="00AE22BD" w:rsidRDefault="00DE7DB7" w:rsidP="00402B9E">
      <w:pPr>
        <w:tabs>
          <w:tab w:val="left" w:pos="2520"/>
        </w:tabs>
        <w:jc w:val="center"/>
        <w:rPr>
          <w:rFonts w:ascii="Book Antiqua" w:hAnsi="Book Antiqua" w:cs="Arial"/>
        </w:rPr>
      </w:pPr>
    </w:p>
    <w:p w:rsidR="00DE7DB7" w:rsidRPr="00AE22BD" w:rsidRDefault="00DE7DB7" w:rsidP="00402B9E">
      <w:pPr>
        <w:tabs>
          <w:tab w:val="left" w:pos="2520"/>
        </w:tabs>
        <w:jc w:val="center"/>
        <w:rPr>
          <w:rFonts w:ascii="Book Antiqua" w:hAnsi="Book Antiqua" w:cs="Arial"/>
        </w:rPr>
      </w:pPr>
    </w:p>
    <w:p w:rsidR="00DE7DB7" w:rsidRPr="00AE22BD" w:rsidRDefault="007C61CF"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AE22BD">
        <w:rPr>
          <w:rFonts w:ascii="Book Antiqua" w:hAnsi="Book Antiqua" w:cs="Arial"/>
          <w:b/>
          <w:u w:val="single"/>
        </w:rPr>
        <w:t>AND REASONS</w:t>
      </w:r>
    </w:p>
    <w:p w:rsidR="00402B9E" w:rsidRDefault="00402B9E" w:rsidP="00402B9E">
      <w:pPr>
        <w:tabs>
          <w:tab w:val="left" w:pos="2520"/>
        </w:tabs>
        <w:jc w:val="both"/>
        <w:rPr>
          <w:rFonts w:ascii="Book Antiqua" w:hAnsi="Book Antiqua" w:cs="Arial"/>
        </w:rPr>
      </w:pPr>
    </w:p>
    <w:p w:rsidR="002842F5" w:rsidRDefault="002842F5" w:rsidP="002842F5">
      <w:pPr>
        <w:numPr>
          <w:ilvl w:val="0"/>
          <w:numId w:val="1"/>
        </w:numPr>
        <w:tabs>
          <w:tab w:val="clear" w:pos="567"/>
        </w:tabs>
        <w:spacing w:before="240"/>
        <w:jc w:val="both"/>
        <w:rPr>
          <w:rFonts w:ascii="Book Antiqua" w:hAnsi="Book Antiqua" w:cs="Arial"/>
        </w:rPr>
      </w:pPr>
      <w:r>
        <w:rPr>
          <w:rFonts w:ascii="Book Antiqua" w:hAnsi="Book Antiqua" w:cs="Arial"/>
        </w:rPr>
        <w:t xml:space="preserve">This decision is a re-making of the protection and human rights claim of Mr Blaj.  It follows a decision issued on 9 May 2018 of Deputy Upper Tribunal Judge Hill QC which found an error of law in the decision promulgated on 26 January 2018 of First-tier Tribunal Judge Herbert OBE.  </w:t>
      </w:r>
    </w:p>
    <w:p w:rsidR="002842F5" w:rsidRDefault="002842F5" w:rsidP="002842F5">
      <w:pPr>
        <w:numPr>
          <w:ilvl w:val="0"/>
          <w:numId w:val="1"/>
        </w:numPr>
        <w:tabs>
          <w:tab w:val="clear" w:pos="567"/>
        </w:tabs>
        <w:spacing w:before="240"/>
        <w:jc w:val="both"/>
        <w:rPr>
          <w:rFonts w:ascii="Book Antiqua" w:hAnsi="Book Antiqua" w:cs="Arial"/>
        </w:rPr>
      </w:pPr>
      <w:r>
        <w:rPr>
          <w:rFonts w:ascii="Book Antiqua" w:hAnsi="Book Antiqua" w:cs="Arial"/>
        </w:rPr>
        <w:t xml:space="preserve">For the purposes of this decision we refer to the Secretary of State for the Home Department as the respondent and to Mr Blaj as the appellant, reflecting their positions before the First-tier Tribunal. </w:t>
      </w:r>
    </w:p>
    <w:p w:rsidR="006733E0" w:rsidRDefault="006733E0" w:rsidP="002842F5">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Mr Blaj is </w:t>
      </w:r>
      <w:r w:rsidR="002842F5">
        <w:rPr>
          <w:rFonts w:ascii="Book Antiqua" w:hAnsi="Book Antiqua" w:cs="Arial"/>
        </w:rPr>
        <w:t>a Romanian citizen, born on 12 October 1982</w:t>
      </w:r>
      <w:r>
        <w:rPr>
          <w:rFonts w:ascii="Book Antiqua" w:hAnsi="Book Antiqua" w:cs="Arial"/>
        </w:rPr>
        <w:t xml:space="preserve">. </w:t>
      </w:r>
    </w:p>
    <w:p w:rsidR="006733E0" w:rsidRDefault="006733E0" w:rsidP="002842F5">
      <w:pPr>
        <w:numPr>
          <w:ilvl w:val="0"/>
          <w:numId w:val="1"/>
        </w:numPr>
        <w:tabs>
          <w:tab w:val="clear" w:pos="567"/>
        </w:tabs>
        <w:spacing w:before="240"/>
        <w:jc w:val="both"/>
        <w:rPr>
          <w:rFonts w:ascii="Book Antiqua" w:hAnsi="Book Antiqua" w:cs="Arial"/>
        </w:rPr>
      </w:pPr>
      <w:r>
        <w:rPr>
          <w:rFonts w:ascii="Book Antiqua" w:hAnsi="Book Antiqua" w:cs="Arial"/>
        </w:rPr>
        <w:t>The b</w:t>
      </w:r>
      <w:r w:rsidR="00DB74CE">
        <w:rPr>
          <w:rFonts w:ascii="Book Antiqua" w:hAnsi="Book Antiqua" w:cs="Arial"/>
        </w:rPr>
        <w:t>ackground to this matter is Mr Blaj</w:t>
      </w:r>
      <w:r>
        <w:rPr>
          <w:rFonts w:ascii="Book Antiqua" w:hAnsi="Book Antiqua" w:cs="Arial"/>
        </w:rPr>
        <w:t xml:space="preserve"> </w:t>
      </w:r>
      <w:r w:rsidR="002842F5">
        <w:rPr>
          <w:rFonts w:ascii="Book Antiqua" w:hAnsi="Book Antiqua" w:cs="Arial"/>
        </w:rPr>
        <w:t>came to the UK in 2007.  On 21 November 2007 he was issued with a registration certificate reflectin</w:t>
      </w:r>
      <w:r w:rsidR="00DB74CE">
        <w:rPr>
          <w:rFonts w:ascii="Book Antiqua" w:hAnsi="Book Antiqua" w:cs="Arial"/>
        </w:rPr>
        <w:t xml:space="preserve">g his lawful presence in the UK. </w:t>
      </w:r>
      <w:r w:rsidR="002842F5">
        <w:rPr>
          <w:rFonts w:ascii="Book Antiqua" w:hAnsi="Book Antiqua" w:cs="Arial"/>
        </w:rPr>
        <w:t>On 21 November 20</w:t>
      </w:r>
      <w:r>
        <w:rPr>
          <w:rFonts w:ascii="Book Antiqua" w:hAnsi="Book Antiqua" w:cs="Arial"/>
        </w:rPr>
        <w:t>13 the appellant was arrested under a</w:t>
      </w:r>
      <w:r w:rsidR="002842F5">
        <w:rPr>
          <w:rFonts w:ascii="Book Antiqua" w:hAnsi="Book Antiqua" w:cs="Arial"/>
        </w:rPr>
        <w:t xml:space="preserve"> European Arrest W</w:t>
      </w:r>
      <w:r w:rsidR="00DB74CE">
        <w:rPr>
          <w:rFonts w:ascii="Book Antiqua" w:hAnsi="Book Antiqua" w:cs="Arial"/>
        </w:rPr>
        <w:t>arrant.  The</w:t>
      </w:r>
      <w:r>
        <w:rPr>
          <w:rFonts w:ascii="Book Antiqua" w:hAnsi="Book Antiqua" w:cs="Arial"/>
        </w:rPr>
        <w:t xml:space="preserve"> warrant concerned</w:t>
      </w:r>
      <w:r w:rsidR="002842F5">
        <w:rPr>
          <w:rFonts w:ascii="Book Antiqua" w:hAnsi="Book Antiqua" w:cs="Arial"/>
        </w:rPr>
        <w:t xml:space="preserve"> a conviction in Romania for causing the death of a cyclist and a sentence of imprisonment of three years.  The offence is stated to have occurred on 31 March 2007.  </w:t>
      </w:r>
    </w:p>
    <w:p w:rsidR="00430F27" w:rsidRPr="00430F27" w:rsidRDefault="002842F5" w:rsidP="00430F27">
      <w:pPr>
        <w:numPr>
          <w:ilvl w:val="0"/>
          <w:numId w:val="1"/>
        </w:numPr>
        <w:tabs>
          <w:tab w:val="clear" w:pos="567"/>
        </w:tabs>
        <w:spacing w:before="240"/>
        <w:jc w:val="both"/>
        <w:rPr>
          <w:rFonts w:ascii="Book Antiqua" w:hAnsi="Book Antiqua" w:cs="Arial"/>
        </w:rPr>
      </w:pPr>
      <w:r>
        <w:rPr>
          <w:rFonts w:ascii="Book Antiqua" w:hAnsi="Book Antiqua" w:cs="Arial"/>
        </w:rPr>
        <w:t>After an extradition hearing at Uxbridge Magistrates’ Court, extradition was ordered on 27 November 2013.  The appellant challenged that order</w:t>
      </w:r>
      <w:r w:rsidR="006733E0">
        <w:rPr>
          <w:rFonts w:ascii="Book Antiqua" w:hAnsi="Book Antiqua" w:cs="Arial"/>
        </w:rPr>
        <w:t>. I</w:t>
      </w:r>
      <w:r>
        <w:rPr>
          <w:rFonts w:ascii="Book Antiqua" w:hAnsi="Book Antiqua" w:cs="Arial"/>
        </w:rPr>
        <w:t>n a decision dated 17 June 2015, after a hearing before Lord Justice Aikens and Mr Justice Simon,</w:t>
      </w:r>
      <w:r w:rsidR="006733E0">
        <w:rPr>
          <w:rFonts w:ascii="Book Antiqua" w:hAnsi="Book Antiqua" w:cs="Arial"/>
        </w:rPr>
        <w:t xml:space="preserve"> </w:t>
      </w:r>
      <w:r w:rsidRPr="006733E0">
        <w:rPr>
          <w:rFonts w:ascii="Book Antiqua" w:hAnsi="Book Antiqua" w:cs="Arial"/>
        </w:rPr>
        <w:t>the Administrative Court</w:t>
      </w:r>
      <w:r w:rsidR="00430F27">
        <w:rPr>
          <w:rFonts w:ascii="Book Antiqua" w:hAnsi="Book Antiqua" w:cs="Arial"/>
        </w:rPr>
        <w:t xml:space="preserve"> found that the </w:t>
      </w:r>
      <w:r w:rsidR="006733E0">
        <w:rPr>
          <w:rFonts w:ascii="Book Antiqua" w:hAnsi="Book Antiqua" w:cs="Arial"/>
        </w:rPr>
        <w:t xml:space="preserve">prison conditions the appellant would face on return </w:t>
      </w:r>
      <w:r w:rsidR="00430F27">
        <w:rPr>
          <w:rFonts w:ascii="Book Antiqua" w:hAnsi="Book Antiqua" w:cs="Arial"/>
        </w:rPr>
        <w:t xml:space="preserve">would not breach Article 3 ECHR and that he should be extradited. The case was reported as </w:t>
      </w:r>
      <w:r w:rsidR="00430F27" w:rsidRPr="00430F27">
        <w:rPr>
          <w:rFonts w:ascii="Book Antiqua" w:hAnsi="Book Antiqua" w:cs="Arial"/>
          <w:b/>
          <w:u w:val="single"/>
        </w:rPr>
        <w:t xml:space="preserve">Blaj and Others v Court of </w:t>
      </w:r>
      <w:proofErr w:type="spellStart"/>
      <w:r w:rsidR="00430F27" w:rsidRPr="00430F27">
        <w:rPr>
          <w:rFonts w:ascii="Book Antiqua" w:hAnsi="Book Antiqua" w:cs="Arial"/>
          <w:b/>
          <w:u w:val="single"/>
        </w:rPr>
        <w:t>Alesd</w:t>
      </w:r>
      <w:proofErr w:type="spellEnd"/>
      <w:r w:rsidR="00430F27" w:rsidRPr="00430F27">
        <w:rPr>
          <w:rFonts w:ascii="Book Antiqua" w:hAnsi="Book Antiqua" w:cs="Arial"/>
          <w:b/>
          <w:u w:val="single"/>
        </w:rPr>
        <w:t>, Romania</w:t>
      </w:r>
      <w:r w:rsidR="00430F27" w:rsidRPr="00430F27">
        <w:rPr>
          <w:rFonts w:ascii="Book Antiqua" w:hAnsi="Book Antiqua" w:cs="Arial"/>
          <w:b/>
        </w:rPr>
        <w:t xml:space="preserve"> [2015] EWHC 1710 (Admin)</w:t>
      </w:r>
      <w:r w:rsidR="00430F27" w:rsidRPr="00430F27">
        <w:rPr>
          <w:rFonts w:ascii="Book Antiqua" w:hAnsi="Book Antiqua" w:cs="Arial"/>
        </w:rPr>
        <w:t>.</w:t>
      </w:r>
    </w:p>
    <w:p w:rsidR="002842F5" w:rsidRPr="006733E0" w:rsidRDefault="002842F5" w:rsidP="006733E0">
      <w:pPr>
        <w:numPr>
          <w:ilvl w:val="0"/>
          <w:numId w:val="1"/>
        </w:numPr>
        <w:tabs>
          <w:tab w:val="clear" w:pos="567"/>
        </w:tabs>
        <w:spacing w:before="240"/>
        <w:jc w:val="both"/>
        <w:rPr>
          <w:rFonts w:ascii="Book Antiqua" w:hAnsi="Book Antiqua" w:cs="Arial"/>
        </w:rPr>
      </w:pPr>
      <w:r w:rsidRPr="006733E0">
        <w:rPr>
          <w:rFonts w:ascii="Book Antiqua" w:hAnsi="Book Antiqua" w:cs="Arial"/>
        </w:rPr>
        <w:t xml:space="preserve">On 12 August 2015 Mr Blaj made a protection and human rights claim.  In a decision dated 7 February 2017 the respondent refused </w:t>
      </w:r>
      <w:proofErr w:type="gramStart"/>
      <w:r w:rsidRPr="006733E0">
        <w:rPr>
          <w:rFonts w:ascii="Book Antiqua" w:hAnsi="Book Antiqua" w:cs="Arial"/>
        </w:rPr>
        <w:t>all of</w:t>
      </w:r>
      <w:proofErr w:type="gramEnd"/>
      <w:r w:rsidRPr="006733E0">
        <w:rPr>
          <w:rFonts w:ascii="Book Antiqua" w:hAnsi="Book Antiqua" w:cs="Arial"/>
        </w:rPr>
        <w:t xml:space="preserve"> his claims.  </w:t>
      </w:r>
      <w:r w:rsidR="00430F27">
        <w:rPr>
          <w:rFonts w:ascii="Book Antiqua" w:hAnsi="Book Antiqua" w:cs="Arial"/>
        </w:rPr>
        <w:t>It is that decision that led to these proceedings.</w:t>
      </w:r>
    </w:p>
    <w:p w:rsidR="00430F27" w:rsidRPr="00430F27" w:rsidRDefault="002842F5" w:rsidP="00430F27">
      <w:pPr>
        <w:numPr>
          <w:ilvl w:val="0"/>
          <w:numId w:val="1"/>
        </w:numPr>
        <w:tabs>
          <w:tab w:val="clear" w:pos="567"/>
        </w:tabs>
        <w:spacing w:before="240"/>
        <w:jc w:val="both"/>
        <w:rPr>
          <w:rFonts w:ascii="Book Antiqua" w:hAnsi="Book Antiqua" w:cs="Arial"/>
        </w:rPr>
      </w:pPr>
      <w:r>
        <w:rPr>
          <w:rFonts w:ascii="Book Antiqua" w:hAnsi="Book Antiqua" w:cs="Arial"/>
        </w:rPr>
        <w:t>The appeal against the refusal of the protection and human rights claim came before the First-tier Tribunal on 8 January 2018.  In a decision dated 26 January 2018, First-tier Tribunal Judge Herbert OBE allowed the appeal</w:t>
      </w:r>
      <w:r w:rsidR="00430F27">
        <w:rPr>
          <w:rFonts w:ascii="Book Antiqua" w:hAnsi="Book Antiqua" w:cs="Arial"/>
        </w:rPr>
        <w:t xml:space="preserve">. This was </w:t>
      </w:r>
      <w:r w:rsidR="00F73BAB">
        <w:rPr>
          <w:rFonts w:ascii="Book Antiqua" w:hAnsi="Book Antiqua" w:cs="Arial"/>
        </w:rPr>
        <w:t xml:space="preserve">because </w:t>
      </w:r>
      <w:r w:rsidR="00430F27">
        <w:rPr>
          <w:rFonts w:ascii="Book Antiqua" w:hAnsi="Book Antiqua" w:cs="Arial"/>
        </w:rPr>
        <w:t xml:space="preserve">new case law from the ECHR, </w:t>
      </w:r>
      <w:proofErr w:type="gramStart"/>
      <w:r w:rsidR="00430F27">
        <w:rPr>
          <w:rFonts w:ascii="Book Antiqua" w:hAnsi="Book Antiqua" w:cs="Arial"/>
        </w:rPr>
        <w:t xml:space="preserve">in particular </w:t>
      </w:r>
      <w:proofErr w:type="spellStart"/>
      <w:r w:rsidR="00430F27" w:rsidRPr="00DB74CE">
        <w:rPr>
          <w:rFonts w:ascii="Book Antiqua" w:hAnsi="Book Antiqua"/>
          <w:b/>
          <w:iCs/>
          <w:u w:val="single"/>
        </w:rPr>
        <w:t>Muršic</w:t>
      </w:r>
      <w:proofErr w:type="spellEnd"/>
      <w:proofErr w:type="gramEnd"/>
      <w:r w:rsidR="00430F27" w:rsidRPr="00DB74CE">
        <w:rPr>
          <w:rFonts w:ascii="Book Antiqua" w:hAnsi="Book Antiqua"/>
          <w:b/>
          <w:iCs/>
          <w:u w:val="single"/>
        </w:rPr>
        <w:t xml:space="preserve"> </w:t>
      </w:r>
      <w:r w:rsidR="00430F27" w:rsidRPr="00DB74CE">
        <w:rPr>
          <w:rFonts w:ascii="Book Antiqua" w:hAnsi="Book Antiqua" w:cs="Arial"/>
          <w:b/>
          <w:u w:val="single"/>
        </w:rPr>
        <w:t>v</w:t>
      </w:r>
      <w:r w:rsidR="00430F27" w:rsidRPr="00430F27">
        <w:rPr>
          <w:rFonts w:ascii="Book Antiqua" w:hAnsi="Book Antiqua" w:cs="Arial"/>
          <w:b/>
          <w:u w:val="single"/>
        </w:rPr>
        <w:t xml:space="preserve"> Croatia</w:t>
      </w:r>
      <w:r w:rsidR="00430F27" w:rsidRPr="00430F27">
        <w:rPr>
          <w:rFonts w:ascii="Book Antiqua" w:hAnsi="Book Antiqua" w:cs="Arial"/>
          <w:b/>
        </w:rPr>
        <w:t xml:space="preserve"> Application No 7334/13, 20 October 2016</w:t>
      </w:r>
      <w:r w:rsidR="00F73BAB" w:rsidRPr="00F73BAB">
        <w:rPr>
          <w:rFonts w:ascii="Book Antiqua" w:hAnsi="Book Antiqua" w:cs="Arial"/>
        </w:rPr>
        <w:t xml:space="preserve">, </w:t>
      </w:r>
      <w:r w:rsidR="00F73BAB">
        <w:rPr>
          <w:rFonts w:ascii="Book Antiqua" w:hAnsi="Book Antiqua" w:cs="Arial"/>
        </w:rPr>
        <w:t xml:space="preserve">suggested that prison conditions in Romania for Mr Blaj might not be lawful, that case being considered and approved in </w:t>
      </w:r>
      <w:proofErr w:type="spellStart"/>
      <w:r w:rsidR="00430F27" w:rsidRPr="00430F27">
        <w:rPr>
          <w:rFonts w:ascii="Book Antiqua" w:hAnsi="Book Antiqua" w:cs="Arial"/>
          <w:b/>
          <w:u w:val="single"/>
        </w:rPr>
        <w:t>Grecu</w:t>
      </w:r>
      <w:proofErr w:type="spellEnd"/>
      <w:r w:rsidR="00430F27" w:rsidRPr="00430F27">
        <w:rPr>
          <w:rFonts w:ascii="Book Antiqua" w:hAnsi="Book Antiqua" w:cs="Arial"/>
          <w:b/>
          <w:u w:val="single"/>
        </w:rPr>
        <w:t xml:space="preserve"> v Romania</w:t>
      </w:r>
      <w:r w:rsidR="00430F27" w:rsidRPr="00430F27">
        <w:rPr>
          <w:rFonts w:ascii="Book Antiqua" w:hAnsi="Book Antiqua" w:cs="Arial"/>
          <w:b/>
        </w:rPr>
        <w:t xml:space="preserve"> [2017] EWHC 1427</w:t>
      </w:r>
      <w:r w:rsidR="00430F27">
        <w:rPr>
          <w:rFonts w:ascii="Book Antiqua" w:hAnsi="Book Antiqua" w:cs="Arial"/>
        </w:rPr>
        <w:t xml:space="preserve">. The First-Tier Tribunal considered that the </w:t>
      </w:r>
      <w:r w:rsidR="00F73BAB">
        <w:rPr>
          <w:rFonts w:ascii="Book Antiqua" w:hAnsi="Book Antiqua" w:cs="Arial"/>
        </w:rPr>
        <w:t xml:space="preserve">Secretary of State </w:t>
      </w:r>
      <w:r w:rsidR="00430F27">
        <w:rPr>
          <w:rFonts w:ascii="Book Antiqua" w:hAnsi="Book Antiqua" w:cs="Arial"/>
        </w:rPr>
        <w:t xml:space="preserve">should </w:t>
      </w:r>
      <w:r w:rsidR="00F73BAB">
        <w:rPr>
          <w:rFonts w:ascii="Book Antiqua" w:hAnsi="Book Antiqua" w:cs="Arial"/>
        </w:rPr>
        <w:t xml:space="preserve">reconsider the question of the prison conditions in light </w:t>
      </w:r>
      <w:proofErr w:type="spellStart"/>
      <w:r w:rsidR="00F73BAB" w:rsidRPr="00DB74CE">
        <w:rPr>
          <w:rFonts w:ascii="Book Antiqua" w:hAnsi="Book Antiqua"/>
          <w:b/>
          <w:iCs/>
          <w:u w:val="single"/>
        </w:rPr>
        <w:t>Muršic</w:t>
      </w:r>
      <w:proofErr w:type="spellEnd"/>
      <w:r w:rsidR="00F73BAB">
        <w:rPr>
          <w:rFonts w:ascii="Book Antiqua" w:hAnsi="Book Antiqua"/>
        </w:rPr>
        <w:t xml:space="preserve"> and </w:t>
      </w:r>
      <w:proofErr w:type="spellStart"/>
      <w:r w:rsidR="00F73BAB" w:rsidRPr="00F73BAB">
        <w:rPr>
          <w:rFonts w:ascii="Book Antiqua" w:hAnsi="Book Antiqua"/>
          <w:b/>
          <w:u w:val="single"/>
        </w:rPr>
        <w:t>Grecu</w:t>
      </w:r>
      <w:proofErr w:type="spellEnd"/>
      <w:r w:rsidR="00267F5A">
        <w:rPr>
          <w:rFonts w:ascii="Book Antiqua" w:hAnsi="Book Antiqua"/>
        </w:rPr>
        <w:t xml:space="preserve">. The appeal was </w:t>
      </w:r>
      <w:r w:rsidR="00F73BAB">
        <w:rPr>
          <w:rFonts w:ascii="Book Antiqua" w:hAnsi="Book Antiqua"/>
        </w:rPr>
        <w:t xml:space="preserve">then </w:t>
      </w:r>
      <w:r w:rsidR="00267F5A">
        <w:rPr>
          <w:rFonts w:ascii="Book Antiqua" w:hAnsi="Book Antiqua"/>
        </w:rPr>
        <w:t xml:space="preserve">allowed on the basis that it was remitted to the respondent for this </w:t>
      </w:r>
      <w:r w:rsidR="00F73BAB">
        <w:rPr>
          <w:rFonts w:ascii="Book Antiqua" w:hAnsi="Book Antiqua"/>
        </w:rPr>
        <w:t xml:space="preserve">reconsideration to take place. </w:t>
      </w:r>
    </w:p>
    <w:p w:rsidR="00C71804" w:rsidRPr="00C71804" w:rsidRDefault="002842F5" w:rsidP="00CC6FA9">
      <w:pPr>
        <w:numPr>
          <w:ilvl w:val="0"/>
          <w:numId w:val="1"/>
        </w:numPr>
        <w:tabs>
          <w:tab w:val="clear" w:pos="567"/>
        </w:tabs>
        <w:spacing w:before="240"/>
        <w:jc w:val="both"/>
        <w:rPr>
          <w:rFonts w:ascii="Book Antiqua" w:hAnsi="Book Antiqua"/>
        </w:rPr>
      </w:pPr>
      <w:r w:rsidRPr="00C71804">
        <w:rPr>
          <w:rFonts w:ascii="Book Antiqua" w:hAnsi="Book Antiqua" w:cs="Arial"/>
        </w:rPr>
        <w:t>The respondent challenged th</w:t>
      </w:r>
      <w:r w:rsidR="00C71804" w:rsidRPr="00C71804">
        <w:rPr>
          <w:rFonts w:ascii="Book Antiqua" w:hAnsi="Book Antiqua" w:cs="Arial"/>
        </w:rPr>
        <w:t xml:space="preserve">e decision to allow and remit the appeal </w:t>
      </w:r>
      <w:r w:rsidRPr="00C71804">
        <w:rPr>
          <w:rFonts w:ascii="Book Antiqua" w:hAnsi="Book Antiqua" w:cs="Arial"/>
        </w:rPr>
        <w:t xml:space="preserve">where remittal was no longer a </w:t>
      </w:r>
      <w:r w:rsidR="00267F5A" w:rsidRPr="00C71804">
        <w:rPr>
          <w:rFonts w:ascii="Book Antiqua" w:hAnsi="Book Antiqua" w:cs="Arial"/>
        </w:rPr>
        <w:t>power of disposal available to the</w:t>
      </w:r>
      <w:r w:rsidR="00F73BAB" w:rsidRPr="00C71804">
        <w:rPr>
          <w:rFonts w:ascii="Book Antiqua" w:hAnsi="Book Antiqua" w:cs="Arial"/>
        </w:rPr>
        <w:t xml:space="preserve"> Tribunal </w:t>
      </w:r>
      <w:r w:rsidR="00C71804" w:rsidRPr="00C71804">
        <w:rPr>
          <w:rFonts w:ascii="Book Antiqua" w:hAnsi="Book Antiqua" w:cs="Arial"/>
        </w:rPr>
        <w:t>f</w:t>
      </w:r>
      <w:r w:rsidR="00C71804">
        <w:rPr>
          <w:rFonts w:ascii="Book Antiqua" w:hAnsi="Book Antiqua"/>
          <w:iCs/>
        </w:rPr>
        <w:t xml:space="preserve">ollowing the amendments to sections </w:t>
      </w:r>
      <w:r w:rsidR="00C71804" w:rsidRPr="00C71804">
        <w:rPr>
          <w:rFonts w:ascii="Book Antiqua" w:hAnsi="Book Antiqua"/>
          <w:iCs/>
        </w:rPr>
        <w:t>82, 85 and 86 of NIAA 2002 by the Immigration Act 2014</w:t>
      </w:r>
      <w:r w:rsidR="00C71804">
        <w:rPr>
          <w:rFonts w:ascii="Book Antiqua" w:hAnsi="Book Antiqua"/>
          <w:iCs/>
        </w:rPr>
        <w:t xml:space="preserve">. The Upper Tribunal confirmed that to be so in </w:t>
      </w:r>
      <w:r w:rsidR="00C71804" w:rsidRPr="00C71804">
        <w:rPr>
          <w:rFonts w:ascii="Book Antiqua" w:hAnsi="Book Antiqua" w:cs="Arial"/>
          <w:b/>
          <w:color w:val="000000"/>
          <w:u w:val="single"/>
        </w:rPr>
        <w:t>Charles (human rights appeal: scope)</w:t>
      </w:r>
      <w:r w:rsidR="00C71804" w:rsidRPr="00C71804">
        <w:rPr>
          <w:rFonts w:ascii="Book Antiqua" w:hAnsi="Book Antiqua" w:cs="Arial"/>
          <w:b/>
          <w:color w:val="000000"/>
        </w:rPr>
        <w:t xml:space="preserve"> [2018] UKUT 00089 (IAC)</w:t>
      </w:r>
      <w:r w:rsidR="00C71804">
        <w:rPr>
          <w:rFonts w:ascii="Book Antiqua" w:hAnsi="Book Antiqua" w:cs="Arial"/>
          <w:color w:val="000000"/>
        </w:rPr>
        <w:t xml:space="preserve">. </w:t>
      </w:r>
    </w:p>
    <w:p w:rsidR="002842F5" w:rsidRDefault="00267F5A" w:rsidP="002842F5">
      <w:pPr>
        <w:numPr>
          <w:ilvl w:val="0"/>
          <w:numId w:val="1"/>
        </w:numPr>
        <w:tabs>
          <w:tab w:val="clear" w:pos="567"/>
        </w:tabs>
        <w:spacing w:before="240"/>
        <w:jc w:val="both"/>
        <w:rPr>
          <w:rFonts w:ascii="Book Antiqua" w:hAnsi="Book Antiqua" w:cs="Arial"/>
        </w:rPr>
      </w:pPr>
      <w:r>
        <w:rPr>
          <w:rFonts w:ascii="Book Antiqua" w:hAnsi="Book Antiqua" w:cs="Arial"/>
        </w:rPr>
        <w:t>I</w:t>
      </w:r>
      <w:r w:rsidR="002842F5">
        <w:rPr>
          <w:rFonts w:ascii="Book Antiqua" w:hAnsi="Book Antiqua" w:cs="Arial"/>
        </w:rPr>
        <w:t>n a decision issued on 9 May 2018 Deputy Upper Tribunal Judge Hill QC found an e</w:t>
      </w:r>
      <w:r w:rsidR="00C71804">
        <w:rPr>
          <w:rFonts w:ascii="Book Antiqua" w:hAnsi="Book Antiqua" w:cs="Arial"/>
        </w:rPr>
        <w:t xml:space="preserve">rror of law as to the appeal being allowed and remitted to the respondent for reconsideration. He proceeded to set aside </w:t>
      </w:r>
      <w:r w:rsidR="002842F5">
        <w:rPr>
          <w:rFonts w:ascii="Book Antiqua" w:hAnsi="Book Antiqua" w:cs="Arial"/>
        </w:rPr>
        <w:t>the decision of the First-tier Tribunal</w:t>
      </w:r>
      <w:r w:rsidR="00C71804">
        <w:rPr>
          <w:rFonts w:ascii="Book Antiqua" w:hAnsi="Book Antiqua" w:cs="Arial"/>
        </w:rPr>
        <w:t xml:space="preserve">. He also </w:t>
      </w:r>
      <w:r w:rsidR="002842F5">
        <w:rPr>
          <w:rFonts w:ascii="Book Antiqua" w:hAnsi="Book Antiqua" w:cs="Arial"/>
        </w:rPr>
        <w:t xml:space="preserve">identified that the re-making of the appeal required an assessment of whether removal to Romania would amount to a violation of Article 3 ECHR </w:t>
      </w:r>
      <w:r w:rsidR="00BF6A84">
        <w:rPr>
          <w:rFonts w:ascii="Book Antiqua" w:hAnsi="Book Antiqua" w:cs="Arial"/>
        </w:rPr>
        <w:t xml:space="preserve">and </w:t>
      </w:r>
      <w:r w:rsidR="002842F5">
        <w:rPr>
          <w:rFonts w:ascii="Book Antiqua" w:hAnsi="Book Antiqua" w:cs="Arial"/>
        </w:rPr>
        <w:t>Article 8 ECHR</w:t>
      </w:r>
      <w:r w:rsidR="00BF6A84">
        <w:rPr>
          <w:rFonts w:ascii="Book Antiqua" w:hAnsi="Book Antiqua" w:cs="Arial"/>
        </w:rPr>
        <w:t xml:space="preserve">. </w:t>
      </w:r>
      <w:r w:rsidR="002842F5">
        <w:rPr>
          <w:rFonts w:ascii="Book Antiqua" w:hAnsi="Book Antiqua" w:cs="Arial"/>
        </w:rPr>
        <w:t xml:space="preserve">Judge Hill QC </w:t>
      </w:r>
      <w:r w:rsidR="00C71804">
        <w:rPr>
          <w:rFonts w:ascii="Book Antiqua" w:hAnsi="Book Antiqua" w:cs="Arial"/>
        </w:rPr>
        <w:t xml:space="preserve">then </w:t>
      </w:r>
      <w:r w:rsidR="002842F5">
        <w:rPr>
          <w:rFonts w:ascii="Book Antiqua" w:hAnsi="Book Antiqua" w:cs="Arial"/>
        </w:rPr>
        <w:t xml:space="preserve">adjourned the re-making of the decision in order for both parties to be afforded a proper opportunity to provide all relevant materials on the issue of </w:t>
      </w:r>
      <w:r w:rsidR="00F22F2B">
        <w:rPr>
          <w:rFonts w:ascii="Book Antiqua" w:hAnsi="Book Antiqua" w:cs="Arial"/>
        </w:rPr>
        <w:t>prison</w:t>
      </w:r>
      <w:r w:rsidR="002842F5">
        <w:rPr>
          <w:rFonts w:ascii="Book Antiqua" w:hAnsi="Book Antiqua" w:cs="Arial"/>
        </w:rPr>
        <w:t xml:space="preserve"> conditions in Romania</w:t>
      </w:r>
      <w:r w:rsidR="00BF6A84">
        <w:rPr>
          <w:rFonts w:ascii="Book Antiqua" w:hAnsi="Book Antiqua" w:cs="Arial"/>
        </w:rPr>
        <w:t xml:space="preserve">, including any assurances specific to Mr Blaj </w:t>
      </w:r>
      <w:r w:rsidR="00C71804">
        <w:rPr>
          <w:rFonts w:ascii="Book Antiqua" w:hAnsi="Book Antiqua" w:cs="Arial"/>
        </w:rPr>
        <w:t xml:space="preserve">obtained by the respondent </w:t>
      </w:r>
      <w:r w:rsidR="002842F5">
        <w:rPr>
          <w:rFonts w:ascii="Book Antiqua" w:hAnsi="Book Antiqua" w:cs="Arial"/>
        </w:rPr>
        <w:t>and for the appellant to obtain legal representation if he wished</w:t>
      </w:r>
      <w:r w:rsidR="00BF6A84">
        <w:rPr>
          <w:rFonts w:ascii="Book Antiqua" w:hAnsi="Book Antiqua" w:cs="Arial"/>
        </w:rPr>
        <w:t xml:space="preserve"> to </w:t>
      </w:r>
      <w:proofErr w:type="gramStart"/>
      <w:r w:rsidR="00BF6A84">
        <w:rPr>
          <w:rFonts w:ascii="Book Antiqua" w:hAnsi="Book Antiqua" w:cs="Arial"/>
        </w:rPr>
        <w:t>represented</w:t>
      </w:r>
      <w:proofErr w:type="gramEnd"/>
      <w:r w:rsidR="00BF6A84">
        <w:rPr>
          <w:rFonts w:ascii="Book Antiqua" w:hAnsi="Book Antiqua" w:cs="Arial"/>
        </w:rPr>
        <w:t xml:space="preserve"> at the next hearing</w:t>
      </w:r>
      <w:r w:rsidR="002842F5">
        <w:rPr>
          <w:rFonts w:ascii="Book Antiqua" w:hAnsi="Book Antiqua" w:cs="Arial"/>
        </w:rPr>
        <w:t xml:space="preserve">.  </w:t>
      </w:r>
    </w:p>
    <w:p w:rsidR="002842F5" w:rsidRDefault="002842F5" w:rsidP="002842F5">
      <w:pPr>
        <w:numPr>
          <w:ilvl w:val="0"/>
          <w:numId w:val="1"/>
        </w:numPr>
        <w:tabs>
          <w:tab w:val="clear" w:pos="567"/>
        </w:tabs>
        <w:spacing w:before="240"/>
        <w:jc w:val="both"/>
        <w:rPr>
          <w:rFonts w:ascii="Book Antiqua" w:hAnsi="Book Antiqua" w:cs="Arial"/>
        </w:rPr>
      </w:pPr>
      <w:proofErr w:type="gramStart"/>
      <w:r>
        <w:rPr>
          <w:rFonts w:ascii="Book Antiqua" w:hAnsi="Book Antiqua" w:cs="Arial"/>
        </w:rPr>
        <w:t>Thus</w:t>
      </w:r>
      <w:proofErr w:type="gramEnd"/>
      <w:r>
        <w:rPr>
          <w:rFonts w:ascii="Book Antiqua" w:hAnsi="Book Antiqua" w:cs="Arial"/>
        </w:rPr>
        <w:t xml:space="preserve"> the matter came before us on 12 June 2018.</w:t>
      </w:r>
    </w:p>
    <w:p w:rsidR="00C4415C" w:rsidRPr="00C4415C" w:rsidRDefault="002842F5" w:rsidP="00C4415C">
      <w:pPr>
        <w:numPr>
          <w:ilvl w:val="0"/>
          <w:numId w:val="1"/>
        </w:numPr>
        <w:tabs>
          <w:tab w:val="clear" w:pos="567"/>
        </w:tabs>
        <w:spacing w:before="240"/>
        <w:jc w:val="both"/>
        <w:rPr>
          <w:rFonts w:ascii="Book Antiqua" w:hAnsi="Book Antiqua" w:cs="Arial"/>
        </w:rPr>
      </w:pPr>
      <w:r w:rsidRPr="00C4415C">
        <w:rPr>
          <w:rFonts w:ascii="Book Antiqua" w:hAnsi="Book Antiqua" w:cs="Arial"/>
        </w:rPr>
        <w:lastRenderedPageBreak/>
        <w:t xml:space="preserve">The </w:t>
      </w:r>
      <w:r w:rsidR="006044A9" w:rsidRPr="00C4415C">
        <w:rPr>
          <w:rFonts w:ascii="Book Antiqua" w:hAnsi="Book Antiqua" w:cs="Arial"/>
        </w:rPr>
        <w:t xml:space="preserve">Article 3 claim here </w:t>
      </w:r>
      <w:r w:rsidRPr="00C4415C">
        <w:rPr>
          <w:rFonts w:ascii="Book Antiqua" w:hAnsi="Book Antiqua" w:cs="Arial"/>
        </w:rPr>
        <w:t>concerns the pris</w:t>
      </w:r>
      <w:r w:rsidR="007C3404">
        <w:rPr>
          <w:rFonts w:ascii="Book Antiqua" w:hAnsi="Book Antiqua" w:cs="Arial"/>
        </w:rPr>
        <w:t>on conditions that Mr Blaj</w:t>
      </w:r>
      <w:r w:rsidRPr="00C4415C">
        <w:rPr>
          <w:rFonts w:ascii="Book Antiqua" w:hAnsi="Book Antiqua" w:cs="Arial"/>
        </w:rPr>
        <w:t xml:space="preserve"> wi</w:t>
      </w:r>
      <w:r w:rsidR="00C71804">
        <w:rPr>
          <w:rFonts w:ascii="Book Antiqua" w:hAnsi="Book Antiqua" w:cs="Arial"/>
        </w:rPr>
        <w:t xml:space="preserve">ll face on return to Romania.  </w:t>
      </w:r>
      <w:r w:rsidR="00054A6B">
        <w:rPr>
          <w:rFonts w:ascii="Book Antiqua" w:hAnsi="Book Antiqua" w:cs="Arial"/>
        </w:rPr>
        <w:t xml:space="preserve">He </w:t>
      </w:r>
      <w:r w:rsidRPr="00C4415C">
        <w:rPr>
          <w:rFonts w:ascii="Book Antiqua" w:hAnsi="Book Antiqua" w:cs="Arial"/>
        </w:rPr>
        <w:t>main</w:t>
      </w:r>
      <w:r w:rsidR="00C71804">
        <w:rPr>
          <w:rFonts w:ascii="Book Antiqua" w:hAnsi="Book Antiqua" w:cs="Arial"/>
        </w:rPr>
        <w:t>tains</w:t>
      </w:r>
      <w:r w:rsidRPr="00C4415C">
        <w:rPr>
          <w:rFonts w:ascii="Book Antiqua" w:hAnsi="Book Antiqua" w:cs="Arial"/>
        </w:rPr>
        <w:t xml:space="preserve"> that </w:t>
      </w:r>
      <w:r w:rsidR="00136097">
        <w:rPr>
          <w:rFonts w:ascii="Book Antiqua" w:hAnsi="Book Antiqua" w:cs="Arial"/>
        </w:rPr>
        <w:t xml:space="preserve">they </w:t>
      </w:r>
      <w:r w:rsidRPr="00C4415C">
        <w:rPr>
          <w:rFonts w:ascii="Book Antiqua" w:hAnsi="Book Antiqua" w:cs="Arial"/>
        </w:rPr>
        <w:t>fall below minimum stand</w:t>
      </w:r>
      <w:r w:rsidR="00BC3765">
        <w:rPr>
          <w:rFonts w:ascii="Book Antiqua" w:hAnsi="Book Antiqua" w:cs="Arial"/>
        </w:rPr>
        <w:t>ards and would amount to inhum</w:t>
      </w:r>
      <w:r w:rsidR="00FB0FEA">
        <w:rPr>
          <w:rFonts w:ascii="Book Antiqua" w:hAnsi="Book Antiqua" w:cs="Arial"/>
        </w:rPr>
        <w:t>an</w:t>
      </w:r>
      <w:r w:rsidRPr="00C4415C">
        <w:rPr>
          <w:rFonts w:ascii="Book Antiqua" w:hAnsi="Book Antiqua" w:cs="Arial"/>
        </w:rPr>
        <w:t xml:space="preserve"> and degrading treatment</w:t>
      </w:r>
      <w:r w:rsidR="00C71804">
        <w:rPr>
          <w:rFonts w:ascii="Book Antiqua" w:hAnsi="Book Antiqua" w:cs="Arial"/>
        </w:rPr>
        <w:t>.  He relies</w:t>
      </w:r>
      <w:r w:rsidRPr="00C4415C">
        <w:rPr>
          <w:rFonts w:ascii="Book Antiqua" w:hAnsi="Book Antiqua" w:cs="Arial"/>
        </w:rPr>
        <w:t xml:space="preserve"> on the case</w:t>
      </w:r>
      <w:r w:rsidR="00C71804">
        <w:rPr>
          <w:rFonts w:ascii="Book Antiqua" w:hAnsi="Book Antiqua" w:cs="Arial"/>
        </w:rPr>
        <w:t>s of</w:t>
      </w:r>
      <w:r w:rsidRPr="00C4415C">
        <w:rPr>
          <w:rFonts w:ascii="Book Antiqua" w:hAnsi="Book Antiqua" w:cs="Arial"/>
        </w:rPr>
        <w:t xml:space="preserve"> </w:t>
      </w:r>
      <w:proofErr w:type="spellStart"/>
      <w:r w:rsidR="00C71804" w:rsidRPr="00C4415C">
        <w:rPr>
          <w:rFonts w:ascii="Book Antiqua" w:hAnsi="Book Antiqua"/>
          <w:b/>
          <w:iCs/>
          <w:u w:val="single"/>
        </w:rPr>
        <w:t>Muršic</w:t>
      </w:r>
      <w:proofErr w:type="spellEnd"/>
      <w:r w:rsidR="00C71804" w:rsidRPr="00C4415C">
        <w:rPr>
          <w:rFonts w:ascii="Book Antiqua" w:hAnsi="Book Antiqua" w:cs="Arial"/>
        </w:rPr>
        <w:t xml:space="preserve"> </w:t>
      </w:r>
      <w:r w:rsidR="00C71804">
        <w:rPr>
          <w:rFonts w:ascii="Book Antiqua" w:hAnsi="Book Antiqua" w:cs="Arial"/>
        </w:rPr>
        <w:t>and</w:t>
      </w:r>
      <w:r w:rsidRPr="00C4415C">
        <w:rPr>
          <w:rFonts w:ascii="Book Antiqua" w:hAnsi="Book Antiqua" w:cs="Arial"/>
        </w:rPr>
        <w:t xml:space="preserve"> </w:t>
      </w:r>
      <w:proofErr w:type="spellStart"/>
      <w:r w:rsidRPr="00C4415C">
        <w:rPr>
          <w:rFonts w:ascii="Book Antiqua" w:hAnsi="Book Antiqua" w:cs="Arial"/>
          <w:b/>
          <w:u w:val="single"/>
        </w:rPr>
        <w:t>Grecu</w:t>
      </w:r>
      <w:proofErr w:type="spellEnd"/>
      <w:r w:rsidR="00C71804" w:rsidRPr="00C71804">
        <w:rPr>
          <w:rFonts w:ascii="Book Antiqua" w:hAnsi="Book Antiqua" w:cs="Arial"/>
          <w:b/>
        </w:rPr>
        <w:t xml:space="preserve"> </w:t>
      </w:r>
      <w:r w:rsidR="00C71804" w:rsidRPr="00C71804">
        <w:rPr>
          <w:rFonts w:ascii="Book Antiqua" w:hAnsi="Book Antiqua" w:cs="Arial"/>
        </w:rPr>
        <w:t xml:space="preserve">to support this submission. </w:t>
      </w:r>
      <w:r w:rsidR="006044A9" w:rsidRPr="00C4415C">
        <w:rPr>
          <w:rFonts w:ascii="Book Antiqua" w:hAnsi="Book Antiqua" w:cs="Arial"/>
        </w:rPr>
        <w:t xml:space="preserve">At [26], </w:t>
      </w:r>
      <w:proofErr w:type="spellStart"/>
      <w:r w:rsidRPr="00C4415C">
        <w:rPr>
          <w:rFonts w:ascii="Book Antiqua" w:hAnsi="Book Antiqua" w:cs="Arial"/>
          <w:b/>
          <w:u w:val="single"/>
        </w:rPr>
        <w:t>Grecu</w:t>
      </w:r>
      <w:proofErr w:type="spellEnd"/>
      <w:r w:rsidR="006044A9" w:rsidRPr="00C4415C">
        <w:rPr>
          <w:rFonts w:ascii="Book Antiqua" w:hAnsi="Book Antiqua" w:cs="Arial"/>
        </w:rPr>
        <w:t xml:space="preserve"> set out </w:t>
      </w:r>
      <w:r w:rsidR="00056EB7" w:rsidRPr="00C4415C">
        <w:rPr>
          <w:rFonts w:ascii="Book Antiqua" w:hAnsi="Book Antiqua" w:cs="Arial"/>
        </w:rPr>
        <w:t>the minimum</w:t>
      </w:r>
      <w:r w:rsidR="006044A9" w:rsidRPr="00C4415C">
        <w:rPr>
          <w:rFonts w:ascii="Book Antiqua" w:hAnsi="Book Antiqua" w:cs="Arial"/>
        </w:rPr>
        <w:t xml:space="preserve"> standard for detention identified in </w:t>
      </w:r>
      <w:proofErr w:type="spellStart"/>
      <w:r w:rsidR="006044A9" w:rsidRPr="00C4415C">
        <w:rPr>
          <w:rFonts w:ascii="Book Antiqua" w:hAnsi="Book Antiqua" w:cs="Arial"/>
          <w:b/>
          <w:u w:val="single"/>
        </w:rPr>
        <w:t>Muršic</w:t>
      </w:r>
      <w:proofErr w:type="spellEnd"/>
      <w:r w:rsidRPr="00C4415C">
        <w:rPr>
          <w:rFonts w:ascii="Book Antiqua" w:hAnsi="Book Antiqua" w:cs="Arial"/>
        </w:rPr>
        <w:t>:</w:t>
      </w:r>
    </w:p>
    <w:p w:rsidR="00C4415C" w:rsidRPr="00F22F2B" w:rsidRDefault="00C4415C" w:rsidP="00C4415C">
      <w:pPr>
        <w:spacing w:before="240"/>
        <w:ind w:left="1134"/>
        <w:jc w:val="both"/>
        <w:rPr>
          <w:rFonts w:ascii="Book Antiqua" w:hAnsi="Book Antiqua"/>
          <w:sz w:val="22"/>
          <w:szCs w:val="22"/>
        </w:rPr>
      </w:pPr>
      <w:bookmarkStart w:id="0" w:name="para26"/>
      <w:r>
        <w:rPr>
          <w:rFonts w:ascii="Book Antiqua" w:hAnsi="Book Antiqua"/>
          <w:sz w:val="22"/>
          <w:szCs w:val="22"/>
        </w:rPr>
        <w:t>“26.</w:t>
      </w:r>
      <w:r>
        <w:rPr>
          <w:rFonts w:ascii="Book Antiqua" w:hAnsi="Book Antiqua"/>
          <w:sz w:val="22"/>
          <w:szCs w:val="22"/>
        </w:rPr>
        <w:tab/>
      </w:r>
      <w:r w:rsidRPr="00F22F2B">
        <w:rPr>
          <w:rFonts w:ascii="Book Antiqua" w:hAnsi="Book Antiqua"/>
          <w:sz w:val="22"/>
          <w:szCs w:val="22"/>
        </w:rPr>
        <w:t xml:space="preserve">In a critical passage, the Court </w:t>
      </w:r>
      <w:r>
        <w:rPr>
          <w:rFonts w:ascii="Book Antiqua" w:hAnsi="Book Antiqua"/>
          <w:sz w:val="22"/>
          <w:szCs w:val="22"/>
        </w:rPr>
        <w:t>[</w:t>
      </w:r>
      <w:r w:rsidRPr="006044A9">
        <w:rPr>
          <w:rFonts w:ascii="Book Antiqua" w:hAnsi="Book Antiqua"/>
          <w:sz w:val="22"/>
          <w:szCs w:val="22"/>
        </w:rPr>
        <w:t xml:space="preserve">in </w:t>
      </w:r>
      <w:proofErr w:type="spellStart"/>
      <w:r w:rsidRPr="006044A9">
        <w:rPr>
          <w:rFonts w:ascii="Book Antiqua" w:hAnsi="Book Antiqua" w:cs="Arial"/>
          <w:u w:val="single"/>
        </w:rPr>
        <w:t>Muršic</w:t>
      </w:r>
      <w:proofErr w:type="spellEnd"/>
      <w:r>
        <w:rPr>
          <w:rFonts w:ascii="Book Antiqua" w:hAnsi="Book Antiqua"/>
          <w:sz w:val="22"/>
          <w:szCs w:val="22"/>
        </w:rPr>
        <w:t xml:space="preserve">] </w:t>
      </w:r>
      <w:r w:rsidRPr="00F22F2B">
        <w:rPr>
          <w:rFonts w:ascii="Book Antiqua" w:hAnsi="Book Antiqua"/>
          <w:sz w:val="22"/>
          <w:szCs w:val="22"/>
        </w:rPr>
        <w:t xml:space="preserve">went onto say this: </w:t>
      </w:r>
      <w:bookmarkEnd w:id="0"/>
    </w:p>
    <w:p w:rsidR="00C4415C" w:rsidRPr="00F22F2B" w:rsidRDefault="00C4415C" w:rsidP="00C4415C">
      <w:pPr>
        <w:spacing w:before="240"/>
        <w:ind w:left="2835" w:hanging="567"/>
        <w:jc w:val="both"/>
        <w:rPr>
          <w:rFonts w:ascii="Book Antiqua" w:hAnsi="Book Antiqua"/>
          <w:sz w:val="22"/>
          <w:szCs w:val="22"/>
        </w:rPr>
      </w:pPr>
      <w:r>
        <w:rPr>
          <w:rFonts w:ascii="Book Antiqua" w:hAnsi="Book Antiqua"/>
          <w:sz w:val="22"/>
          <w:szCs w:val="22"/>
        </w:rPr>
        <w:t>‘</w:t>
      </w:r>
      <w:r w:rsidRPr="00F22F2B">
        <w:rPr>
          <w:rFonts w:ascii="Book Antiqua" w:hAnsi="Book Antiqua"/>
          <w:sz w:val="22"/>
          <w:szCs w:val="22"/>
        </w:rPr>
        <w:t xml:space="preserve">138. The strong presumption of a violation of Article 3 will normally be capable of being rebutted only if the following factors are cumulatively met: </w:t>
      </w:r>
    </w:p>
    <w:p w:rsidR="00C4415C" w:rsidRPr="00F22F2B" w:rsidRDefault="00C4415C" w:rsidP="00C4415C">
      <w:pPr>
        <w:spacing w:before="240"/>
        <w:ind w:left="2835" w:hanging="567"/>
        <w:jc w:val="both"/>
        <w:rPr>
          <w:rFonts w:ascii="Book Antiqua" w:hAnsi="Book Antiqua"/>
          <w:sz w:val="22"/>
          <w:szCs w:val="22"/>
        </w:rPr>
      </w:pPr>
      <w:r w:rsidRPr="00F22F2B">
        <w:rPr>
          <w:rFonts w:ascii="Book Antiqua" w:hAnsi="Book Antiqua"/>
          <w:sz w:val="22"/>
          <w:szCs w:val="22"/>
        </w:rPr>
        <w:t xml:space="preserve">(1) </w:t>
      </w:r>
      <w:r>
        <w:rPr>
          <w:rFonts w:ascii="Book Antiqua" w:hAnsi="Book Antiqua"/>
          <w:sz w:val="22"/>
          <w:szCs w:val="22"/>
        </w:rPr>
        <w:tab/>
      </w:r>
      <w:r w:rsidRPr="00F22F2B">
        <w:rPr>
          <w:rFonts w:ascii="Book Antiqua" w:hAnsi="Book Antiqua"/>
          <w:sz w:val="22"/>
          <w:szCs w:val="22"/>
        </w:rPr>
        <w:t xml:space="preserve">the reductions in the required minimum personal space of 3 sq. m are short, occasional and minor (see paragraph 130 above): </w:t>
      </w:r>
    </w:p>
    <w:p w:rsidR="00C4415C" w:rsidRPr="00F22F2B" w:rsidRDefault="00C4415C" w:rsidP="00C4415C">
      <w:pPr>
        <w:spacing w:before="240"/>
        <w:ind w:left="2835" w:hanging="567"/>
        <w:jc w:val="both"/>
        <w:rPr>
          <w:rFonts w:ascii="Book Antiqua" w:hAnsi="Book Antiqua"/>
          <w:sz w:val="22"/>
          <w:szCs w:val="22"/>
        </w:rPr>
      </w:pPr>
      <w:r w:rsidRPr="00F22F2B">
        <w:rPr>
          <w:rFonts w:ascii="Book Antiqua" w:hAnsi="Book Antiqua"/>
          <w:sz w:val="22"/>
          <w:szCs w:val="22"/>
        </w:rPr>
        <w:t xml:space="preserve">(2) </w:t>
      </w:r>
      <w:r>
        <w:rPr>
          <w:rFonts w:ascii="Book Antiqua" w:hAnsi="Book Antiqua"/>
          <w:sz w:val="22"/>
          <w:szCs w:val="22"/>
        </w:rPr>
        <w:tab/>
      </w:r>
      <w:r w:rsidRPr="00F22F2B">
        <w:rPr>
          <w:rFonts w:ascii="Book Antiqua" w:hAnsi="Book Antiqua"/>
          <w:sz w:val="22"/>
          <w:szCs w:val="22"/>
        </w:rPr>
        <w:t xml:space="preserve">such reductions are accompanied by sufficient freedom of movement outside the cell and adequate out-of-cell activities (see paragraph 133 above); </w:t>
      </w:r>
    </w:p>
    <w:p w:rsidR="00C4415C" w:rsidRPr="00C4415C" w:rsidRDefault="00C4415C" w:rsidP="00C4415C">
      <w:pPr>
        <w:spacing w:before="240"/>
        <w:ind w:left="2835" w:hanging="567"/>
        <w:jc w:val="both"/>
        <w:rPr>
          <w:rFonts w:ascii="Book Antiqua" w:hAnsi="Book Antiqua"/>
          <w:sz w:val="22"/>
          <w:szCs w:val="22"/>
        </w:rPr>
      </w:pPr>
      <w:r w:rsidRPr="00F22F2B">
        <w:rPr>
          <w:rFonts w:ascii="Book Antiqua" w:hAnsi="Book Antiqua"/>
          <w:sz w:val="22"/>
          <w:szCs w:val="22"/>
        </w:rPr>
        <w:t xml:space="preserve">(3) </w:t>
      </w:r>
      <w:r>
        <w:rPr>
          <w:rFonts w:ascii="Book Antiqua" w:hAnsi="Book Antiqua"/>
          <w:sz w:val="22"/>
          <w:szCs w:val="22"/>
        </w:rPr>
        <w:tab/>
      </w:r>
      <w:r w:rsidRPr="00F22F2B">
        <w:rPr>
          <w:rFonts w:ascii="Book Antiqua" w:hAnsi="Book Antiqua"/>
          <w:sz w:val="22"/>
          <w:szCs w:val="22"/>
        </w:rPr>
        <w:t>the applicant is confined in what is, when viewed generally, an appropriate detention facility, and there are no other aggravating aspects of the conditions of his or her detention (see paragraph 134 above).</w:t>
      </w:r>
      <w:proofErr w:type="gramStart"/>
      <w:r>
        <w:rPr>
          <w:rFonts w:ascii="Book Antiqua" w:hAnsi="Book Antiqua"/>
          <w:sz w:val="22"/>
          <w:szCs w:val="22"/>
        </w:rPr>
        <w:t>’ ”</w:t>
      </w:r>
      <w:proofErr w:type="gramEnd"/>
    </w:p>
    <w:p w:rsidR="002842F5" w:rsidRPr="00C4415C" w:rsidRDefault="00C4415C" w:rsidP="009D187F">
      <w:pPr>
        <w:numPr>
          <w:ilvl w:val="0"/>
          <w:numId w:val="1"/>
        </w:numPr>
        <w:tabs>
          <w:tab w:val="clear" w:pos="567"/>
        </w:tabs>
        <w:spacing w:before="240"/>
        <w:jc w:val="both"/>
        <w:rPr>
          <w:rFonts w:ascii="Book Antiqua" w:hAnsi="Book Antiqua" w:cs="Arial"/>
        </w:rPr>
      </w:pPr>
      <w:r>
        <w:rPr>
          <w:rFonts w:ascii="Book Antiqua" w:hAnsi="Book Antiqua" w:cs="Arial"/>
        </w:rPr>
        <w:t>T</w:t>
      </w:r>
      <w:r w:rsidR="002842F5" w:rsidRPr="00C4415C">
        <w:rPr>
          <w:rFonts w:ascii="Book Antiqua" w:hAnsi="Book Antiqua" w:cs="Arial"/>
        </w:rPr>
        <w:t xml:space="preserve">he Court of Appeal in </w:t>
      </w:r>
      <w:proofErr w:type="spellStart"/>
      <w:r w:rsidR="002842F5" w:rsidRPr="00C4415C">
        <w:rPr>
          <w:rFonts w:ascii="Book Antiqua" w:hAnsi="Book Antiqua" w:cs="Arial"/>
          <w:b/>
          <w:u w:val="single"/>
        </w:rPr>
        <w:t>Grecu</w:t>
      </w:r>
      <w:proofErr w:type="spellEnd"/>
      <w:r>
        <w:rPr>
          <w:rFonts w:ascii="Book Antiqua" w:hAnsi="Book Antiqua" w:cs="Arial"/>
        </w:rPr>
        <w:t xml:space="preserve"> went on to conclude</w:t>
      </w:r>
      <w:r w:rsidR="002842F5" w:rsidRPr="00C4415C">
        <w:rPr>
          <w:rFonts w:ascii="Book Antiqua" w:hAnsi="Book Antiqua" w:cs="Arial"/>
        </w:rPr>
        <w:t>:</w:t>
      </w:r>
    </w:p>
    <w:p w:rsidR="002842F5" w:rsidRPr="00666CCF" w:rsidRDefault="002842F5" w:rsidP="002842F5">
      <w:pPr>
        <w:spacing w:before="240"/>
        <w:ind w:left="1701" w:hanging="567"/>
        <w:jc w:val="both"/>
        <w:rPr>
          <w:rFonts w:ascii="Book Antiqua" w:hAnsi="Book Antiqua"/>
          <w:sz w:val="22"/>
          <w:szCs w:val="22"/>
        </w:rPr>
      </w:pPr>
      <w:bookmarkStart w:id="1" w:name="para46"/>
      <w:r>
        <w:rPr>
          <w:rFonts w:ascii="Book Antiqua" w:hAnsi="Book Antiqua"/>
          <w:sz w:val="22"/>
          <w:szCs w:val="22"/>
        </w:rPr>
        <w:t>“46.</w:t>
      </w:r>
      <w:r>
        <w:rPr>
          <w:rFonts w:ascii="Book Antiqua" w:hAnsi="Book Antiqua"/>
          <w:sz w:val="22"/>
          <w:szCs w:val="22"/>
        </w:rPr>
        <w:tab/>
      </w:r>
      <w:r w:rsidR="00C4415C">
        <w:rPr>
          <w:rFonts w:ascii="Book Antiqua" w:hAnsi="Book Antiqua"/>
          <w:sz w:val="22"/>
          <w:szCs w:val="22"/>
        </w:rPr>
        <w:t>…</w:t>
      </w:r>
      <w:r w:rsidRPr="00666CCF">
        <w:rPr>
          <w:rFonts w:ascii="Book Antiqua" w:hAnsi="Book Antiqua"/>
          <w:sz w:val="22"/>
          <w:szCs w:val="22"/>
        </w:rPr>
        <w:t xml:space="preserve"> It seems clear to me that the ECtHR has stated a deliberately crisp approach in </w:t>
      </w:r>
      <w:proofErr w:type="spellStart"/>
      <w:r w:rsidRPr="00666CCF">
        <w:rPr>
          <w:rFonts w:ascii="Book Antiqua" w:hAnsi="Book Antiqua"/>
          <w:i/>
          <w:iCs/>
          <w:sz w:val="22"/>
          <w:szCs w:val="22"/>
        </w:rPr>
        <w:t>Muršic</w:t>
      </w:r>
      <w:proofErr w:type="spellEnd"/>
      <w:r w:rsidRPr="00666CCF">
        <w:rPr>
          <w:rFonts w:ascii="Book Antiqua" w:hAnsi="Book Antiqua"/>
          <w:sz w:val="22"/>
          <w:szCs w:val="22"/>
        </w:rPr>
        <w:t xml:space="preserve">, in the passage from paragraph 138 quoted above [26]. The Court has been careful to stipulate that the factors must be "cumulatively" met. The first "factor" cannot be met here at all, on the present state of the assurances. The assurance is that 2m² will be guaranteed. That cannot be thought a "minor" reduction from a minimum of 3m². And it is the guaranteed minimum for the overall semi-open regime: </w:t>
      </w:r>
      <w:proofErr w:type="gramStart"/>
      <w:r w:rsidRPr="00666CCF">
        <w:rPr>
          <w:rFonts w:ascii="Book Antiqua" w:hAnsi="Book Antiqua"/>
          <w:sz w:val="22"/>
          <w:szCs w:val="22"/>
        </w:rPr>
        <w:t>that is to say, that</w:t>
      </w:r>
      <w:proofErr w:type="gramEnd"/>
      <w:r w:rsidRPr="00666CCF">
        <w:rPr>
          <w:rFonts w:ascii="Book Antiqua" w:hAnsi="Book Antiqua"/>
          <w:sz w:val="22"/>
          <w:szCs w:val="22"/>
        </w:rPr>
        <w:t xml:space="preserve"> is the long-term and normal provision of space. It cannot be characterised as either "short" or "occasional". </w:t>
      </w:r>
      <w:bookmarkEnd w:id="1"/>
    </w:p>
    <w:p w:rsidR="002842F5" w:rsidRPr="00666CCF" w:rsidRDefault="002842F5" w:rsidP="002842F5">
      <w:pPr>
        <w:spacing w:before="240"/>
        <w:ind w:left="1701" w:hanging="567"/>
        <w:jc w:val="both"/>
        <w:rPr>
          <w:rFonts w:ascii="Book Antiqua" w:hAnsi="Book Antiqua"/>
          <w:sz w:val="22"/>
          <w:szCs w:val="22"/>
        </w:rPr>
      </w:pPr>
      <w:bookmarkStart w:id="2" w:name="para47"/>
      <w:r>
        <w:rPr>
          <w:rFonts w:ascii="Book Antiqua" w:hAnsi="Book Antiqua"/>
          <w:sz w:val="22"/>
          <w:szCs w:val="22"/>
        </w:rPr>
        <w:t>47.</w:t>
      </w:r>
      <w:r>
        <w:rPr>
          <w:rFonts w:ascii="Book Antiqua" w:hAnsi="Book Antiqua"/>
          <w:sz w:val="22"/>
          <w:szCs w:val="22"/>
        </w:rPr>
        <w:tab/>
      </w:r>
      <w:r w:rsidRPr="00666CCF">
        <w:rPr>
          <w:rFonts w:ascii="Book Antiqua" w:hAnsi="Book Antiqua"/>
          <w:sz w:val="22"/>
          <w:szCs w:val="22"/>
        </w:rPr>
        <w:t xml:space="preserve">For myself, other things being equal, I would find considerable importance in the degree of freedom of movement and the activities on offer. It seems to me that Mr Knowles overstates his proposition somewhat when he suggests one should ignore completely the period from evening lockdown until morning, </w:t>
      </w:r>
      <w:proofErr w:type="gramStart"/>
      <w:r w:rsidRPr="00666CCF">
        <w:rPr>
          <w:rFonts w:ascii="Book Antiqua" w:hAnsi="Book Antiqua"/>
          <w:sz w:val="22"/>
          <w:szCs w:val="22"/>
        </w:rPr>
        <w:t>on the ground that</w:t>
      </w:r>
      <w:proofErr w:type="gramEnd"/>
      <w:r w:rsidRPr="00666CCF">
        <w:rPr>
          <w:rFonts w:ascii="Book Antiqua" w:hAnsi="Book Antiqua"/>
          <w:sz w:val="22"/>
          <w:szCs w:val="22"/>
        </w:rPr>
        <w:t xml:space="preserve"> the prisoner should be asleep all of that time. Nevertheless, the regime does permit a good amount of movement and the facilities appear reasonable. In </w:t>
      </w:r>
      <w:proofErr w:type="spellStart"/>
      <w:r w:rsidRPr="00666CCF">
        <w:rPr>
          <w:rFonts w:ascii="Book Antiqua" w:hAnsi="Book Antiqua"/>
          <w:sz w:val="22"/>
          <w:szCs w:val="22"/>
        </w:rPr>
        <w:t>commonsense</w:t>
      </w:r>
      <w:proofErr w:type="spellEnd"/>
      <w:r w:rsidRPr="00666CCF">
        <w:rPr>
          <w:rFonts w:ascii="Book Antiqua" w:hAnsi="Book Antiqua"/>
          <w:sz w:val="22"/>
          <w:szCs w:val="22"/>
        </w:rPr>
        <w:t xml:space="preserve"> terms, this must alleviate the effects of a cramped cell to some degree. But we come back to the fact that the ECtHR has interpreted the application of Article 3 so clearly as requiring all the "factors" to be cumulative. </w:t>
      </w:r>
      <w:bookmarkEnd w:id="2"/>
    </w:p>
    <w:p w:rsidR="002842F5" w:rsidRPr="00666CCF" w:rsidRDefault="002842F5" w:rsidP="002842F5">
      <w:pPr>
        <w:spacing w:before="240"/>
        <w:ind w:left="1701" w:hanging="567"/>
        <w:jc w:val="both"/>
        <w:rPr>
          <w:rFonts w:ascii="Book Antiqua" w:hAnsi="Book Antiqua"/>
          <w:sz w:val="22"/>
          <w:szCs w:val="22"/>
        </w:rPr>
      </w:pPr>
      <w:bookmarkStart w:id="3" w:name="para48"/>
      <w:r>
        <w:rPr>
          <w:rFonts w:ascii="Book Antiqua" w:hAnsi="Book Antiqua"/>
          <w:sz w:val="22"/>
          <w:szCs w:val="22"/>
        </w:rPr>
        <w:t>48.</w:t>
      </w:r>
      <w:r>
        <w:rPr>
          <w:rFonts w:ascii="Book Antiqua" w:hAnsi="Book Antiqua"/>
          <w:sz w:val="22"/>
          <w:szCs w:val="22"/>
        </w:rPr>
        <w:tab/>
      </w:r>
      <w:r w:rsidRPr="00666CCF">
        <w:rPr>
          <w:rFonts w:ascii="Book Antiqua" w:hAnsi="Book Antiqua"/>
          <w:sz w:val="22"/>
          <w:szCs w:val="22"/>
        </w:rPr>
        <w:t xml:space="preserve">I recognise the force of the presumption of compliance by a Member State, and the requirement for "something approaching international consensus", in the language of the Court in </w:t>
      </w:r>
      <w:proofErr w:type="spellStart"/>
      <w:r w:rsidRPr="00666CCF">
        <w:rPr>
          <w:rFonts w:ascii="Book Antiqua" w:hAnsi="Book Antiqua"/>
          <w:i/>
          <w:iCs/>
          <w:sz w:val="22"/>
          <w:szCs w:val="22"/>
        </w:rPr>
        <w:t>Owda</w:t>
      </w:r>
      <w:proofErr w:type="spellEnd"/>
      <w:r w:rsidRPr="00666CCF">
        <w:rPr>
          <w:rFonts w:ascii="Book Antiqua" w:hAnsi="Book Antiqua"/>
          <w:sz w:val="22"/>
          <w:szCs w:val="22"/>
        </w:rPr>
        <w:t xml:space="preserve"> quoted above. However, it appears to me that it is hard to apply a "presumption" in the face of the lucid test set out in </w:t>
      </w:r>
      <w:proofErr w:type="spellStart"/>
      <w:r w:rsidRPr="00666CCF">
        <w:rPr>
          <w:rFonts w:ascii="Book Antiqua" w:hAnsi="Book Antiqua"/>
          <w:i/>
          <w:iCs/>
          <w:sz w:val="22"/>
          <w:szCs w:val="22"/>
        </w:rPr>
        <w:t>Muršic</w:t>
      </w:r>
      <w:proofErr w:type="spellEnd"/>
      <w:r w:rsidRPr="00666CCF">
        <w:rPr>
          <w:rFonts w:ascii="Book Antiqua" w:hAnsi="Book Antiqua"/>
          <w:sz w:val="22"/>
          <w:szCs w:val="22"/>
        </w:rPr>
        <w:t xml:space="preserve">. Moreover, the broad and critical conclusions as to Romanian prison overcrowding and conditions in </w:t>
      </w:r>
      <w:proofErr w:type="spellStart"/>
      <w:r w:rsidRPr="00666CCF">
        <w:rPr>
          <w:rFonts w:ascii="Book Antiqua" w:hAnsi="Book Antiqua"/>
          <w:i/>
          <w:iCs/>
          <w:sz w:val="22"/>
          <w:szCs w:val="22"/>
        </w:rPr>
        <w:t>Rezmives</w:t>
      </w:r>
      <w:proofErr w:type="spellEnd"/>
      <w:r w:rsidRPr="00666CCF">
        <w:rPr>
          <w:rFonts w:ascii="Book Antiqua" w:hAnsi="Book Antiqua"/>
          <w:sz w:val="22"/>
          <w:szCs w:val="22"/>
        </w:rPr>
        <w:t xml:space="preserve"> must constitute an authoritative and general comment on the regime. I can find no more ambiguity in those observations as to the general </w:t>
      </w:r>
      <w:r w:rsidRPr="00666CCF">
        <w:rPr>
          <w:rFonts w:ascii="Book Antiqua" w:hAnsi="Book Antiqua"/>
          <w:sz w:val="22"/>
          <w:szCs w:val="22"/>
        </w:rPr>
        <w:lastRenderedPageBreak/>
        <w:t xml:space="preserve">prison conditions in Romania, than in the formulation in </w:t>
      </w:r>
      <w:proofErr w:type="spellStart"/>
      <w:r w:rsidRPr="00666CCF">
        <w:rPr>
          <w:rFonts w:ascii="Book Antiqua" w:hAnsi="Book Antiqua"/>
          <w:i/>
          <w:iCs/>
          <w:sz w:val="22"/>
          <w:szCs w:val="22"/>
        </w:rPr>
        <w:t>Muršic</w:t>
      </w:r>
      <w:proofErr w:type="spellEnd"/>
      <w:r w:rsidRPr="00666CCF">
        <w:rPr>
          <w:rFonts w:ascii="Book Antiqua" w:hAnsi="Book Antiqua"/>
          <w:sz w:val="22"/>
          <w:szCs w:val="22"/>
        </w:rPr>
        <w:t xml:space="preserve">. I do not see how the presumption of compliance can survive both, taken together. </w:t>
      </w:r>
      <w:bookmarkEnd w:id="3"/>
    </w:p>
    <w:p w:rsidR="002842F5" w:rsidRPr="00666CCF" w:rsidRDefault="002842F5" w:rsidP="002842F5">
      <w:pPr>
        <w:spacing w:before="240"/>
        <w:ind w:left="1701" w:hanging="567"/>
        <w:jc w:val="both"/>
        <w:rPr>
          <w:rFonts w:ascii="Book Antiqua" w:hAnsi="Book Antiqua"/>
          <w:sz w:val="22"/>
          <w:szCs w:val="22"/>
        </w:rPr>
      </w:pPr>
      <w:bookmarkStart w:id="4" w:name="para49"/>
      <w:r>
        <w:rPr>
          <w:rFonts w:ascii="Book Antiqua" w:hAnsi="Book Antiqua"/>
          <w:sz w:val="22"/>
          <w:szCs w:val="22"/>
        </w:rPr>
        <w:t>49.</w:t>
      </w:r>
      <w:r>
        <w:rPr>
          <w:rFonts w:ascii="Book Antiqua" w:hAnsi="Book Antiqua"/>
          <w:sz w:val="22"/>
          <w:szCs w:val="22"/>
        </w:rPr>
        <w:tab/>
      </w:r>
      <w:r w:rsidRPr="00666CCF">
        <w:rPr>
          <w:rFonts w:ascii="Book Antiqua" w:hAnsi="Book Antiqua"/>
          <w:sz w:val="22"/>
          <w:szCs w:val="22"/>
        </w:rPr>
        <w:t xml:space="preserve">Mr Knowles makes an ancillary submission. He says that, if the conclusion would otherwise go against the Respondents, the Court should permit a further opportunity to them to remedy the situation by giving a different undertaking: in effect to comply with a minimum requirement of space for these individuals, even if such a guarantee cannot be given generally. This is consistent with the approach taken in </w:t>
      </w:r>
      <w:proofErr w:type="spellStart"/>
      <w:r w:rsidRPr="00666CCF">
        <w:rPr>
          <w:rFonts w:ascii="Book Antiqua" w:hAnsi="Book Antiqua"/>
          <w:i/>
          <w:iCs/>
          <w:sz w:val="22"/>
          <w:szCs w:val="22"/>
        </w:rPr>
        <w:t>Florea</w:t>
      </w:r>
      <w:proofErr w:type="spellEnd"/>
      <w:r w:rsidRPr="00666CCF">
        <w:rPr>
          <w:rFonts w:ascii="Book Antiqua" w:hAnsi="Book Antiqua"/>
          <w:i/>
          <w:iCs/>
          <w:sz w:val="22"/>
          <w:szCs w:val="22"/>
        </w:rPr>
        <w:t xml:space="preserve"> I</w:t>
      </w:r>
      <w:r w:rsidRPr="00666CCF">
        <w:rPr>
          <w:rFonts w:ascii="Book Antiqua" w:hAnsi="Book Antiqua"/>
          <w:sz w:val="22"/>
          <w:szCs w:val="22"/>
        </w:rPr>
        <w:t xml:space="preserve"> and, for example, in </w:t>
      </w:r>
      <w:r w:rsidRPr="00666CCF">
        <w:rPr>
          <w:rFonts w:ascii="Book Antiqua" w:hAnsi="Book Antiqua"/>
          <w:i/>
          <w:iCs/>
          <w:sz w:val="22"/>
          <w:szCs w:val="22"/>
        </w:rPr>
        <w:t>Giese v Government of the USA</w:t>
      </w:r>
      <w:r w:rsidRPr="00666CCF">
        <w:rPr>
          <w:rFonts w:ascii="Book Antiqua" w:hAnsi="Book Antiqua"/>
          <w:sz w:val="22"/>
          <w:szCs w:val="22"/>
        </w:rPr>
        <w:t xml:space="preserve"> </w:t>
      </w:r>
      <w:bookmarkEnd w:id="4"/>
      <w:r w:rsidRPr="00666CCF">
        <w:rPr>
          <w:rFonts w:ascii="Book Antiqua" w:hAnsi="Book Antiqua"/>
          <w:sz w:val="22"/>
          <w:szCs w:val="22"/>
        </w:rPr>
        <w:fldChar w:fldCharType="begin"/>
      </w:r>
      <w:r w:rsidRPr="00666CCF">
        <w:rPr>
          <w:rFonts w:ascii="Book Antiqua" w:hAnsi="Book Antiqua"/>
          <w:sz w:val="22"/>
          <w:szCs w:val="22"/>
        </w:rPr>
        <w:instrText xml:space="preserve"> HYPERLINK "http://www.bailii.org/ew/cases/EWHC/Admin/2015/2733.html" \o "Link to BAILII version" </w:instrText>
      </w:r>
      <w:r w:rsidRPr="00666CCF">
        <w:rPr>
          <w:rFonts w:ascii="Book Antiqua" w:hAnsi="Book Antiqua"/>
          <w:sz w:val="22"/>
          <w:szCs w:val="22"/>
        </w:rPr>
        <w:fldChar w:fldCharType="separate"/>
      </w:r>
      <w:r w:rsidRPr="00666CCF">
        <w:rPr>
          <w:rFonts w:ascii="Book Antiqua" w:hAnsi="Book Antiqua"/>
          <w:sz w:val="22"/>
          <w:szCs w:val="22"/>
          <w:u w:val="single"/>
        </w:rPr>
        <w:t>[2015] EWHC 2733 (Admin)</w:t>
      </w:r>
      <w:r w:rsidRPr="00666CCF">
        <w:rPr>
          <w:rFonts w:ascii="Book Antiqua" w:hAnsi="Book Antiqua"/>
          <w:sz w:val="22"/>
          <w:szCs w:val="22"/>
        </w:rPr>
        <w:fldChar w:fldCharType="end"/>
      </w:r>
      <w:r w:rsidRPr="00666CCF">
        <w:rPr>
          <w:rFonts w:ascii="Book Antiqua" w:hAnsi="Book Antiqua"/>
          <w:sz w:val="22"/>
          <w:szCs w:val="22"/>
        </w:rPr>
        <w:t xml:space="preserve"> (paragraph 69). This is opposed by Mr Hall, who says that the Respondent's position is of long standing, and they have had every opportunity to change it if they so desired. </w:t>
      </w:r>
    </w:p>
    <w:p w:rsidR="002842F5" w:rsidRPr="00666CCF" w:rsidRDefault="002842F5" w:rsidP="002842F5">
      <w:pPr>
        <w:spacing w:before="240"/>
        <w:ind w:left="1701" w:hanging="567"/>
        <w:jc w:val="both"/>
        <w:rPr>
          <w:rFonts w:ascii="Book Antiqua" w:hAnsi="Book Antiqua"/>
          <w:sz w:val="22"/>
          <w:szCs w:val="22"/>
        </w:rPr>
      </w:pPr>
      <w:bookmarkStart w:id="5" w:name="para50"/>
      <w:r>
        <w:rPr>
          <w:rFonts w:ascii="Book Antiqua" w:hAnsi="Book Antiqua"/>
          <w:sz w:val="22"/>
          <w:szCs w:val="22"/>
        </w:rPr>
        <w:t>50.</w:t>
      </w:r>
      <w:r>
        <w:rPr>
          <w:rFonts w:ascii="Book Antiqua" w:hAnsi="Book Antiqua"/>
          <w:sz w:val="22"/>
          <w:szCs w:val="22"/>
        </w:rPr>
        <w:tab/>
      </w:r>
      <w:r w:rsidRPr="00666CCF">
        <w:rPr>
          <w:rFonts w:ascii="Book Antiqua" w:hAnsi="Book Antiqua"/>
          <w:sz w:val="22"/>
          <w:szCs w:val="22"/>
        </w:rPr>
        <w:t xml:space="preserve">For myself, I would grant a final opportunity for varied undertakings. There is the greatest incentive to foster the extradition system. It will be very highly undesirable if extradition to Romania stalls, in respect of these requested persons and no doubt others to follow. There are precedents for specific provisions in custody conditions (and indeed trial arrangements) to secure continuing extradition. Any undertaking will have to satisfy the Court that prisoners extradited will, save for short periods, and to a minor extent (meaning a minor reduction below 3m²), be guaranteed at least 3m² of personal space. </w:t>
      </w:r>
      <w:proofErr w:type="gramStart"/>
      <w:r w:rsidRPr="00666CCF">
        <w:rPr>
          <w:rFonts w:ascii="Book Antiqua" w:hAnsi="Book Antiqua"/>
          <w:sz w:val="22"/>
          <w:szCs w:val="22"/>
        </w:rPr>
        <w:t>Moreover</w:t>
      </w:r>
      <w:proofErr w:type="gramEnd"/>
      <w:r w:rsidRPr="00666CCF">
        <w:rPr>
          <w:rFonts w:ascii="Book Antiqua" w:hAnsi="Book Antiqua"/>
          <w:sz w:val="22"/>
          <w:szCs w:val="22"/>
        </w:rPr>
        <w:t xml:space="preserve"> the guarantee would need to be in clear terms, and terms which cover the whole of the anticipated terms of detention. In other words, the assurance would have to </w:t>
      </w:r>
      <w:proofErr w:type="gramStart"/>
      <w:r w:rsidRPr="00666CCF">
        <w:rPr>
          <w:rFonts w:ascii="Book Antiqua" w:hAnsi="Book Antiqua"/>
          <w:sz w:val="22"/>
          <w:szCs w:val="22"/>
        </w:rPr>
        <w:t>be in compliance with</w:t>
      </w:r>
      <w:proofErr w:type="gramEnd"/>
      <w:r w:rsidRPr="00666CCF">
        <w:rPr>
          <w:rFonts w:ascii="Book Antiqua" w:hAnsi="Book Antiqua"/>
          <w:sz w:val="22"/>
          <w:szCs w:val="22"/>
        </w:rPr>
        <w:t xml:space="preserve"> the test in </w:t>
      </w:r>
      <w:proofErr w:type="spellStart"/>
      <w:r w:rsidRPr="00666CCF">
        <w:rPr>
          <w:rFonts w:ascii="Book Antiqua" w:hAnsi="Book Antiqua"/>
          <w:i/>
          <w:iCs/>
          <w:sz w:val="22"/>
          <w:szCs w:val="22"/>
        </w:rPr>
        <w:t>Muršic</w:t>
      </w:r>
      <w:proofErr w:type="spellEnd"/>
      <w:r w:rsidRPr="00666CCF">
        <w:rPr>
          <w:rFonts w:ascii="Book Antiqua" w:hAnsi="Book Antiqua"/>
          <w:sz w:val="22"/>
          <w:szCs w:val="22"/>
        </w:rPr>
        <w:t xml:space="preserve">. </w:t>
      </w:r>
      <w:bookmarkEnd w:id="5"/>
    </w:p>
    <w:p w:rsidR="002842F5" w:rsidRPr="00666CCF" w:rsidRDefault="002842F5" w:rsidP="002842F5">
      <w:pPr>
        <w:spacing w:before="240"/>
        <w:ind w:left="1701" w:hanging="567"/>
        <w:jc w:val="both"/>
        <w:rPr>
          <w:rFonts w:ascii="Book Antiqua" w:hAnsi="Book Antiqua"/>
          <w:sz w:val="22"/>
          <w:szCs w:val="22"/>
        </w:rPr>
      </w:pPr>
      <w:bookmarkStart w:id="6" w:name="para51"/>
      <w:r>
        <w:rPr>
          <w:rFonts w:ascii="Book Antiqua" w:hAnsi="Book Antiqua"/>
          <w:sz w:val="22"/>
          <w:szCs w:val="22"/>
        </w:rPr>
        <w:t>51.</w:t>
      </w:r>
      <w:r>
        <w:rPr>
          <w:rFonts w:ascii="Book Antiqua" w:hAnsi="Book Antiqua"/>
          <w:sz w:val="22"/>
          <w:szCs w:val="22"/>
        </w:rPr>
        <w:tab/>
      </w:r>
      <w:r w:rsidRPr="00666CCF">
        <w:rPr>
          <w:rFonts w:ascii="Book Antiqua" w:hAnsi="Book Antiqua"/>
          <w:sz w:val="22"/>
          <w:szCs w:val="22"/>
        </w:rPr>
        <w:t>I would not be prepared to leave an open-ended period, or indeed a long period, for decision by the Respondents. There has been a considerable passage of time already. I recognise that the Romanian authorities will now be faced with a stark choice and will need to consider their position. For myself, I would consider submissions from the Respondents as to whether the period for decisions should exceed four weeks from the date of this judgment, if so desired. The Appellants must have the opportunity to respond in writing, if desired. I would allow 14 days from the date when the Respondents' submissions are filed and served. I would suspend making an Order in this case to permit that avenue to be explored, within such time limits</w:t>
      </w:r>
      <w:r>
        <w:rPr>
          <w:rFonts w:ascii="Book Antiqua" w:hAnsi="Book Antiqua"/>
          <w:sz w:val="22"/>
          <w:szCs w:val="22"/>
        </w:rPr>
        <w:t>”</w:t>
      </w:r>
      <w:r w:rsidRPr="00666CCF">
        <w:rPr>
          <w:rFonts w:ascii="Book Antiqua" w:hAnsi="Book Antiqua"/>
          <w:sz w:val="22"/>
          <w:szCs w:val="22"/>
        </w:rPr>
        <w:t xml:space="preserve">. </w:t>
      </w:r>
      <w:bookmarkEnd w:id="6"/>
    </w:p>
    <w:p w:rsidR="006044A9" w:rsidRDefault="00106E56" w:rsidP="002842F5">
      <w:pPr>
        <w:numPr>
          <w:ilvl w:val="0"/>
          <w:numId w:val="1"/>
        </w:numPr>
        <w:tabs>
          <w:tab w:val="clear" w:pos="567"/>
        </w:tabs>
        <w:spacing w:before="240"/>
        <w:jc w:val="both"/>
        <w:rPr>
          <w:rFonts w:ascii="Book Antiqua" w:hAnsi="Book Antiqua" w:cs="Arial"/>
        </w:rPr>
      </w:pPr>
      <w:r w:rsidRPr="00106E56">
        <w:rPr>
          <w:rFonts w:ascii="Book Antiqua" w:hAnsi="Book Antiqua" w:cs="Arial"/>
        </w:rPr>
        <w:t xml:space="preserve">What we draw from this is that </w:t>
      </w:r>
      <w:r w:rsidR="006044A9" w:rsidRPr="006044A9">
        <w:rPr>
          <w:rFonts w:ascii="Book Antiqua" w:hAnsi="Book Antiqua" w:cs="Arial"/>
        </w:rPr>
        <w:t>individuals whether facing closed, sem</w:t>
      </w:r>
      <w:r w:rsidR="00054A6B">
        <w:rPr>
          <w:rFonts w:ascii="Book Antiqua" w:hAnsi="Book Antiqua" w:cs="Arial"/>
        </w:rPr>
        <w:t xml:space="preserve">i- or open prison conditions must </w:t>
      </w:r>
      <w:r w:rsidR="006044A9" w:rsidRPr="006044A9">
        <w:rPr>
          <w:rFonts w:ascii="Book Antiqua" w:hAnsi="Book Antiqua" w:cs="Arial"/>
        </w:rPr>
        <w:t xml:space="preserve">be granted at least </w:t>
      </w:r>
      <w:r w:rsidR="006044A9" w:rsidRPr="00430F27">
        <w:rPr>
          <w:rFonts w:ascii="Book Antiqua" w:hAnsi="Book Antiqua"/>
        </w:rPr>
        <w:t>3m²</w:t>
      </w:r>
      <w:r w:rsidR="006044A9">
        <w:rPr>
          <w:rFonts w:ascii="Book Antiqua" w:hAnsi="Book Antiqua"/>
        </w:rPr>
        <w:t xml:space="preserve"> o</w:t>
      </w:r>
      <w:r w:rsidR="006044A9" w:rsidRPr="006044A9">
        <w:rPr>
          <w:rFonts w:ascii="Book Antiqua" w:hAnsi="Book Antiqua" w:cs="Arial"/>
        </w:rPr>
        <w:t xml:space="preserve">f personal space, unless </w:t>
      </w:r>
      <w:r>
        <w:rPr>
          <w:rFonts w:ascii="Book Antiqua" w:hAnsi="Book Antiqua" w:cs="Arial"/>
        </w:rPr>
        <w:t xml:space="preserve">the specific and </w:t>
      </w:r>
      <w:r w:rsidR="006044A9" w:rsidRPr="006044A9">
        <w:rPr>
          <w:rFonts w:ascii="Book Antiqua" w:hAnsi="Book Antiqua" w:cs="Arial"/>
        </w:rPr>
        <w:t>cumulative</w:t>
      </w:r>
      <w:r w:rsidR="006044A9">
        <w:rPr>
          <w:rFonts w:ascii="Book Antiqua" w:hAnsi="Book Antiqua" w:cs="Arial"/>
        </w:rPr>
        <w:t>,</w:t>
      </w:r>
      <w:r w:rsidR="006044A9" w:rsidRPr="006044A9">
        <w:rPr>
          <w:rFonts w:ascii="Book Antiqua" w:hAnsi="Book Antiqua" w:cs="Arial"/>
        </w:rPr>
        <w:t xml:space="preserve"> mitigating factors </w:t>
      </w:r>
      <w:r>
        <w:rPr>
          <w:rFonts w:ascii="Book Antiqua" w:hAnsi="Book Antiqua" w:cs="Arial"/>
        </w:rPr>
        <w:t xml:space="preserve">identified at [138], set out in [26] of </w:t>
      </w:r>
      <w:proofErr w:type="spellStart"/>
      <w:r w:rsidRPr="00106E56">
        <w:rPr>
          <w:rFonts w:ascii="Book Antiqua" w:hAnsi="Book Antiqua" w:cs="Arial"/>
          <w:b/>
          <w:u w:val="single"/>
        </w:rPr>
        <w:t>Grecu</w:t>
      </w:r>
      <w:proofErr w:type="spellEnd"/>
      <w:r w:rsidR="00054A6B">
        <w:rPr>
          <w:rFonts w:ascii="Book Antiqua" w:hAnsi="Book Antiqua" w:cs="Arial"/>
        </w:rPr>
        <w:t>, are</w:t>
      </w:r>
      <w:r w:rsidR="006044A9" w:rsidRPr="006044A9">
        <w:rPr>
          <w:rFonts w:ascii="Book Antiqua" w:hAnsi="Book Antiqua" w:cs="Arial"/>
        </w:rPr>
        <w:t xml:space="preserve"> shown by the issuing judicial authority to be present. </w:t>
      </w:r>
      <w:r w:rsidR="006044A9">
        <w:rPr>
          <w:rFonts w:ascii="Book Antiqua" w:hAnsi="Book Antiqua" w:cs="Arial"/>
        </w:rPr>
        <w:t xml:space="preserve"> </w:t>
      </w:r>
    </w:p>
    <w:p w:rsidR="00106E56" w:rsidRDefault="00106E56" w:rsidP="002842F5">
      <w:pPr>
        <w:numPr>
          <w:ilvl w:val="0"/>
          <w:numId w:val="1"/>
        </w:numPr>
        <w:tabs>
          <w:tab w:val="clear" w:pos="567"/>
        </w:tabs>
        <w:spacing w:before="240"/>
        <w:jc w:val="both"/>
        <w:rPr>
          <w:rFonts w:ascii="Book Antiqua" w:hAnsi="Book Antiqua" w:cs="Arial"/>
        </w:rPr>
      </w:pPr>
      <w:r>
        <w:rPr>
          <w:rFonts w:ascii="Book Antiqua" w:hAnsi="Book Antiqua" w:cs="Arial"/>
        </w:rPr>
        <w:t xml:space="preserve">Further, the </w:t>
      </w:r>
      <w:r w:rsidR="00054A6B">
        <w:rPr>
          <w:rFonts w:ascii="Book Antiqua" w:hAnsi="Book Antiqua" w:cs="Arial"/>
        </w:rPr>
        <w:t xml:space="preserve">court </w:t>
      </w:r>
      <w:r>
        <w:rPr>
          <w:rFonts w:ascii="Book Antiqua" w:hAnsi="Book Antiqua" w:cs="Arial"/>
        </w:rPr>
        <w:t xml:space="preserve">in </w:t>
      </w:r>
      <w:proofErr w:type="spellStart"/>
      <w:r w:rsidRPr="00054A6B">
        <w:rPr>
          <w:rFonts w:ascii="Book Antiqua" w:hAnsi="Book Antiqua" w:cs="Arial"/>
          <w:b/>
          <w:u w:val="single"/>
        </w:rPr>
        <w:t>Grecu</w:t>
      </w:r>
      <w:proofErr w:type="spellEnd"/>
      <w:r>
        <w:rPr>
          <w:rFonts w:ascii="Book Antiqua" w:hAnsi="Book Antiqua" w:cs="Arial"/>
        </w:rPr>
        <w:t xml:space="preserve"> </w:t>
      </w:r>
      <w:r w:rsidR="00054A6B">
        <w:rPr>
          <w:rFonts w:ascii="Book Antiqua" w:hAnsi="Book Antiqua" w:cs="Arial"/>
        </w:rPr>
        <w:t>identified that it is</w:t>
      </w:r>
      <w:r>
        <w:rPr>
          <w:rFonts w:ascii="Book Antiqua" w:hAnsi="Book Antiqua" w:cs="Arial"/>
        </w:rPr>
        <w:t xml:space="preserve"> </w:t>
      </w:r>
      <w:r w:rsidR="00056EB7">
        <w:rPr>
          <w:rFonts w:ascii="Book Antiqua" w:hAnsi="Book Antiqua" w:cs="Arial"/>
        </w:rPr>
        <w:t>appropriate</w:t>
      </w:r>
      <w:r>
        <w:rPr>
          <w:rFonts w:ascii="Book Antiqua" w:hAnsi="Book Antiqua" w:cs="Arial"/>
        </w:rPr>
        <w:t xml:space="preserve"> to seek individual assurances that someone being ret</w:t>
      </w:r>
      <w:r w:rsidR="00054A6B">
        <w:rPr>
          <w:rFonts w:ascii="Book Antiqua" w:hAnsi="Book Antiqua" w:cs="Arial"/>
        </w:rPr>
        <w:t>urned to prison in Romania will</w:t>
      </w:r>
      <w:r>
        <w:rPr>
          <w:rFonts w:ascii="Book Antiqua" w:hAnsi="Book Antiqua" w:cs="Arial"/>
        </w:rPr>
        <w:t xml:space="preserve"> be treated in compliance with the </w:t>
      </w:r>
      <w:proofErr w:type="spellStart"/>
      <w:r w:rsidRPr="00106E56">
        <w:rPr>
          <w:rFonts w:ascii="Book Antiqua" w:hAnsi="Book Antiqua" w:cs="Arial"/>
          <w:b/>
          <w:u w:val="single"/>
        </w:rPr>
        <w:t>Muršic</w:t>
      </w:r>
      <w:proofErr w:type="spellEnd"/>
      <w:r w:rsidRPr="00106E56">
        <w:rPr>
          <w:rFonts w:ascii="Book Antiqua" w:hAnsi="Book Antiqua" w:cs="Arial"/>
        </w:rPr>
        <w:t xml:space="preserve"> criteria.</w:t>
      </w:r>
      <w:r>
        <w:rPr>
          <w:rFonts w:ascii="Book Antiqua" w:hAnsi="Book Antiqua" w:cs="Arial"/>
        </w:rPr>
        <w:t xml:space="preserve"> </w:t>
      </w:r>
    </w:p>
    <w:p w:rsidR="00106E56" w:rsidRPr="00054A6B" w:rsidRDefault="00054A6B" w:rsidP="00054A6B">
      <w:pPr>
        <w:numPr>
          <w:ilvl w:val="0"/>
          <w:numId w:val="1"/>
        </w:numPr>
        <w:tabs>
          <w:tab w:val="clear" w:pos="567"/>
        </w:tabs>
        <w:spacing w:before="240"/>
        <w:jc w:val="both"/>
        <w:rPr>
          <w:rFonts w:ascii="Book Antiqua" w:hAnsi="Book Antiqua" w:cs="Arial"/>
        </w:rPr>
      </w:pPr>
      <w:r>
        <w:rPr>
          <w:rFonts w:ascii="Book Antiqua" w:hAnsi="Book Antiqua" w:cs="Arial"/>
        </w:rPr>
        <w:t xml:space="preserve">Following the direction of </w:t>
      </w:r>
      <w:r w:rsidR="00106E56">
        <w:rPr>
          <w:rFonts w:ascii="Book Antiqua" w:hAnsi="Book Antiqua" w:cs="Arial"/>
        </w:rPr>
        <w:t>Deputy Upper Tribunal Judge Hill QC</w:t>
      </w:r>
      <w:r>
        <w:rPr>
          <w:rFonts w:ascii="Book Antiqua" w:hAnsi="Book Antiqua" w:cs="Arial"/>
        </w:rPr>
        <w:t xml:space="preserve">, the respondent here did seek those assurances. Ms Holmes </w:t>
      </w:r>
      <w:r w:rsidR="00106E56" w:rsidRPr="00054A6B">
        <w:rPr>
          <w:rFonts w:ascii="Book Antiqua" w:hAnsi="Book Antiqua" w:cs="Arial"/>
        </w:rPr>
        <w:t xml:space="preserve">provided </w:t>
      </w:r>
      <w:r w:rsidR="002842F5" w:rsidRPr="00054A6B">
        <w:rPr>
          <w:rFonts w:ascii="Book Antiqua" w:hAnsi="Book Antiqua" w:cs="Arial"/>
        </w:rPr>
        <w:t>the Tribunal with a response dated 11 May 2018 from the Director of the International Law and Judicial Co-operation Directorate in the Ministry of Justice in Romania</w:t>
      </w:r>
      <w:r w:rsidR="00106E56" w:rsidRPr="00054A6B">
        <w:rPr>
          <w:rFonts w:ascii="Book Antiqua" w:hAnsi="Book Antiqua" w:cs="Arial"/>
        </w:rPr>
        <w:t xml:space="preserve"> addressing the prison conditions to which Mr Blaj will be subject on return. </w:t>
      </w:r>
    </w:p>
    <w:p w:rsidR="002842F5" w:rsidRPr="00106E56" w:rsidRDefault="002842F5" w:rsidP="00106E56">
      <w:pPr>
        <w:numPr>
          <w:ilvl w:val="0"/>
          <w:numId w:val="1"/>
        </w:numPr>
        <w:tabs>
          <w:tab w:val="clear" w:pos="567"/>
        </w:tabs>
        <w:spacing w:before="240"/>
        <w:jc w:val="both"/>
        <w:rPr>
          <w:rFonts w:ascii="Book Antiqua" w:hAnsi="Book Antiqua" w:cs="Arial"/>
        </w:rPr>
      </w:pPr>
      <w:r w:rsidRPr="00106E56">
        <w:rPr>
          <w:rFonts w:ascii="Book Antiqua" w:hAnsi="Book Antiqua" w:cs="Arial"/>
        </w:rPr>
        <w:lastRenderedPageBreak/>
        <w:t>Th</w:t>
      </w:r>
      <w:r w:rsidR="00106E56">
        <w:rPr>
          <w:rFonts w:ascii="Book Antiqua" w:hAnsi="Book Antiqua" w:cs="Arial"/>
        </w:rPr>
        <w:t xml:space="preserve">e Romanian Ministry of Justice response </w:t>
      </w:r>
      <w:r w:rsidRPr="00106E56">
        <w:rPr>
          <w:rFonts w:ascii="Book Antiqua" w:hAnsi="Book Antiqua" w:cs="Arial"/>
        </w:rPr>
        <w:t>stated:</w:t>
      </w:r>
    </w:p>
    <w:p w:rsidR="002842F5" w:rsidRDefault="002842F5" w:rsidP="002842F5">
      <w:pPr>
        <w:spacing w:before="240"/>
        <w:ind w:left="1701" w:hanging="567"/>
        <w:jc w:val="both"/>
        <w:rPr>
          <w:rFonts w:ascii="Book Antiqua" w:hAnsi="Book Antiqua" w:cs="Arial"/>
          <w:sz w:val="22"/>
          <w:szCs w:val="22"/>
        </w:rPr>
      </w:pPr>
      <w:r>
        <w:rPr>
          <w:rFonts w:ascii="Book Antiqua" w:hAnsi="Book Antiqua" w:cs="Arial"/>
          <w:sz w:val="22"/>
          <w:szCs w:val="22"/>
        </w:rPr>
        <w:t>“(1)</w:t>
      </w:r>
      <w:r>
        <w:rPr>
          <w:rFonts w:ascii="Book Antiqua" w:hAnsi="Book Antiqua" w:cs="Arial"/>
          <w:sz w:val="22"/>
          <w:szCs w:val="22"/>
        </w:rPr>
        <w:tab/>
      </w:r>
      <w:bookmarkStart w:id="7" w:name="_Hlk516647667"/>
      <w:r>
        <w:rPr>
          <w:rFonts w:ascii="Book Antiqua" w:hAnsi="Book Antiqua" w:cs="Arial"/>
          <w:sz w:val="22"/>
          <w:szCs w:val="22"/>
        </w:rPr>
        <w:t xml:space="preserve">If the said detainee is surrendered to the Romanian authorities at the Henri </w:t>
      </w:r>
      <w:proofErr w:type="spellStart"/>
      <w:r>
        <w:rPr>
          <w:rFonts w:ascii="Book Antiqua" w:hAnsi="Book Antiqua" w:cs="Arial"/>
          <w:sz w:val="22"/>
          <w:szCs w:val="22"/>
        </w:rPr>
        <w:t>Coanda</w:t>
      </w:r>
      <w:proofErr w:type="spellEnd"/>
      <w:r>
        <w:rPr>
          <w:rFonts w:ascii="Book Antiqua" w:hAnsi="Book Antiqua" w:cs="Arial"/>
          <w:sz w:val="22"/>
          <w:szCs w:val="22"/>
        </w:rPr>
        <w:t xml:space="preserve"> Bucharest Airport, he will be initially taken to and placed in detention in the Bucharest </w:t>
      </w:r>
      <w:proofErr w:type="spellStart"/>
      <w:r>
        <w:rPr>
          <w:rFonts w:ascii="Book Antiqua" w:hAnsi="Book Antiqua" w:cs="Arial"/>
          <w:sz w:val="22"/>
          <w:szCs w:val="22"/>
        </w:rPr>
        <w:t>Rahova</w:t>
      </w:r>
      <w:proofErr w:type="spellEnd"/>
      <w:r>
        <w:rPr>
          <w:rFonts w:ascii="Book Antiqua" w:hAnsi="Book Antiqua" w:cs="Arial"/>
          <w:sz w:val="22"/>
          <w:szCs w:val="22"/>
        </w:rPr>
        <w:t xml:space="preserve"> Penitentiary, where he will have to spend a </w:t>
      </w:r>
      <w:proofErr w:type="gramStart"/>
      <w:r>
        <w:rPr>
          <w:rFonts w:ascii="Book Antiqua" w:hAnsi="Book Antiqua" w:cs="Arial"/>
          <w:sz w:val="22"/>
          <w:szCs w:val="22"/>
        </w:rPr>
        <w:t>21 day</w:t>
      </w:r>
      <w:proofErr w:type="gramEnd"/>
      <w:r>
        <w:rPr>
          <w:rFonts w:ascii="Book Antiqua" w:hAnsi="Book Antiqua" w:cs="Arial"/>
          <w:sz w:val="22"/>
          <w:szCs w:val="22"/>
        </w:rPr>
        <w:t xml:space="preserve"> quarantine period.</w:t>
      </w:r>
    </w:p>
    <w:bookmarkEnd w:id="7"/>
    <w:p w:rsidR="002842F5" w:rsidRPr="00666CCF" w:rsidRDefault="002842F5" w:rsidP="002842F5">
      <w:pPr>
        <w:spacing w:before="240"/>
        <w:ind w:left="1701"/>
        <w:jc w:val="both"/>
        <w:rPr>
          <w:rFonts w:ascii="Book Antiqua" w:hAnsi="Book Antiqua" w:cs="Arial"/>
          <w:sz w:val="22"/>
          <w:szCs w:val="22"/>
        </w:rPr>
      </w:pPr>
      <w:r>
        <w:rPr>
          <w:rFonts w:ascii="Book Antiqua" w:hAnsi="Book Antiqua" w:cs="Arial"/>
          <w:sz w:val="22"/>
          <w:szCs w:val="22"/>
        </w:rPr>
        <w:t xml:space="preserve">The said facility has quarantine rooms in which a minimum 3-square-metre individual space is granted to the occupants thereof”. </w:t>
      </w:r>
    </w:p>
    <w:p w:rsidR="002842F5" w:rsidRDefault="002842F5" w:rsidP="002842F5">
      <w:pPr>
        <w:numPr>
          <w:ilvl w:val="0"/>
          <w:numId w:val="1"/>
        </w:numPr>
        <w:tabs>
          <w:tab w:val="clear" w:pos="567"/>
        </w:tabs>
        <w:spacing w:before="240"/>
        <w:jc w:val="both"/>
        <w:rPr>
          <w:rFonts w:ascii="Book Antiqua" w:hAnsi="Book Antiqua" w:cs="Arial"/>
        </w:rPr>
      </w:pPr>
      <w:r>
        <w:rPr>
          <w:rFonts w:ascii="Book Antiqua" w:hAnsi="Book Antiqua" w:cs="Arial"/>
        </w:rPr>
        <w:t>The response goes on in the second paragraph to state as follows:</w:t>
      </w:r>
    </w:p>
    <w:p w:rsidR="002842F5" w:rsidRPr="002A4A1F" w:rsidRDefault="002842F5" w:rsidP="002842F5">
      <w:pPr>
        <w:spacing w:before="240"/>
        <w:ind w:left="1701" w:hanging="567"/>
        <w:jc w:val="both"/>
        <w:rPr>
          <w:rFonts w:ascii="Book Antiqua" w:hAnsi="Book Antiqua" w:cs="Arial"/>
          <w:sz w:val="22"/>
          <w:szCs w:val="22"/>
        </w:rPr>
      </w:pPr>
      <w:r>
        <w:rPr>
          <w:rFonts w:ascii="Book Antiqua" w:hAnsi="Book Antiqua" w:cs="Arial"/>
          <w:sz w:val="22"/>
          <w:szCs w:val="22"/>
        </w:rPr>
        <w:t>“(2)</w:t>
      </w:r>
      <w:r>
        <w:rPr>
          <w:rFonts w:ascii="Book Antiqua" w:hAnsi="Book Antiqua" w:cs="Arial"/>
          <w:sz w:val="22"/>
          <w:szCs w:val="22"/>
        </w:rPr>
        <w:tab/>
        <w:t xml:space="preserve">After the quarantine period has been completed, considering the length of his sentence, the detainee will most likely serve time, initially, in semi-open detention regime.  At the same time, </w:t>
      </w:r>
      <w:proofErr w:type="gramStart"/>
      <w:r>
        <w:rPr>
          <w:rFonts w:ascii="Book Antiqua" w:hAnsi="Book Antiqua" w:cs="Arial"/>
          <w:sz w:val="22"/>
          <w:szCs w:val="22"/>
        </w:rPr>
        <w:t>taking into account</w:t>
      </w:r>
      <w:proofErr w:type="gramEnd"/>
      <w:r>
        <w:rPr>
          <w:rFonts w:ascii="Book Antiqua" w:hAnsi="Book Antiqua" w:cs="Arial"/>
          <w:sz w:val="22"/>
          <w:szCs w:val="22"/>
        </w:rPr>
        <w:t xml:space="preserve"> the detainee’s domicile, he will most likely begin by serving his time in the Satu Mare Penitentiary, a detention facility specialised for the service of custodial sentences in semi-open and open detention regimes”.</w:t>
      </w:r>
    </w:p>
    <w:p w:rsidR="00975BF8" w:rsidRDefault="00106E56" w:rsidP="002842F5">
      <w:pPr>
        <w:numPr>
          <w:ilvl w:val="0"/>
          <w:numId w:val="1"/>
        </w:numPr>
        <w:tabs>
          <w:tab w:val="clear" w:pos="567"/>
        </w:tabs>
        <w:spacing w:before="240"/>
        <w:jc w:val="both"/>
        <w:rPr>
          <w:rFonts w:ascii="Book Antiqua" w:hAnsi="Book Antiqua" w:cs="Arial"/>
        </w:rPr>
      </w:pPr>
      <w:r>
        <w:rPr>
          <w:rFonts w:ascii="Book Antiqua" w:hAnsi="Book Antiqua" w:cs="Arial"/>
        </w:rPr>
        <w:t xml:space="preserve">The next section of the response describes various aspects of the </w:t>
      </w:r>
      <w:r w:rsidR="00975BF8">
        <w:rPr>
          <w:rFonts w:ascii="Book Antiqua" w:hAnsi="Book Antiqua" w:cs="Arial"/>
        </w:rPr>
        <w:t>detention regime, the facilities in cells at Satu Mare Penitentiary and the opportunity for prisoners to spend time outside their rooms for most of the day.</w:t>
      </w:r>
    </w:p>
    <w:p w:rsidR="002842F5" w:rsidRDefault="00975BF8" w:rsidP="002842F5">
      <w:pPr>
        <w:numPr>
          <w:ilvl w:val="0"/>
          <w:numId w:val="1"/>
        </w:numPr>
        <w:tabs>
          <w:tab w:val="clear" w:pos="567"/>
        </w:tabs>
        <w:spacing w:before="240"/>
        <w:jc w:val="both"/>
        <w:rPr>
          <w:rFonts w:ascii="Book Antiqua" w:hAnsi="Book Antiqua" w:cs="Arial"/>
        </w:rPr>
      </w:pPr>
      <w:r>
        <w:rPr>
          <w:rFonts w:ascii="Book Antiqua" w:hAnsi="Book Antiqua" w:cs="Arial"/>
        </w:rPr>
        <w:t>The response indicates on</w:t>
      </w:r>
      <w:r w:rsidR="002842F5">
        <w:rPr>
          <w:rFonts w:ascii="Book Antiqua" w:hAnsi="Book Antiqua" w:cs="Arial"/>
        </w:rPr>
        <w:t xml:space="preserve"> page 4:</w:t>
      </w:r>
    </w:p>
    <w:p w:rsidR="002842F5" w:rsidRDefault="002842F5" w:rsidP="002842F5">
      <w:pPr>
        <w:spacing w:before="240"/>
        <w:ind w:left="1134"/>
        <w:jc w:val="both"/>
        <w:rPr>
          <w:rFonts w:ascii="Book Antiqua" w:hAnsi="Book Antiqua" w:cs="Arial"/>
          <w:sz w:val="22"/>
          <w:szCs w:val="22"/>
        </w:rPr>
      </w:pPr>
      <w:r>
        <w:rPr>
          <w:rFonts w:ascii="Book Antiqua" w:hAnsi="Book Antiqua" w:cs="Arial"/>
          <w:sz w:val="22"/>
          <w:szCs w:val="22"/>
        </w:rPr>
        <w:t xml:space="preserve">“According to the law, after having served one-fifth of the punishment, a convict shall be re-analysed </w:t>
      </w:r>
      <w:proofErr w:type="gramStart"/>
      <w:r>
        <w:rPr>
          <w:rFonts w:ascii="Book Antiqua" w:hAnsi="Book Antiqua" w:cs="Arial"/>
          <w:sz w:val="22"/>
          <w:szCs w:val="22"/>
        </w:rPr>
        <w:t>in order to</w:t>
      </w:r>
      <w:proofErr w:type="gramEnd"/>
      <w:r>
        <w:rPr>
          <w:rFonts w:ascii="Book Antiqua" w:hAnsi="Book Antiqua" w:cs="Arial"/>
          <w:sz w:val="22"/>
          <w:szCs w:val="22"/>
        </w:rPr>
        <w:t xml:space="preserve"> assess whether he/she should be transferred to another detention regime.  The evolution of the detention regime may not be predicted as it mainly depends on the detainee’s conduct while serving time.  If the detainee named here and above is assigned to serve time in open detention regime, he will most likely remain in the custody of the Satu Mare Penitentiary.</w:t>
      </w:r>
    </w:p>
    <w:p w:rsidR="002842F5" w:rsidRPr="003E0E6F" w:rsidRDefault="002842F5" w:rsidP="002842F5">
      <w:pPr>
        <w:spacing w:before="240"/>
        <w:ind w:left="1134"/>
        <w:jc w:val="both"/>
        <w:rPr>
          <w:rFonts w:ascii="Book Antiqua" w:hAnsi="Book Antiqua" w:cs="Arial"/>
          <w:sz w:val="22"/>
          <w:szCs w:val="22"/>
        </w:rPr>
      </w:pPr>
      <w:r>
        <w:rPr>
          <w:rFonts w:ascii="Book Antiqua" w:hAnsi="Book Antiqua" w:cs="Arial"/>
          <w:sz w:val="22"/>
          <w:szCs w:val="22"/>
        </w:rPr>
        <w:t xml:space="preserve">Considering the perspective of the implementation of the measures included in the ‘2018–2024 calendar of measures to address the problems regarding prison overcrowding and detention conditions’, the National Administration of Penitentiaries may guarantee, for the time being, that every detainee should be granted an individual minimum space of 3 square metres while serving time, space which includes the bed and the appertaining pieces of furniture”.  </w:t>
      </w:r>
    </w:p>
    <w:p w:rsidR="00975BF8" w:rsidRDefault="00975BF8" w:rsidP="00975BF8">
      <w:pPr>
        <w:numPr>
          <w:ilvl w:val="0"/>
          <w:numId w:val="1"/>
        </w:numPr>
        <w:tabs>
          <w:tab w:val="clear" w:pos="567"/>
        </w:tabs>
        <w:spacing w:before="240"/>
        <w:jc w:val="both"/>
        <w:rPr>
          <w:rFonts w:ascii="Book Antiqua" w:hAnsi="Book Antiqua" w:cs="Arial"/>
        </w:rPr>
      </w:pPr>
      <w:r>
        <w:rPr>
          <w:rFonts w:ascii="Book Antiqua" w:hAnsi="Book Antiqua" w:cs="Arial"/>
        </w:rPr>
        <w:t xml:space="preserve">We were satisfied that the final paragraphs of the response indicated that the conditions at Satu Mare Penitentiary that the appellant will face on return to Romania are compliant with the </w:t>
      </w:r>
      <w:proofErr w:type="spellStart"/>
      <w:r w:rsidRPr="00106E56">
        <w:rPr>
          <w:rFonts w:ascii="Book Antiqua" w:hAnsi="Book Antiqua" w:cs="Arial"/>
          <w:b/>
          <w:u w:val="single"/>
        </w:rPr>
        <w:t>Muršic</w:t>
      </w:r>
      <w:proofErr w:type="spellEnd"/>
      <w:r w:rsidRPr="00106E56">
        <w:rPr>
          <w:rFonts w:ascii="Book Antiqua" w:hAnsi="Book Antiqua" w:cs="Arial"/>
        </w:rPr>
        <w:t xml:space="preserve"> criteria</w:t>
      </w:r>
      <w:r>
        <w:rPr>
          <w:rFonts w:ascii="Book Antiqua" w:hAnsi="Book Antiqua" w:cs="Arial"/>
        </w:rPr>
        <w:t xml:space="preserve"> and would not breach Article 3 ECHR. The response indicates that he is likely to serve any remaining sentence at Satu Mare Penitentiary</w:t>
      </w:r>
      <w:r w:rsidR="00DF07EA">
        <w:rPr>
          <w:rFonts w:ascii="Book Antiqua" w:hAnsi="Book Antiqua" w:cs="Arial"/>
        </w:rPr>
        <w:t xml:space="preserve"> and that he will be provided with </w:t>
      </w:r>
      <w:r w:rsidR="00F51D25">
        <w:rPr>
          <w:rFonts w:ascii="Book Antiqua" w:hAnsi="Book Antiqua" w:cs="Arial"/>
        </w:rPr>
        <w:t xml:space="preserve">individual minimum space of at least </w:t>
      </w:r>
      <w:r w:rsidR="00DF07EA" w:rsidRPr="00430F27">
        <w:rPr>
          <w:rFonts w:ascii="Book Antiqua" w:hAnsi="Book Antiqua"/>
        </w:rPr>
        <w:t>3m²</w:t>
      </w:r>
      <w:r>
        <w:rPr>
          <w:rFonts w:ascii="Book Antiqua" w:hAnsi="Book Antiqua" w:cs="Arial"/>
        </w:rPr>
        <w:t xml:space="preserve">. </w:t>
      </w:r>
    </w:p>
    <w:p w:rsidR="00975BF8" w:rsidRPr="00DF07EA" w:rsidRDefault="00975BF8" w:rsidP="008835D5">
      <w:pPr>
        <w:numPr>
          <w:ilvl w:val="0"/>
          <w:numId w:val="1"/>
        </w:numPr>
        <w:tabs>
          <w:tab w:val="clear" w:pos="567"/>
        </w:tabs>
        <w:spacing w:before="240"/>
        <w:jc w:val="both"/>
        <w:rPr>
          <w:rFonts w:ascii="Book Antiqua" w:hAnsi="Book Antiqua" w:cs="Arial"/>
        </w:rPr>
      </w:pPr>
      <w:r w:rsidRPr="00DF07EA">
        <w:rPr>
          <w:rFonts w:ascii="Book Antiqua" w:hAnsi="Book Antiqua" w:cs="Arial"/>
        </w:rPr>
        <w:t xml:space="preserve">Further, </w:t>
      </w:r>
      <w:r w:rsidR="002842F5" w:rsidRPr="00DF07EA">
        <w:rPr>
          <w:rFonts w:ascii="Book Antiqua" w:hAnsi="Book Antiqua" w:cs="Arial"/>
        </w:rPr>
        <w:t xml:space="preserve">Ms Holmes </w:t>
      </w:r>
      <w:r w:rsidRPr="00DF07EA">
        <w:rPr>
          <w:rFonts w:ascii="Book Antiqua" w:hAnsi="Book Antiqua" w:cs="Arial"/>
        </w:rPr>
        <w:t xml:space="preserve">identified that </w:t>
      </w:r>
      <w:r w:rsidR="002842F5" w:rsidRPr="00DF07EA">
        <w:rPr>
          <w:rFonts w:ascii="Book Antiqua" w:hAnsi="Book Antiqua" w:cs="Arial"/>
        </w:rPr>
        <w:t>the US State</w:t>
      </w:r>
      <w:r w:rsidRPr="00DF07EA">
        <w:rPr>
          <w:rFonts w:ascii="Book Antiqua" w:hAnsi="Book Antiqua" w:cs="Arial"/>
        </w:rPr>
        <w:t xml:space="preserve"> Department Human Rights Reports </w:t>
      </w:r>
      <w:r w:rsidR="00DF07EA" w:rsidRPr="00DF07EA">
        <w:rPr>
          <w:rFonts w:ascii="Book Antiqua" w:hAnsi="Book Antiqua" w:cs="Arial"/>
        </w:rPr>
        <w:t xml:space="preserve">on Romania </w:t>
      </w:r>
      <w:r w:rsidR="002842F5" w:rsidRPr="00DF07EA">
        <w:rPr>
          <w:rFonts w:ascii="Book Antiqua" w:hAnsi="Book Antiqua" w:cs="Arial"/>
        </w:rPr>
        <w:t xml:space="preserve">covering 2016 and 2017 showed a reduction </w:t>
      </w:r>
      <w:r w:rsidRPr="00DF07EA">
        <w:rPr>
          <w:rFonts w:ascii="Book Antiqua" w:hAnsi="Book Antiqua" w:cs="Arial"/>
        </w:rPr>
        <w:t xml:space="preserve">in prison numbers </w:t>
      </w:r>
      <w:r w:rsidR="002842F5" w:rsidRPr="00DF07EA">
        <w:rPr>
          <w:rFonts w:ascii="Book Antiqua" w:hAnsi="Book Antiqua" w:cs="Arial"/>
        </w:rPr>
        <w:t xml:space="preserve">from 28,278 in 2016 to 24,813 in 2017.  </w:t>
      </w:r>
      <w:r w:rsidRPr="00DF07EA">
        <w:rPr>
          <w:rFonts w:ascii="Book Antiqua" w:hAnsi="Book Antiqua" w:cs="Arial"/>
        </w:rPr>
        <w:t xml:space="preserve">We accepted that this showed that the conditions at Satu Mare Penitentiary were not likely to deteriorate because of increased prisoner numbers and that the </w:t>
      </w:r>
      <w:r w:rsidR="00DF07EA" w:rsidRPr="00DF07EA">
        <w:rPr>
          <w:rFonts w:ascii="Book Antiqua" w:hAnsi="Book Antiqua" w:cs="Arial"/>
        </w:rPr>
        <w:t xml:space="preserve">use of the words </w:t>
      </w:r>
      <w:r w:rsidRPr="00DF07EA">
        <w:rPr>
          <w:rFonts w:ascii="Book Antiqua" w:hAnsi="Book Antiqua" w:cs="Arial"/>
        </w:rPr>
        <w:t xml:space="preserve">“for </w:t>
      </w:r>
      <w:r w:rsidR="00DF07EA" w:rsidRPr="00DF07EA">
        <w:rPr>
          <w:rFonts w:ascii="Book Antiqua" w:hAnsi="Book Antiqua" w:cs="Arial"/>
        </w:rPr>
        <w:t>the time being” did not suggest</w:t>
      </w:r>
      <w:r w:rsidRPr="00DF07EA">
        <w:rPr>
          <w:rFonts w:ascii="Book Antiqua" w:hAnsi="Book Antiqua" w:cs="Arial"/>
        </w:rPr>
        <w:t xml:space="preserve"> that </w:t>
      </w:r>
      <w:r w:rsidR="00DF07EA" w:rsidRPr="00DF07EA">
        <w:rPr>
          <w:rFonts w:ascii="Book Antiqua" w:hAnsi="Book Antiqua" w:cs="Arial"/>
        </w:rPr>
        <w:t xml:space="preserve">the </w:t>
      </w:r>
      <w:r w:rsidR="00DF07EA" w:rsidRPr="00DF07EA">
        <w:rPr>
          <w:rFonts w:ascii="Book Antiqua" w:hAnsi="Book Antiqua" w:cs="Arial"/>
        </w:rPr>
        <w:lastRenderedPageBreak/>
        <w:t xml:space="preserve">undertaking to provide </w:t>
      </w:r>
      <w:r w:rsidR="00F51D25">
        <w:rPr>
          <w:rFonts w:ascii="Book Antiqua" w:hAnsi="Book Antiqua" w:cs="Arial"/>
        </w:rPr>
        <w:t xml:space="preserve">individual minimum space </w:t>
      </w:r>
      <w:r w:rsidR="00DF07EA" w:rsidRPr="00DF07EA">
        <w:rPr>
          <w:rFonts w:ascii="Book Antiqua" w:hAnsi="Book Antiqua" w:cs="Arial"/>
        </w:rPr>
        <w:t xml:space="preserve">of </w:t>
      </w:r>
      <w:r w:rsidR="00DF07EA" w:rsidRPr="00DF07EA">
        <w:rPr>
          <w:rFonts w:ascii="Book Antiqua" w:hAnsi="Book Antiqua"/>
        </w:rPr>
        <w:t>3m²</w:t>
      </w:r>
      <w:r w:rsidR="00DF07EA">
        <w:rPr>
          <w:rFonts w:ascii="Book Antiqua" w:hAnsi="Book Antiqua"/>
        </w:rPr>
        <w:t xml:space="preserve"> would </w:t>
      </w:r>
      <w:r w:rsidRPr="00DF07EA">
        <w:rPr>
          <w:rFonts w:ascii="Book Antiqua" w:hAnsi="Book Antiqua" w:cs="Arial"/>
        </w:rPr>
        <w:t>change in the foreseeable future.</w:t>
      </w:r>
    </w:p>
    <w:p w:rsidR="002842F5" w:rsidRDefault="002842F5" w:rsidP="00975BF8">
      <w:pPr>
        <w:numPr>
          <w:ilvl w:val="0"/>
          <w:numId w:val="1"/>
        </w:numPr>
        <w:tabs>
          <w:tab w:val="clear" w:pos="567"/>
        </w:tabs>
        <w:spacing w:before="240"/>
        <w:jc w:val="both"/>
        <w:rPr>
          <w:rFonts w:ascii="Book Antiqua" w:hAnsi="Book Antiqua" w:cs="Arial"/>
        </w:rPr>
      </w:pPr>
      <w:r>
        <w:rPr>
          <w:rFonts w:ascii="Book Antiqua" w:hAnsi="Book Antiqua" w:cs="Arial"/>
        </w:rPr>
        <w:t>Ms Holmes also relied on an article dated 25 October 2017 from “The Romania Journal” which stated:</w:t>
      </w:r>
    </w:p>
    <w:p w:rsidR="002842F5" w:rsidRDefault="002842F5" w:rsidP="002842F5">
      <w:pPr>
        <w:spacing w:before="240"/>
        <w:ind w:left="1134"/>
        <w:jc w:val="both"/>
        <w:rPr>
          <w:rFonts w:ascii="Book Antiqua" w:hAnsi="Book Antiqua" w:cs="Arial"/>
          <w:sz w:val="22"/>
          <w:szCs w:val="22"/>
        </w:rPr>
      </w:pPr>
      <w:r>
        <w:rPr>
          <w:rFonts w:ascii="Book Antiqua" w:hAnsi="Book Antiqua" w:cs="Arial"/>
          <w:sz w:val="22"/>
          <w:szCs w:val="22"/>
        </w:rPr>
        <w:t xml:space="preserve">“Minimum compulsory detention conditions have changed in Romania, after the Justice Minister signed an order last week which amends the basic conditions of the prisoners.  According to the new order, cells must be equipped with interphones, heat and water regulators for the shower, while rooms must be minimum 2.5-metre high.  </w:t>
      </w:r>
    </w:p>
    <w:p w:rsidR="002842F5" w:rsidRDefault="002842F5" w:rsidP="002842F5">
      <w:pPr>
        <w:spacing w:before="240"/>
        <w:ind w:left="1134"/>
        <w:jc w:val="both"/>
        <w:rPr>
          <w:rFonts w:ascii="Book Antiqua" w:hAnsi="Book Antiqua" w:cs="Arial"/>
          <w:sz w:val="22"/>
          <w:szCs w:val="22"/>
        </w:rPr>
      </w:pPr>
      <w:r>
        <w:rPr>
          <w:rFonts w:ascii="Book Antiqua" w:hAnsi="Book Antiqua" w:cs="Arial"/>
          <w:sz w:val="22"/>
          <w:szCs w:val="22"/>
        </w:rPr>
        <w:t xml:space="preserve">The order has been issued by Justice Minister </w:t>
      </w:r>
      <w:proofErr w:type="spellStart"/>
      <w:r>
        <w:rPr>
          <w:rFonts w:ascii="Book Antiqua" w:hAnsi="Book Antiqua" w:cs="Arial"/>
          <w:sz w:val="22"/>
          <w:szCs w:val="22"/>
        </w:rPr>
        <w:t>Tudorel</w:t>
      </w:r>
      <w:proofErr w:type="spellEnd"/>
      <w:r>
        <w:rPr>
          <w:rFonts w:ascii="Book Antiqua" w:hAnsi="Book Antiqua" w:cs="Arial"/>
          <w:sz w:val="22"/>
          <w:szCs w:val="22"/>
        </w:rPr>
        <w:t xml:space="preserve"> </w:t>
      </w:r>
      <w:proofErr w:type="spellStart"/>
      <w:r>
        <w:rPr>
          <w:rFonts w:ascii="Book Antiqua" w:hAnsi="Book Antiqua" w:cs="Arial"/>
          <w:sz w:val="22"/>
          <w:szCs w:val="22"/>
        </w:rPr>
        <w:t>Toader</w:t>
      </w:r>
      <w:proofErr w:type="spellEnd"/>
      <w:r>
        <w:rPr>
          <w:rFonts w:ascii="Book Antiqua" w:hAnsi="Book Antiqua" w:cs="Arial"/>
          <w:sz w:val="22"/>
          <w:szCs w:val="22"/>
        </w:rPr>
        <w:t xml:space="preserve"> on October 17 and was published in the Official Gazette on October 18 …</w:t>
      </w:r>
    </w:p>
    <w:p w:rsidR="002842F5" w:rsidRDefault="002842F5" w:rsidP="002842F5">
      <w:pPr>
        <w:spacing w:before="240"/>
        <w:ind w:left="1134"/>
        <w:jc w:val="both"/>
        <w:rPr>
          <w:rFonts w:ascii="Book Antiqua" w:hAnsi="Book Antiqua"/>
          <w:sz w:val="22"/>
          <w:szCs w:val="22"/>
        </w:rPr>
      </w:pPr>
      <w:r w:rsidRPr="00B23AF0">
        <w:rPr>
          <w:rFonts w:ascii="Book Antiqua" w:hAnsi="Book Antiqua"/>
          <w:sz w:val="22"/>
          <w:szCs w:val="22"/>
        </w:rPr>
        <w:t xml:space="preserve">The European Court of Human Rights has warned in April this year that detention conditions in Romanian prisons are in breach of the European human rights laws, while pointing to a </w:t>
      </w:r>
      <w:r>
        <w:rPr>
          <w:rFonts w:ascii="Book Antiqua" w:hAnsi="Book Antiqua"/>
          <w:sz w:val="22"/>
          <w:szCs w:val="22"/>
        </w:rPr>
        <w:t>‘</w:t>
      </w:r>
      <w:r w:rsidRPr="00B23AF0">
        <w:rPr>
          <w:rFonts w:ascii="Book Antiqua" w:hAnsi="Book Antiqua"/>
          <w:sz w:val="22"/>
          <w:szCs w:val="22"/>
        </w:rPr>
        <w:t>structural deficiency</w:t>
      </w:r>
      <w:r>
        <w:rPr>
          <w:rFonts w:ascii="Book Antiqua" w:hAnsi="Book Antiqua"/>
          <w:sz w:val="22"/>
          <w:szCs w:val="22"/>
        </w:rPr>
        <w:t>’</w:t>
      </w:r>
      <w:r w:rsidRPr="00B23AF0">
        <w:rPr>
          <w:rFonts w:ascii="Book Antiqua" w:hAnsi="Book Antiqua"/>
          <w:sz w:val="22"/>
          <w:szCs w:val="22"/>
        </w:rPr>
        <w:t>.</w:t>
      </w:r>
    </w:p>
    <w:p w:rsidR="002842F5" w:rsidRPr="00B23AF0" w:rsidRDefault="002842F5" w:rsidP="002842F5">
      <w:pPr>
        <w:spacing w:before="240"/>
        <w:ind w:left="1134"/>
        <w:jc w:val="both"/>
        <w:rPr>
          <w:rFonts w:ascii="Book Antiqua" w:hAnsi="Book Antiqua" w:cs="Arial"/>
          <w:sz w:val="22"/>
          <w:szCs w:val="22"/>
        </w:rPr>
      </w:pPr>
      <w:r w:rsidRPr="00B23AF0">
        <w:rPr>
          <w:rFonts w:ascii="Book Antiqua" w:hAnsi="Book Antiqua"/>
          <w:sz w:val="22"/>
          <w:szCs w:val="22"/>
        </w:rPr>
        <w:t xml:space="preserve">So, the European </w:t>
      </w:r>
      <w:r w:rsidR="00D813D0" w:rsidRPr="00B23AF0">
        <w:rPr>
          <w:rFonts w:ascii="Book Antiqua" w:hAnsi="Book Antiqua"/>
          <w:sz w:val="22"/>
          <w:szCs w:val="22"/>
        </w:rPr>
        <w:t xml:space="preserve">Court </w:t>
      </w:r>
      <w:r w:rsidRPr="00B23AF0">
        <w:rPr>
          <w:rFonts w:ascii="Book Antiqua" w:hAnsi="Book Antiqua"/>
          <w:sz w:val="22"/>
          <w:szCs w:val="22"/>
        </w:rPr>
        <w:t xml:space="preserve">in Strasbourg gave national authorities a </w:t>
      </w:r>
      <w:proofErr w:type="gramStart"/>
      <w:r w:rsidRPr="00B23AF0">
        <w:rPr>
          <w:rFonts w:ascii="Book Antiqua" w:hAnsi="Book Antiqua"/>
          <w:sz w:val="22"/>
          <w:szCs w:val="22"/>
        </w:rPr>
        <w:t>six month</w:t>
      </w:r>
      <w:proofErr w:type="gramEnd"/>
      <w:r w:rsidRPr="00B23AF0">
        <w:rPr>
          <w:rFonts w:ascii="Book Antiqua" w:hAnsi="Book Antiqua"/>
          <w:sz w:val="22"/>
          <w:szCs w:val="22"/>
        </w:rPr>
        <w:t xml:space="preserve"> deadline to provide </w:t>
      </w:r>
      <w:r>
        <w:rPr>
          <w:rFonts w:ascii="Book Antiqua" w:hAnsi="Book Antiqua"/>
          <w:sz w:val="22"/>
          <w:szCs w:val="22"/>
        </w:rPr>
        <w:t>‘</w:t>
      </w:r>
      <w:r w:rsidRPr="00B23AF0">
        <w:rPr>
          <w:rFonts w:ascii="Book Antiqua" w:hAnsi="Book Antiqua"/>
          <w:sz w:val="22"/>
          <w:szCs w:val="22"/>
        </w:rPr>
        <w:t>a precise timetable for the implementation of the general measures</w:t>
      </w:r>
      <w:r>
        <w:rPr>
          <w:rFonts w:ascii="Book Antiqua" w:hAnsi="Book Antiqua"/>
          <w:sz w:val="22"/>
          <w:szCs w:val="22"/>
        </w:rPr>
        <w:t>’”</w:t>
      </w:r>
      <w:r w:rsidRPr="00B23AF0">
        <w:rPr>
          <w:rFonts w:ascii="Book Antiqua" w:hAnsi="Book Antiqua"/>
          <w:sz w:val="22"/>
          <w:szCs w:val="22"/>
        </w:rPr>
        <w:t>.</w:t>
      </w:r>
    </w:p>
    <w:p w:rsidR="00975BF8" w:rsidRPr="00975BF8" w:rsidRDefault="00975BF8" w:rsidP="00975BF8">
      <w:pPr>
        <w:numPr>
          <w:ilvl w:val="0"/>
          <w:numId w:val="1"/>
        </w:numPr>
        <w:tabs>
          <w:tab w:val="clear" w:pos="567"/>
        </w:tabs>
        <w:spacing w:before="240"/>
        <w:jc w:val="both"/>
        <w:rPr>
          <w:rFonts w:ascii="Book Antiqua" w:hAnsi="Book Antiqua" w:cs="Arial"/>
        </w:rPr>
      </w:pPr>
      <w:r w:rsidRPr="00975BF8">
        <w:rPr>
          <w:rFonts w:ascii="Book Antiqua" w:hAnsi="Book Antiqua" w:cs="Arial"/>
        </w:rPr>
        <w:t xml:space="preserve">The Tribunal also had before it the final order in the case of </w:t>
      </w:r>
      <w:proofErr w:type="spellStart"/>
      <w:r w:rsidRPr="00975BF8">
        <w:rPr>
          <w:rFonts w:ascii="Book Antiqua" w:hAnsi="Book Antiqua" w:cs="Arial"/>
          <w:b/>
          <w:u w:val="single"/>
        </w:rPr>
        <w:t>Grecu</w:t>
      </w:r>
      <w:proofErr w:type="spellEnd"/>
      <w:r w:rsidRPr="00975BF8">
        <w:rPr>
          <w:rFonts w:ascii="Book Antiqua" w:hAnsi="Book Antiqua" w:cs="Arial"/>
        </w:rPr>
        <w:t xml:space="preserve">, that order being issued on 24 August 2017.  The order indicated that in the case of Mr </w:t>
      </w:r>
      <w:proofErr w:type="spellStart"/>
      <w:r w:rsidRPr="00975BF8">
        <w:rPr>
          <w:rFonts w:ascii="Book Antiqua" w:hAnsi="Book Antiqua" w:cs="Arial"/>
        </w:rPr>
        <w:t>Grecu</w:t>
      </w:r>
      <w:proofErr w:type="spellEnd"/>
      <w:r w:rsidRPr="00975BF8">
        <w:rPr>
          <w:rFonts w:ascii="Book Antiqua" w:hAnsi="Book Antiqua" w:cs="Arial"/>
        </w:rPr>
        <w:t xml:space="preserve"> the Divisional Court had received “further, updated, assurances from the Romanian Ministry of Justice dated 13 July 2017, guaranteeing a minimum personal space of 3 m</w:t>
      </w:r>
      <w:r w:rsidRPr="00975BF8">
        <w:rPr>
          <w:rFonts w:ascii="Book Antiqua" w:hAnsi="Book Antiqua" w:cs="Arial"/>
          <w:vertAlign w:val="superscript"/>
        </w:rPr>
        <w:t>2</w:t>
      </w:r>
      <w:r w:rsidRPr="00975BF8">
        <w:rPr>
          <w:rFonts w:ascii="Book Antiqua" w:hAnsi="Book Antiqua" w:cs="Arial"/>
        </w:rPr>
        <w:t xml:space="preserve"> for the first and second appellants”.  </w:t>
      </w:r>
    </w:p>
    <w:p w:rsidR="002842F5" w:rsidRDefault="00975BF8" w:rsidP="002842F5">
      <w:pPr>
        <w:numPr>
          <w:ilvl w:val="0"/>
          <w:numId w:val="1"/>
        </w:numPr>
        <w:tabs>
          <w:tab w:val="clear" w:pos="567"/>
        </w:tabs>
        <w:spacing w:before="240"/>
        <w:jc w:val="both"/>
        <w:rPr>
          <w:rFonts w:ascii="Book Antiqua" w:hAnsi="Book Antiqua" w:cs="Arial"/>
        </w:rPr>
      </w:pPr>
      <w:r>
        <w:rPr>
          <w:rFonts w:ascii="Book Antiqua" w:hAnsi="Book Antiqua" w:cs="Arial"/>
        </w:rPr>
        <w:t xml:space="preserve">We were satisfied that the materials before us showed </w:t>
      </w:r>
      <w:r w:rsidR="007A6E3C">
        <w:rPr>
          <w:rFonts w:ascii="Book Antiqua" w:hAnsi="Book Antiqua" w:cs="Arial"/>
        </w:rPr>
        <w:t xml:space="preserve">a serious intention by the Romanian authorities to comply with international norms for detention facilities.  In that context, </w:t>
      </w:r>
      <w:r w:rsidR="00DF07EA">
        <w:rPr>
          <w:rFonts w:ascii="Book Antiqua" w:hAnsi="Book Antiqua" w:cs="Arial"/>
        </w:rPr>
        <w:t xml:space="preserve">we found that weight could be placed on </w:t>
      </w:r>
      <w:r w:rsidR="007A6E3C">
        <w:rPr>
          <w:rFonts w:ascii="Book Antiqua" w:hAnsi="Book Antiqua" w:cs="Arial"/>
        </w:rPr>
        <w:t xml:space="preserve">the </w:t>
      </w:r>
      <w:r w:rsidR="002842F5">
        <w:rPr>
          <w:rFonts w:ascii="Book Antiqua" w:hAnsi="Book Antiqua" w:cs="Arial"/>
        </w:rPr>
        <w:t xml:space="preserve">specific assurance given here </w:t>
      </w:r>
      <w:r>
        <w:rPr>
          <w:rFonts w:ascii="Book Antiqua" w:hAnsi="Book Antiqua" w:cs="Arial"/>
        </w:rPr>
        <w:t xml:space="preserve">for Mr Blaj. </w:t>
      </w:r>
    </w:p>
    <w:p w:rsidR="002842F5" w:rsidRDefault="002842F5" w:rsidP="002842F5">
      <w:pPr>
        <w:numPr>
          <w:ilvl w:val="0"/>
          <w:numId w:val="1"/>
        </w:numPr>
        <w:tabs>
          <w:tab w:val="clear" w:pos="567"/>
        </w:tabs>
        <w:spacing w:before="240"/>
        <w:jc w:val="both"/>
        <w:rPr>
          <w:rFonts w:ascii="Book Antiqua" w:hAnsi="Book Antiqua" w:cs="Arial"/>
        </w:rPr>
      </w:pPr>
      <w:r>
        <w:rPr>
          <w:rFonts w:ascii="Book Antiqua" w:hAnsi="Book Antiqua" w:cs="Arial"/>
        </w:rPr>
        <w:t xml:space="preserve">Mr </w:t>
      </w:r>
      <w:r w:rsidR="00D813D0">
        <w:rPr>
          <w:rFonts w:ascii="Book Antiqua" w:hAnsi="Book Antiqua" w:cs="Arial"/>
        </w:rPr>
        <w:t>Blaj</w:t>
      </w:r>
      <w:r>
        <w:rPr>
          <w:rFonts w:ascii="Book Antiqua" w:hAnsi="Book Antiqua" w:cs="Arial"/>
        </w:rPr>
        <w:t xml:space="preserve"> accepted that he did not have material which showed otherwise </w:t>
      </w:r>
      <w:r w:rsidR="00DF07EA">
        <w:rPr>
          <w:rFonts w:ascii="Book Antiqua" w:hAnsi="Book Antiqua" w:cs="Arial"/>
        </w:rPr>
        <w:t xml:space="preserve">but </w:t>
      </w:r>
      <w:r>
        <w:rPr>
          <w:rFonts w:ascii="Book Antiqua" w:hAnsi="Book Antiqua" w:cs="Arial"/>
        </w:rPr>
        <w:t>remain</w:t>
      </w:r>
      <w:r w:rsidR="00DF07EA">
        <w:rPr>
          <w:rFonts w:ascii="Book Antiqua" w:hAnsi="Book Antiqua" w:cs="Arial"/>
        </w:rPr>
        <w:t>ed</w:t>
      </w:r>
      <w:r>
        <w:rPr>
          <w:rFonts w:ascii="Book Antiqua" w:hAnsi="Book Antiqua" w:cs="Arial"/>
        </w:rPr>
        <w:t xml:space="preserve"> concerned about the conditions on the ground at Satu Mare Penitentiary, expressing his subjective view that it is one of the worst facilities in Romania.  It remains our </w:t>
      </w:r>
      <w:r w:rsidR="00DF07EA">
        <w:rPr>
          <w:rFonts w:ascii="Book Antiqua" w:hAnsi="Book Antiqua" w:cs="Arial"/>
        </w:rPr>
        <w:t>conclusion t</w:t>
      </w:r>
      <w:r>
        <w:rPr>
          <w:rFonts w:ascii="Book Antiqua" w:hAnsi="Book Antiqua" w:cs="Arial"/>
        </w:rPr>
        <w:t xml:space="preserve">hat the country materials before us showed that he can expect detention on return </w:t>
      </w:r>
      <w:r w:rsidR="0047655F">
        <w:rPr>
          <w:rFonts w:ascii="Book Antiqua" w:hAnsi="Book Antiqua" w:cs="Arial"/>
        </w:rPr>
        <w:t>that meets standards which will</w:t>
      </w:r>
      <w:r>
        <w:rPr>
          <w:rFonts w:ascii="Book Antiqua" w:hAnsi="Book Antiqua" w:cs="Arial"/>
        </w:rPr>
        <w:t xml:space="preserve"> not breach his rights under Article 3 ECHR.  </w:t>
      </w:r>
    </w:p>
    <w:p w:rsidR="002842F5" w:rsidRPr="0047655F" w:rsidRDefault="002842F5" w:rsidP="00680C8D">
      <w:pPr>
        <w:numPr>
          <w:ilvl w:val="0"/>
          <w:numId w:val="1"/>
        </w:numPr>
        <w:tabs>
          <w:tab w:val="clear" w:pos="567"/>
        </w:tabs>
        <w:spacing w:before="240"/>
        <w:jc w:val="both"/>
        <w:rPr>
          <w:rFonts w:ascii="Book Antiqua" w:hAnsi="Book Antiqua" w:cs="Arial"/>
        </w:rPr>
      </w:pPr>
      <w:r w:rsidRPr="0047655F">
        <w:rPr>
          <w:rFonts w:ascii="Book Antiqua" w:hAnsi="Book Antiqua" w:cs="Arial"/>
        </w:rPr>
        <w:t xml:space="preserve">Mr </w:t>
      </w:r>
      <w:r w:rsidR="00D813D0" w:rsidRPr="0047655F">
        <w:rPr>
          <w:rFonts w:ascii="Book Antiqua" w:hAnsi="Book Antiqua" w:cs="Arial"/>
        </w:rPr>
        <w:t>Blaj</w:t>
      </w:r>
      <w:r w:rsidRPr="0047655F">
        <w:rPr>
          <w:rFonts w:ascii="Book Antiqua" w:hAnsi="Book Antiqua" w:cs="Arial"/>
        </w:rPr>
        <w:t xml:space="preserve"> </w:t>
      </w:r>
      <w:r w:rsidR="0047655F" w:rsidRPr="0047655F">
        <w:rPr>
          <w:rFonts w:ascii="Book Antiqua" w:hAnsi="Book Antiqua" w:cs="Arial"/>
        </w:rPr>
        <w:t xml:space="preserve">also </w:t>
      </w:r>
      <w:r w:rsidRPr="0047655F">
        <w:rPr>
          <w:rFonts w:ascii="Book Antiqua" w:hAnsi="Book Antiqua" w:cs="Arial"/>
        </w:rPr>
        <w:t>informed us at the hearing that</w:t>
      </w:r>
      <w:r w:rsidR="0047655F" w:rsidRPr="0047655F">
        <w:rPr>
          <w:rFonts w:ascii="Book Antiqua" w:hAnsi="Book Antiqua" w:cs="Arial"/>
        </w:rPr>
        <w:t xml:space="preserve"> Romanian law allowed for </w:t>
      </w:r>
      <w:r w:rsidR="00F51D25">
        <w:rPr>
          <w:rFonts w:ascii="Book Antiqua" w:hAnsi="Book Antiqua" w:cs="Arial"/>
        </w:rPr>
        <w:t xml:space="preserve">time </w:t>
      </w:r>
      <w:r w:rsidR="0047655F" w:rsidRPr="0047655F">
        <w:rPr>
          <w:rFonts w:ascii="Book Antiqua" w:hAnsi="Book Antiqua" w:cs="Arial"/>
        </w:rPr>
        <w:t xml:space="preserve">under curfew in the UK to </w:t>
      </w:r>
      <w:r w:rsidR="006E4320">
        <w:rPr>
          <w:rFonts w:ascii="Book Antiqua" w:hAnsi="Book Antiqua" w:cs="Arial"/>
        </w:rPr>
        <w:t xml:space="preserve">count towards the service of </w:t>
      </w:r>
      <w:r w:rsidR="0047655F" w:rsidRPr="0047655F">
        <w:rPr>
          <w:rFonts w:ascii="Book Antiqua" w:hAnsi="Book Antiqua" w:cs="Arial"/>
        </w:rPr>
        <w:t>his sentence in Romania. With the assistance of a solicitor,</w:t>
      </w:r>
      <w:r w:rsidRPr="0047655F">
        <w:rPr>
          <w:rFonts w:ascii="Book Antiqua" w:hAnsi="Book Antiqua" w:cs="Arial"/>
        </w:rPr>
        <w:t xml:space="preserve"> he has </w:t>
      </w:r>
      <w:r w:rsidR="0047655F">
        <w:rPr>
          <w:rFonts w:ascii="Book Antiqua" w:hAnsi="Book Antiqua" w:cs="Arial"/>
        </w:rPr>
        <w:t xml:space="preserve">therefore </w:t>
      </w:r>
      <w:r w:rsidR="0047655F" w:rsidRPr="0047655F">
        <w:rPr>
          <w:rFonts w:ascii="Book Antiqua" w:hAnsi="Book Antiqua" w:cs="Arial"/>
        </w:rPr>
        <w:t xml:space="preserve">corresponded </w:t>
      </w:r>
      <w:r w:rsidRPr="0047655F">
        <w:rPr>
          <w:rFonts w:ascii="Book Antiqua" w:hAnsi="Book Antiqua" w:cs="Arial"/>
        </w:rPr>
        <w:t xml:space="preserve">with the Romanian authorities to enable </w:t>
      </w:r>
      <w:r w:rsidR="006E4320">
        <w:rPr>
          <w:rFonts w:ascii="Book Antiqua" w:hAnsi="Book Antiqua" w:cs="Arial"/>
        </w:rPr>
        <w:t xml:space="preserve">some or </w:t>
      </w:r>
      <w:proofErr w:type="gramStart"/>
      <w:r w:rsidR="006E4320">
        <w:rPr>
          <w:rFonts w:ascii="Book Antiqua" w:hAnsi="Book Antiqua" w:cs="Arial"/>
        </w:rPr>
        <w:t>all of</w:t>
      </w:r>
      <w:proofErr w:type="gramEnd"/>
      <w:r w:rsidR="006E4320">
        <w:rPr>
          <w:rFonts w:ascii="Book Antiqua" w:hAnsi="Book Antiqua" w:cs="Arial"/>
        </w:rPr>
        <w:t xml:space="preserve"> </w:t>
      </w:r>
      <w:r w:rsidRPr="0047655F">
        <w:rPr>
          <w:rFonts w:ascii="Book Antiqua" w:hAnsi="Book Antiqua" w:cs="Arial"/>
        </w:rPr>
        <w:t xml:space="preserve">his extensive period in the UK under a curfew </w:t>
      </w:r>
      <w:r w:rsidR="006E4320">
        <w:rPr>
          <w:rFonts w:ascii="Book Antiqua" w:hAnsi="Book Antiqua" w:cs="Arial"/>
        </w:rPr>
        <w:t xml:space="preserve">to count towards </w:t>
      </w:r>
      <w:r w:rsidR="0047655F" w:rsidRPr="0047655F">
        <w:rPr>
          <w:rFonts w:ascii="Book Antiqua" w:hAnsi="Book Antiqua" w:cs="Arial"/>
        </w:rPr>
        <w:t>his extant sentence in Romania.</w:t>
      </w:r>
      <w:r w:rsidR="0047655F">
        <w:rPr>
          <w:rFonts w:ascii="Book Antiqua" w:hAnsi="Book Antiqua" w:cs="Arial"/>
        </w:rPr>
        <w:t xml:space="preserve"> </w:t>
      </w:r>
      <w:r w:rsidR="006E4320">
        <w:rPr>
          <w:rFonts w:ascii="Book Antiqua" w:hAnsi="Book Antiqua" w:cs="Arial"/>
        </w:rPr>
        <w:t xml:space="preserve"> If this is correct, there would be even less force in </w:t>
      </w:r>
      <w:r w:rsidR="009B4D45">
        <w:rPr>
          <w:rFonts w:ascii="Book Antiqua" w:hAnsi="Book Antiqua" w:cs="Arial"/>
        </w:rPr>
        <w:t xml:space="preserve">the </w:t>
      </w:r>
      <w:r w:rsidR="006E4320">
        <w:rPr>
          <w:rFonts w:ascii="Book Antiqua" w:hAnsi="Book Antiqua" w:cs="Arial"/>
        </w:rPr>
        <w:t xml:space="preserve">argument raised under Article 3 ECHR. However, we are in respectful agreement with </w:t>
      </w:r>
      <w:r w:rsidR="00004C7D">
        <w:rPr>
          <w:rFonts w:ascii="Book Antiqua" w:hAnsi="Book Antiqua" w:cs="Arial"/>
        </w:rPr>
        <w:t xml:space="preserve">Aitkens LJ who in </w:t>
      </w:r>
      <w:r w:rsidR="00004C7D" w:rsidRPr="004F3FA2">
        <w:rPr>
          <w:rFonts w:ascii="Book Antiqua" w:hAnsi="Book Antiqua" w:cs="Arial"/>
          <w:b/>
          <w:u w:val="single"/>
        </w:rPr>
        <w:t>Blaj</w:t>
      </w:r>
      <w:r w:rsidR="00004C7D" w:rsidRPr="00BC3765">
        <w:rPr>
          <w:rFonts w:ascii="Book Antiqua" w:hAnsi="Book Antiqua" w:cs="Arial"/>
          <w:b/>
        </w:rPr>
        <w:t xml:space="preserve"> and others</w:t>
      </w:r>
      <w:r w:rsidR="00004C7D">
        <w:rPr>
          <w:rFonts w:ascii="Book Antiqua" w:hAnsi="Book Antiqua" w:cs="Arial"/>
        </w:rPr>
        <w:t xml:space="preserve"> (above) stated at paragraph</w:t>
      </w:r>
      <w:r w:rsidR="004F3FA2">
        <w:rPr>
          <w:rFonts w:ascii="Book Antiqua" w:hAnsi="Book Antiqua" w:cs="Arial"/>
        </w:rPr>
        <w:t xml:space="preserve"> [56]: </w:t>
      </w:r>
      <w:r w:rsidR="00004C7D">
        <w:rPr>
          <w:rFonts w:ascii="Book Antiqua" w:hAnsi="Book Antiqua" w:cs="Arial"/>
        </w:rPr>
        <w:t xml:space="preserve"> </w:t>
      </w:r>
    </w:p>
    <w:p w:rsidR="00994C54" w:rsidRDefault="004F3FA2" w:rsidP="00BC3765">
      <w:pPr>
        <w:spacing w:before="240"/>
        <w:ind w:left="1134"/>
        <w:jc w:val="both"/>
        <w:rPr>
          <w:rFonts w:ascii="Book Antiqua" w:hAnsi="Book Antiqua" w:cs="Arial"/>
        </w:rPr>
      </w:pPr>
      <w:r>
        <w:rPr>
          <w:rFonts w:ascii="Book Antiqua" w:hAnsi="Book Antiqua" w:cs="Arial"/>
        </w:rPr>
        <w:t xml:space="preserve">The only factor that was pressed before us </w:t>
      </w:r>
      <w:r w:rsidR="00BE7697">
        <w:rPr>
          <w:rFonts w:ascii="Book Antiqua" w:hAnsi="Book Antiqua" w:cs="Arial"/>
        </w:rPr>
        <w:t>but (apparently</w:t>
      </w:r>
      <w:r w:rsidR="00994C54">
        <w:rPr>
          <w:rFonts w:ascii="Book Antiqua" w:hAnsi="Book Antiqua" w:cs="Arial"/>
        </w:rPr>
        <w:t xml:space="preserve"> not</w:t>
      </w:r>
      <w:r w:rsidR="00BE7697">
        <w:rPr>
          <w:rFonts w:ascii="Book Antiqua" w:hAnsi="Book Antiqua" w:cs="Arial"/>
        </w:rPr>
        <w:t xml:space="preserve"> before DJ Coleman) was the fact that Blaj has been the subject of a curfew as part of his bail conditions. In our judgment this cannot swing the balance against extradition. Blaj was a fugitive from justice in Romania; it is small wonder he was made </w:t>
      </w:r>
      <w:r w:rsidR="00BE7697">
        <w:rPr>
          <w:rFonts w:ascii="Book Antiqua" w:hAnsi="Book Antiqua" w:cs="Arial"/>
        </w:rPr>
        <w:lastRenderedPageBreak/>
        <w:t xml:space="preserve">subject to restrictive conditions of bail. Whether that should count in his favour in serving his sentence in Romania is properly a matter for the authorities of the requesting state to decide.” </w:t>
      </w:r>
      <w:r>
        <w:rPr>
          <w:rFonts w:ascii="Book Antiqua" w:hAnsi="Book Antiqua" w:cs="Arial"/>
        </w:rPr>
        <w:t xml:space="preserve">  </w:t>
      </w:r>
    </w:p>
    <w:p w:rsidR="00BE7697" w:rsidRDefault="009B4D45" w:rsidP="004741E5">
      <w:pPr>
        <w:spacing w:before="240"/>
        <w:ind w:left="567"/>
        <w:jc w:val="both"/>
        <w:rPr>
          <w:rFonts w:ascii="Book Antiqua" w:hAnsi="Book Antiqua" w:cs="Arial"/>
        </w:rPr>
      </w:pPr>
      <w:r>
        <w:rPr>
          <w:rFonts w:ascii="Book Antiqua" w:hAnsi="Book Antiqua" w:cs="Arial"/>
        </w:rPr>
        <w:t>We similarly consider that the possibility th</w:t>
      </w:r>
      <w:r w:rsidR="004741E5">
        <w:rPr>
          <w:rFonts w:ascii="Book Antiqua" w:hAnsi="Book Antiqua" w:cs="Arial"/>
        </w:rPr>
        <w:t xml:space="preserve">at the Romanian authorities may </w:t>
      </w:r>
      <w:r>
        <w:rPr>
          <w:rFonts w:ascii="Book Antiqua" w:hAnsi="Book Antiqua" w:cs="Arial"/>
        </w:rPr>
        <w:t>reduce</w:t>
      </w:r>
      <w:r w:rsidR="003054B6">
        <w:rPr>
          <w:rFonts w:ascii="Book Antiqua" w:hAnsi="Book Antiqua" w:cs="Arial"/>
        </w:rPr>
        <w:t xml:space="preserve"> </w:t>
      </w:r>
      <w:r>
        <w:rPr>
          <w:rFonts w:ascii="Book Antiqua" w:hAnsi="Book Antiqua" w:cs="Arial"/>
        </w:rPr>
        <w:t xml:space="preserve">Mr Blaj’s period of incarceration is not determinative of his Article 3 claim. If anything, </w:t>
      </w:r>
      <w:r w:rsidR="00994C54">
        <w:rPr>
          <w:rFonts w:ascii="Book Antiqua" w:hAnsi="Book Antiqua" w:cs="Arial"/>
        </w:rPr>
        <w:t>it makes the Article 3 argument even less compelling.</w:t>
      </w:r>
      <w:r>
        <w:rPr>
          <w:rFonts w:ascii="Book Antiqua" w:hAnsi="Book Antiqua" w:cs="Arial"/>
        </w:rPr>
        <w:t xml:space="preserve"> </w:t>
      </w:r>
    </w:p>
    <w:p w:rsidR="002842F5" w:rsidRDefault="002842F5" w:rsidP="002842F5">
      <w:pPr>
        <w:numPr>
          <w:ilvl w:val="0"/>
          <w:numId w:val="1"/>
        </w:numPr>
        <w:tabs>
          <w:tab w:val="clear" w:pos="567"/>
        </w:tabs>
        <w:spacing w:before="240"/>
        <w:jc w:val="both"/>
        <w:rPr>
          <w:rFonts w:ascii="Book Antiqua" w:hAnsi="Book Antiqua" w:cs="Arial"/>
        </w:rPr>
      </w:pPr>
      <w:r>
        <w:rPr>
          <w:rFonts w:ascii="Book Antiqua" w:hAnsi="Book Antiqua" w:cs="Arial"/>
        </w:rPr>
        <w:t xml:space="preserve">We therefore dismiss the appeal </w:t>
      </w:r>
      <w:r w:rsidR="0047655F">
        <w:rPr>
          <w:rFonts w:ascii="Book Antiqua" w:hAnsi="Book Antiqua" w:cs="Arial"/>
        </w:rPr>
        <w:t xml:space="preserve">on </w:t>
      </w:r>
      <w:r>
        <w:rPr>
          <w:rFonts w:ascii="Book Antiqua" w:hAnsi="Book Antiqua" w:cs="Arial"/>
        </w:rPr>
        <w:t xml:space="preserve">Article 3 </w:t>
      </w:r>
      <w:r w:rsidR="0047655F">
        <w:rPr>
          <w:rFonts w:ascii="Book Antiqua" w:hAnsi="Book Antiqua" w:cs="Arial"/>
        </w:rPr>
        <w:t xml:space="preserve">ECHR grounds. </w:t>
      </w:r>
    </w:p>
    <w:p w:rsidR="002842F5" w:rsidRPr="00DF07EA" w:rsidRDefault="00DF07EA" w:rsidP="00C35FDE">
      <w:pPr>
        <w:numPr>
          <w:ilvl w:val="0"/>
          <w:numId w:val="1"/>
        </w:numPr>
        <w:tabs>
          <w:tab w:val="clear" w:pos="567"/>
        </w:tabs>
        <w:spacing w:before="240"/>
        <w:jc w:val="both"/>
        <w:rPr>
          <w:rFonts w:ascii="Book Antiqua" w:hAnsi="Book Antiqua" w:cs="Arial"/>
        </w:rPr>
      </w:pPr>
      <w:r w:rsidRPr="00DF07EA">
        <w:rPr>
          <w:rFonts w:ascii="Book Antiqua" w:hAnsi="Book Antiqua" w:cs="Arial"/>
        </w:rPr>
        <w:t>We turn</w:t>
      </w:r>
      <w:r w:rsidR="002842F5" w:rsidRPr="00DF07EA">
        <w:rPr>
          <w:rFonts w:ascii="Book Antiqua" w:hAnsi="Book Antiqua" w:cs="Arial"/>
        </w:rPr>
        <w:t xml:space="preserve"> to Mr Blaj’s Article 8 claim.  It was not seriously argued before us that he could mee</w:t>
      </w:r>
      <w:r w:rsidR="00C065A9" w:rsidRPr="00DF07EA">
        <w:rPr>
          <w:rFonts w:ascii="Book Antiqua" w:hAnsi="Book Antiqua" w:cs="Arial"/>
        </w:rPr>
        <w:t>t the provisions of Appendix FM</w:t>
      </w:r>
      <w:r w:rsidRPr="00DF07EA">
        <w:rPr>
          <w:rFonts w:ascii="Book Antiqua" w:hAnsi="Book Antiqua" w:cs="Arial"/>
        </w:rPr>
        <w:t xml:space="preserve"> of the Immigration Rules</w:t>
      </w:r>
      <w:r w:rsidR="00C065A9" w:rsidRPr="00DF07EA">
        <w:rPr>
          <w:rFonts w:ascii="Book Antiqua" w:hAnsi="Book Antiqua" w:cs="Arial"/>
        </w:rPr>
        <w:t xml:space="preserve">. </w:t>
      </w:r>
      <w:r w:rsidR="002842F5" w:rsidRPr="00DF07EA">
        <w:rPr>
          <w:rFonts w:ascii="Book Antiqua" w:hAnsi="Book Antiqua" w:cs="Arial"/>
        </w:rPr>
        <w:t>At the hearing Mr Blaj informed us that he is no longer in a relationship with his Romanian partner</w:t>
      </w:r>
      <w:r w:rsidR="00C065A9" w:rsidRPr="00DF07EA">
        <w:rPr>
          <w:rFonts w:ascii="Book Antiqua" w:hAnsi="Book Antiqua" w:cs="Arial"/>
        </w:rPr>
        <w:t xml:space="preserve"> so he cannot qualify under the partner route</w:t>
      </w:r>
      <w:r w:rsidR="002842F5" w:rsidRPr="00DF07EA">
        <w:rPr>
          <w:rFonts w:ascii="Book Antiqua" w:hAnsi="Book Antiqua" w:cs="Arial"/>
        </w:rPr>
        <w:t xml:space="preserve">.  </w:t>
      </w:r>
      <w:r w:rsidR="00C065A9" w:rsidRPr="00DF07EA">
        <w:rPr>
          <w:rFonts w:ascii="Book Antiqua" w:hAnsi="Book Antiqua" w:cs="Arial"/>
        </w:rPr>
        <w:t>She can remain in the UK to care for their child, N</w:t>
      </w:r>
      <w:bookmarkStart w:id="8" w:name="_GoBack"/>
      <w:bookmarkEnd w:id="8"/>
      <w:r w:rsidR="00C065A9" w:rsidRPr="00DF07EA">
        <w:rPr>
          <w:rFonts w:ascii="Book Antiqua" w:hAnsi="Book Antiqua" w:cs="Arial"/>
        </w:rPr>
        <w:t xml:space="preserve">, born on 23 June 2016, so he cannot qualify under the parent route. </w:t>
      </w:r>
      <w:r w:rsidRPr="00DF07EA">
        <w:rPr>
          <w:rFonts w:ascii="Book Antiqua" w:hAnsi="Book Antiqua" w:cs="Arial"/>
        </w:rPr>
        <w:t xml:space="preserve">Mr Blaj informed us that his daughter now lives with her mother and he tries to ensure that he sees her once a week.  </w:t>
      </w:r>
      <w:r w:rsidR="002842F5" w:rsidRPr="00DF07EA">
        <w:rPr>
          <w:rFonts w:ascii="Book Antiqua" w:hAnsi="Book Antiqua" w:cs="Arial"/>
        </w:rPr>
        <w:t xml:space="preserve">There </w:t>
      </w:r>
      <w:r w:rsidRPr="00DF07EA">
        <w:rPr>
          <w:rFonts w:ascii="Book Antiqua" w:hAnsi="Book Antiqua" w:cs="Arial"/>
        </w:rPr>
        <w:t>is the additional matter that the appellant</w:t>
      </w:r>
      <w:r w:rsidR="002842F5" w:rsidRPr="00DF07EA">
        <w:rPr>
          <w:rFonts w:ascii="Book Antiqua" w:hAnsi="Book Antiqua" w:cs="Arial"/>
        </w:rPr>
        <w:t xml:space="preserve"> cannot meet the suitability requirements of Appendix FM</w:t>
      </w:r>
      <w:r w:rsidR="00685CF8">
        <w:rPr>
          <w:rFonts w:ascii="Book Antiqua" w:hAnsi="Book Antiqua" w:cs="Arial"/>
        </w:rPr>
        <w:t xml:space="preserve"> because of his criminal </w:t>
      </w:r>
      <w:proofErr w:type="gramStart"/>
      <w:r w:rsidR="00685CF8">
        <w:rPr>
          <w:rFonts w:ascii="Book Antiqua" w:hAnsi="Book Antiqua" w:cs="Arial"/>
        </w:rPr>
        <w:t>conviction,</w:t>
      </w:r>
      <w:r w:rsidR="002842F5" w:rsidRPr="00DF07EA">
        <w:rPr>
          <w:rFonts w:ascii="Book Antiqua" w:hAnsi="Book Antiqua" w:cs="Arial"/>
        </w:rPr>
        <w:t xml:space="preserve">  paragraph</w:t>
      </w:r>
      <w:proofErr w:type="gramEnd"/>
      <w:r w:rsidR="002842F5" w:rsidRPr="00DF07EA">
        <w:rPr>
          <w:rFonts w:ascii="Book Antiqua" w:hAnsi="Book Antiqua" w:cs="Arial"/>
        </w:rPr>
        <w:t xml:space="preserve"> S-LTR.1.4.</w:t>
      </w:r>
      <w:r w:rsidR="00685CF8">
        <w:rPr>
          <w:rFonts w:ascii="Book Antiqua" w:hAnsi="Book Antiqua" w:cs="Arial"/>
        </w:rPr>
        <w:t xml:space="preserve"> providing: </w:t>
      </w:r>
    </w:p>
    <w:p w:rsidR="002842F5" w:rsidRDefault="002842F5" w:rsidP="002842F5">
      <w:pPr>
        <w:spacing w:before="240"/>
        <w:ind w:left="1134"/>
        <w:jc w:val="both"/>
        <w:rPr>
          <w:rFonts w:ascii="Book Antiqua" w:hAnsi="Book Antiqua" w:cs="Arial"/>
          <w:sz w:val="22"/>
          <w:szCs w:val="22"/>
        </w:rPr>
      </w:pPr>
      <w:r>
        <w:rPr>
          <w:rFonts w:ascii="Book Antiqua" w:hAnsi="Book Antiqua" w:cs="Arial"/>
          <w:sz w:val="22"/>
          <w:szCs w:val="22"/>
        </w:rPr>
        <w:t>“The presence of the applicant in the UK is not conducive to the public good because they have been convicted of an offence for which they have been sentenced to imprisonment for less than four years but at least twelve months”.</w:t>
      </w:r>
    </w:p>
    <w:p w:rsidR="002842F5" w:rsidRDefault="00C065A9" w:rsidP="002842F5">
      <w:pPr>
        <w:numPr>
          <w:ilvl w:val="0"/>
          <w:numId w:val="1"/>
        </w:numPr>
        <w:tabs>
          <w:tab w:val="clear" w:pos="567"/>
        </w:tabs>
        <w:spacing w:before="240"/>
        <w:jc w:val="both"/>
        <w:rPr>
          <w:rFonts w:ascii="Book Antiqua" w:hAnsi="Book Antiqua" w:cs="Arial"/>
        </w:rPr>
      </w:pPr>
      <w:r>
        <w:rPr>
          <w:rFonts w:ascii="Book Antiqua" w:hAnsi="Book Antiqua" w:cs="Arial"/>
        </w:rPr>
        <w:t xml:space="preserve">We did not find Mr Blaj could meet the provisions of </w:t>
      </w:r>
      <w:r w:rsidRPr="00C065A9">
        <w:rPr>
          <w:rFonts w:ascii="Book Antiqua" w:hAnsi="Book Antiqua" w:cs="Arial"/>
        </w:rPr>
        <w:t xml:space="preserve">paragraph 276ADE(1)(vi).  </w:t>
      </w:r>
      <w:r w:rsidR="002842F5">
        <w:rPr>
          <w:rFonts w:ascii="Book Antiqua" w:hAnsi="Book Antiqua" w:cs="Arial"/>
        </w:rPr>
        <w:t xml:space="preserve">We found it wholly unarguable that </w:t>
      </w:r>
      <w:r>
        <w:rPr>
          <w:rFonts w:ascii="Book Antiqua" w:hAnsi="Book Antiqua" w:cs="Arial"/>
        </w:rPr>
        <w:t xml:space="preserve">he </w:t>
      </w:r>
      <w:r w:rsidR="002842F5">
        <w:rPr>
          <w:rFonts w:ascii="Book Antiqua" w:hAnsi="Book Antiqua" w:cs="Arial"/>
        </w:rPr>
        <w:t xml:space="preserve">would face very significant obstacles to reintegration if he is returned to Romania.  He lived there until the age of 25 and spent </w:t>
      </w:r>
      <w:proofErr w:type="gramStart"/>
      <w:r w:rsidR="002842F5">
        <w:rPr>
          <w:rFonts w:ascii="Book Antiqua" w:hAnsi="Book Antiqua" w:cs="Arial"/>
        </w:rPr>
        <w:t>all of</w:t>
      </w:r>
      <w:proofErr w:type="gramEnd"/>
      <w:r w:rsidR="002842F5">
        <w:rPr>
          <w:rFonts w:ascii="Book Antiqua" w:hAnsi="Book Antiqua" w:cs="Arial"/>
        </w:rPr>
        <w:t xml:space="preserve"> his formative years there.  He has retained contacts with Romanian culture during his time in the UK, his parents and sister living here</w:t>
      </w:r>
      <w:r>
        <w:rPr>
          <w:rFonts w:ascii="Book Antiqua" w:hAnsi="Book Antiqua" w:cs="Arial"/>
        </w:rPr>
        <w:t xml:space="preserve"> and </w:t>
      </w:r>
      <w:r w:rsidR="00685CF8">
        <w:rPr>
          <w:rFonts w:ascii="Book Antiqua" w:hAnsi="Book Antiqua" w:cs="Arial"/>
        </w:rPr>
        <w:t>his ex-</w:t>
      </w:r>
      <w:r>
        <w:rPr>
          <w:rFonts w:ascii="Book Antiqua" w:hAnsi="Book Antiqua" w:cs="Arial"/>
        </w:rPr>
        <w:t xml:space="preserve">partner also being a Romanian national. </w:t>
      </w:r>
      <w:r w:rsidR="002842F5">
        <w:rPr>
          <w:rFonts w:ascii="Book Antiqua" w:hAnsi="Book Antiqua" w:cs="Arial"/>
        </w:rPr>
        <w:t xml:space="preserve"> Mr Blaj raised concerns about his ability to resettle in Romania by way of obtaining housing and work but, given the length of time that he has spent there, his ability to speak the language and his knowledge of the culture and society</w:t>
      </w:r>
      <w:r w:rsidR="00685CF8">
        <w:rPr>
          <w:rFonts w:ascii="Book Antiqua" w:hAnsi="Book Antiqua" w:cs="Arial"/>
        </w:rPr>
        <w:t>, although resettling in Romania might present some difficulties,</w:t>
      </w:r>
      <w:r w:rsidR="002842F5">
        <w:rPr>
          <w:rFonts w:ascii="Book Antiqua" w:hAnsi="Book Antiqua" w:cs="Arial"/>
        </w:rPr>
        <w:t xml:space="preserve"> we did not find that the threshold for “very significant obstacles to reintegration” could be said to be met here.  </w:t>
      </w:r>
      <w:r w:rsidR="005C14F1">
        <w:rPr>
          <w:rFonts w:ascii="Book Antiqua" w:hAnsi="Book Antiqua" w:cs="Arial"/>
        </w:rPr>
        <w:t xml:space="preserve">We also noted from the Romanian Ministry of Justice response </w:t>
      </w:r>
      <w:r w:rsidR="007D132A">
        <w:rPr>
          <w:rFonts w:ascii="Book Antiqua" w:hAnsi="Book Antiqua" w:cs="Arial"/>
        </w:rPr>
        <w:t>that efforts are made to provide prisoners with education, professional training and therapeutic activities</w:t>
      </w:r>
      <w:r w:rsidR="0099648C">
        <w:rPr>
          <w:rFonts w:ascii="Book Antiqua" w:hAnsi="Book Antiqua" w:cs="Arial"/>
        </w:rPr>
        <w:t>, which might be of benefit to Mr Blaj on his release</w:t>
      </w:r>
      <w:r w:rsidR="007D132A">
        <w:rPr>
          <w:rFonts w:ascii="Book Antiqua" w:hAnsi="Book Antiqua" w:cs="Arial"/>
        </w:rPr>
        <w:t xml:space="preserve">. </w:t>
      </w:r>
      <w:r w:rsidR="002842F5">
        <w:rPr>
          <w:rFonts w:ascii="Book Antiqua" w:hAnsi="Book Antiqua" w:cs="Arial"/>
        </w:rPr>
        <w:t xml:space="preserve">There is the additional factor that albeit they </w:t>
      </w:r>
      <w:r w:rsidR="00EC7893">
        <w:rPr>
          <w:rFonts w:ascii="Book Antiqua" w:hAnsi="Book Antiqua" w:cs="Arial"/>
        </w:rPr>
        <w:t xml:space="preserve">may wish to remain in the UK, </w:t>
      </w:r>
      <w:r w:rsidR="002842F5">
        <w:rPr>
          <w:rFonts w:ascii="Book Antiqua" w:hAnsi="Book Antiqua" w:cs="Arial"/>
        </w:rPr>
        <w:t xml:space="preserve">there </w:t>
      </w:r>
      <w:r w:rsidR="00EC7893">
        <w:rPr>
          <w:rFonts w:ascii="Book Antiqua" w:hAnsi="Book Antiqua" w:cs="Arial"/>
        </w:rPr>
        <w:t xml:space="preserve">was no evidence before us showing that his immediate family or his </w:t>
      </w:r>
      <w:r w:rsidR="00685CF8">
        <w:rPr>
          <w:rFonts w:ascii="Book Antiqua" w:hAnsi="Book Antiqua" w:cs="Arial"/>
        </w:rPr>
        <w:t>ex-</w:t>
      </w:r>
      <w:r w:rsidR="00EC7893">
        <w:rPr>
          <w:rFonts w:ascii="Book Antiqua" w:hAnsi="Book Antiqua" w:cs="Arial"/>
        </w:rPr>
        <w:t xml:space="preserve">partner and child could not return to Romania with him on a temporary basis </w:t>
      </w:r>
      <w:r w:rsidR="00685CF8">
        <w:rPr>
          <w:rFonts w:ascii="Book Antiqua" w:hAnsi="Book Antiqua" w:cs="Arial"/>
        </w:rPr>
        <w:t xml:space="preserve">to assist him to resettle, continue to visit him there or even return permanently with him. </w:t>
      </w:r>
      <w:r w:rsidR="00EC7893">
        <w:rPr>
          <w:rFonts w:ascii="Book Antiqua" w:hAnsi="Book Antiqua" w:cs="Arial"/>
        </w:rPr>
        <w:t xml:space="preserve"> </w:t>
      </w:r>
    </w:p>
    <w:p w:rsidR="00E66263" w:rsidRDefault="002842F5" w:rsidP="002842F5">
      <w:pPr>
        <w:numPr>
          <w:ilvl w:val="0"/>
          <w:numId w:val="1"/>
        </w:numPr>
        <w:tabs>
          <w:tab w:val="clear" w:pos="567"/>
        </w:tabs>
        <w:spacing w:before="240"/>
        <w:jc w:val="both"/>
        <w:rPr>
          <w:rFonts w:ascii="Book Antiqua" w:hAnsi="Book Antiqua" w:cs="Arial"/>
        </w:rPr>
      </w:pPr>
      <w:r>
        <w:rPr>
          <w:rFonts w:ascii="Book Antiqua" w:hAnsi="Book Antiqua" w:cs="Arial"/>
        </w:rPr>
        <w:t xml:space="preserve">We </w:t>
      </w:r>
      <w:r w:rsidR="00E66263">
        <w:rPr>
          <w:rFonts w:ascii="Book Antiqua" w:hAnsi="Book Antiqua" w:cs="Arial"/>
        </w:rPr>
        <w:t xml:space="preserve">considered whether expecting Mr Blaj to return to Romania </w:t>
      </w:r>
      <w:r>
        <w:rPr>
          <w:rFonts w:ascii="Book Antiqua" w:hAnsi="Book Antiqua" w:cs="Arial"/>
        </w:rPr>
        <w:t>amounted to a disproportionate interference with his rights under Article 8 ECHR</w:t>
      </w:r>
      <w:r w:rsidR="00E66263">
        <w:rPr>
          <w:rFonts w:ascii="Book Antiqua" w:hAnsi="Book Antiqua" w:cs="Arial"/>
        </w:rPr>
        <w:t xml:space="preserve">, </w:t>
      </w:r>
      <w:r>
        <w:rPr>
          <w:rFonts w:ascii="Book Antiqua" w:hAnsi="Book Antiqua" w:cs="Arial"/>
        </w:rPr>
        <w:t xml:space="preserve">the </w:t>
      </w:r>
      <w:r w:rsidR="00E66263">
        <w:rPr>
          <w:rFonts w:ascii="Book Antiqua" w:hAnsi="Book Antiqua" w:cs="Arial"/>
        </w:rPr>
        <w:t xml:space="preserve">first four </w:t>
      </w:r>
      <w:proofErr w:type="spellStart"/>
      <w:r w:rsidRPr="00FC7153">
        <w:rPr>
          <w:rFonts w:ascii="Book Antiqua" w:hAnsi="Book Antiqua" w:cs="Arial"/>
          <w:b/>
          <w:u w:val="single"/>
        </w:rPr>
        <w:t>Razgar</w:t>
      </w:r>
      <w:proofErr w:type="spellEnd"/>
      <w:r w:rsidR="00E66263">
        <w:rPr>
          <w:rFonts w:ascii="Book Antiqua" w:hAnsi="Book Antiqua" w:cs="Arial"/>
        </w:rPr>
        <w:t xml:space="preserve"> questions falling</w:t>
      </w:r>
      <w:r>
        <w:rPr>
          <w:rFonts w:ascii="Book Antiqua" w:hAnsi="Book Antiqua" w:cs="Arial"/>
        </w:rPr>
        <w:t xml:space="preserve"> to be answered in the affirmative in his favour</w:t>
      </w:r>
      <w:r w:rsidR="00E66263">
        <w:rPr>
          <w:rFonts w:ascii="Book Antiqua" w:hAnsi="Book Antiqua" w:cs="Arial"/>
        </w:rPr>
        <w:t xml:space="preserve">. </w:t>
      </w:r>
      <w:r>
        <w:rPr>
          <w:rFonts w:ascii="Book Antiqua" w:hAnsi="Book Antiqua" w:cs="Arial"/>
        </w:rPr>
        <w:t xml:space="preserve"> Section 117B of the Nationality, Immigration and Asylum Act 2002 provides that “the maintenance of effective immigration controls is in the public interest”.  Here, as identified above, Mr Blaj has no basis for remaining in the UK as he cannot show that he </w:t>
      </w:r>
      <w:proofErr w:type="gramStart"/>
      <w:r>
        <w:rPr>
          <w:rFonts w:ascii="Book Antiqua" w:hAnsi="Book Antiqua" w:cs="Arial"/>
        </w:rPr>
        <w:t>is in need of</w:t>
      </w:r>
      <w:proofErr w:type="gramEnd"/>
      <w:r>
        <w:rPr>
          <w:rFonts w:ascii="Book Antiqua" w:hAnsi="Book Antiqua" w:cs="Arial"/>
        </w:rPr>
        <w:t xml:space="preserve"> international protection or that he meets the requirements of the Immigration Rules </w:t>
      </w:r>
      <w:r>
        <w:rPr>
          <w:rFonts w:ascii="Book Antiqua" w:hAnsi="Book Antiqua" w:cs="Arial"/>
        </w:rPr>
        <w:lastRenderedPageBreak/>
        <w:t xml:space="preserve">set out in Appendix FM or paragraph 276ADE. </w:t>
      </w:r>
      <w:r w:rsidR="00E66263">
        <w:rPr>
          <w:rFonts w:ascii="Book Antiqua" w:hAnsi="Book Antiqua" w:cs="Arial"/>
        </w:rPr>
        <w:t xml:space="preserve"> The public interest weighs against him. </w:t>
      </w:r>
    </w:p>
    <w:p w:rsidR="00E66263" w:rsidRDefault="00E66263" w:rsidP="00E66263">
      <w:pPr>
        <w:numPr>
          <w:ilvl w:val="0"/>
          <w:numId w:val="1"/>
        </w:numPr>
        <w:tabs>
          <w:tab w:val="clear" w:pos="567"/>
        </w:tabs>
        <w:spacing w:before="240"/>
        <w:jc w:val="both"/>
        <w:rPr>
          <w:rFonts w:ascii="Book Antiqua" w:hAnsi="Book Antiqua" w:cs="Arial"/>
        </w:rPr>
      </w:pPr>
      <w:r>
        <w:rPr>
          <w:rFonts w:ascii="Book Antiqua" w:hAnsi="Book Antiqua" w:cs="Arial"/>
        </w:rPr>
        <w:t xml:space="preserve">In addition to the public interest in the maintenance of effective immigration control, we also were of the view that the </w:t>
      </w:r>
      <w:r w:rsidR="00685CF8">
        <w:rPr>
          <w:rFonts w:ascii="Book Antiqua" w:hAnsi="Book Antiqua" w:cs="Arial"/>
        </w:rPr>
        <w:t xml:space="preserve">weight should be given to the proper </w:t>
      </w:r>
      <w:r>
        <w:rPr>
          <w:rFonts w:ascii="Book Antiqua" w:hAnsi="Book Antiqua" w:cs="Arial"/>
        </w:rPr>
        <w:t xml:space="preserve">operation of the European Arrest Warrant </w:t>
      </w:r>
      <w:r w:rsidR="00685CF8">
        <w:rPr>
          <w:rFonts w:ascii="Book Antiqua" w:hAnsi="Book Antiqua" w:cs="Arial"/>
        </w:rPr>
        <w:t xml:space="preserve">system </w:t>
      </w:r>
      <w:r>
        <w:rPr>
          <w:rFonts w:ascii="Book Antiqua" w:hAnsi="Book Antiqua" w:cs="Arial"/>
        </w:rPr>
        <w:t xml:space="preserve">and a convicted criminal serving a lawful sentence in another European country.  That added to the weight against Mr Blaj in the proportionality assessment.  </w:t>
      </w:r>
    </w:p>
    <w:p w:rsidR="00E5361A" w:rsidRDefault="00E66263" w:rsidP="00E5361A">
      <w:pPr>
        <w:numPr>
          <w:ilvl w:val="0"/>
          <w:numId w:val="1"/>
        </w:numPr>
        <w:tabs>
          <w:tab w:val="clear" w:pos="567"/>
        </w:tabs>
        <w:spacing w:before="240"/>
        <w:jc w:val="both"/>
        <w:rPr>
          <w:rFonts w:ascii="Book Antiqua" w:hAnsi="Book Antiqua" w:cs="Arial"/>
        </w:rPr>
      </w:pPr>
      <w:r>
        <w:rPr>
          <w:rFonts w:ascii="Book Antiqua" w:hAnsi="Book Antiqua" w:cs="Arial"/>
        </w:rPr>
        <w:t xml:space="preserve">Mr Blaj </w:t>
      </w:r>
      <w:r w:rsidR="002842F5">
        <w:rPr>
          <w:rFonts w:ascii="Book Antiqua" w:hAnsi="Book Antiqua" w:cs="Arial"/>
        </w:rPr>
        <w:t>speaks good English, has found work in the UK when permitted to do so and has been here lawfully under the registration regime for Romanian nationals</w:t>
      </w:r>
      <w:r>
        <w:rPr>
          <w:rFonts w:ascii="Book Antiqua" w:hAnsi="Book Antiqua" w:cs="Arial"/>
        </w:rPr>
        <w:t>. T</w:t>
      </w:r>
      <w:r w:rsidR="002842F5">
        <w:rPr>
          <w:rFonts w:ascii="Book Antiqua" w:hAnsi="Book Antiqua" w:cs="Arial"/>
        </w:rPr>
        <w:t xml:space="preserve">he factors in Section 117B </w:t>
      </w:r>
      <w:r>
        <w:rPr>
          <w:rFonts w:ascii="Book Antiqua" w:hAnsi="Book Antiqua" w:cs="Arial"/>
        </w:rPr>
        <w:t>(2) and (3) of the Nationality and Immigration Act 2002 do</w:t>
      </w:r>
      <w:r w:rsidR="002842F5">
        <w:rPr>
          <w:rFonts w:ascii="Book Antiqua" w:hAnsi="Book Antiqua" w:cs="Arial"/>
        </w:rPr>
        <w:t xml:space="preserve"> not weigh against him </w:t>
      </w:r>
      <w:r>
        <w:rPr>
          <w:rFonts w:ascii="Book Antiqua" w:hAnsi="Book Antiqua" w:cs="Arial"/>
        </w:rPr>
        <w:t xml:space="preserve">therefore. </w:t>
      </w:r>
      <w:r w:rsidR="00E5361A">
        <w:rPr>
          <w:rFonts w:ascii="Book Antiqua" w:hAnsi="Book Antiqua" w:cs="Arial"/>
        </w:rPr>
        <w:t>Mr Blaj’s daughter does not qualify for consideration under s.117</w:t>
      </w:r>
      <w:proofErr w:type="gramStart"/>
      <w:r w:rsidR="00E5361A">
        <w:rPr>
          <w:rFonts w:ascii="Book Antiqua" w:hAnsi="Book Antiqua" w:cs="Arial"/>
        </w:rPr>
        <w:t>B(</w:t>
      </w:r>
      <w:proofErr w:type="gramEnd"/>
      <w:r w:rsidR="00E5361A">
        <w:rPr>
          <w:rFonts w:ascii="Book Antiqua" w:hAnsi="Book Antiqua" w:cs="Arial"/>
        </w:rPr>
        <w:t xml:space="preserve">6) as she is Romanian, not British, and has not lived here for seven years. </w:t>
      </w:r>
    </w:p>
    <w:p w:rsidR="00685CF8" w:rsidRPr="00916657" w:rsidRDefault="00E66263" w:rsidP="00916657">
      <w:pPr>
        <w:numPr>
          <w:ilvl w:val="0"/>
          <w:numId w:val="1"/>
        </w:numPr>
        <w:tabs>
          <w:tab w:val="clear" w:pos="567"/>
        </w:tabs>
        <w:spacing w:before="240"/>
        <w:jc w:val="both"/>
        <w:rPr>
          <w:rFonts w:ascii="Book Antiqua" w:hAnsi="Book Antiqua" w:cs="Arial"/>
        </w:rPr>
      </w:pPr>
      <w:r w:rsidRPr="00E5361A">
        <w:rPr>
          <w:rFonts w:ascii="Book Antiqua" w:hAnsi="Book Antiqua" w:cs="Arial"/>
        </w:rPr>
        <w:t xml:space="preserve">Mr Blaj’s eleven years of residence in the UK </w:t>
      </w:r>
      <w:r w:rsidR="00685CF8">
        <w:rPr>
          <w:rFonts w:ascii="Book Antiqua" w:hAnsi="Book Antiqua" w:cs="Arial"/>
        </w:rPr>
        <w:t xml:space="preserve">whilst here lawfully </w:t>
      </w:r>
      <w:r w:rsidRPr="00E5361A">
        <w:rPr>
          <w:rFonts w:ascii="Book Antiqua" w:hAnsi="Book Antiqua" w:cs="Arial"/>
        </w:rPr>
        <w:t xml:space="preserve">weighs in his favour </w:t>
      </w:r>
      <w:r w:rsidR="00685CF8">
        <w:rPr>
          <w:rFonts w:ascii="Book Antiqua" w:hAnsi="Book Antiqua" w:cs="Arial"/>
        </w:rPr>
        <w:t xml:space="preserve">in the proportionality assessment. We did not have a great deal of detail but </w:t>
      </w:r>
      <w:r w:rsidRPr="00E5361A">
        <w:rPr>
          <w:rFonts w:ascii="Book Antiqua" w:hAnsi="Book Antiqua" w:cs="Arial"/>
        </w:rPr>
        <w:t xml:space="preserve">no doubt </w:t>
      </w:r>
      <w:r w:rsidR="00685CF8">
        <w:rPr>
          <w:rFonts w:ascii="Book Antiqua" w:hAnsi="Book Antiqua" w:cs="Arial"/>
        </w:rPr>
        <w:t xml:space="preserve">he has </w:t>
      </w:r>
      <w:r w:rsidRPr="00E5361A">
        <w:rPr>
          <w:rFonts w:ascii="Book Antiqua" w:hAnsi="Book Antiqua" w:cs="Arial"/>
        </w:rPr>
        <w:t>formed social relationships and ties in the usual manner</w:t>
      </w:r>
      <w:r w:rsidR="00685CF8">
        <w:rPr>
          <w:rFonts w:ascii="Book Antiqua" w:hAnsi="Book Antiqua" w:cs="Arial"/>
        </w:rPr>
        <w:t xml:space="preserve"> concomitant with residence over that </w:t>
      </w:r>
      <w:proofErr w:type="gramStart"/>
      <w:r w:rsidR="00685CF8">
        <w:rPr>
          <w:rFonts w:ascii="Book Antiqua" w:hAnsi="Book Antiqua" w:cs="Arial"/>
        </w:rPr>
        <w:t>period of time</w:t>
      </w:r>
      <w:proofErr w:type="gramEnd"/>
      <w:r w:rsidRPr="00E5361A">
        <w:rPr>
          <w:rFonts w:ascii="Book Antiqua" w:hAnsi="Book Antiqua" w:cs="Arial"/>
        </w:rPr>
        <w:t xml:space="preserve">.  We accept that he retains a parental role, albeit </w:t>
      </w:r>
      <w:r w:rsidR="00685CF8">
        <w:rPr>
          <w:rFonts w:ascii="Book Antiqua" w:hAnsi="Book Antiqua" w:cs="Arial"/>
        </w:rPr>
        <w:t xml:space="preserve">a </w:t>
      </w:r>
      <w:r w:rsidRPr="00E5361A">
        <w:rPr>
          <w:rFonts w:ascii="Book Antiqua" w:hAnsi="Book Antiqua" w:cs="Arial"/>
        </w:rPr>
        <w:t>limited</w:t>
      </w:r>
      <w:r w:rsidR="00685CF8">
        <w:rPr>
          <w:rFonts w:ascii="Book Antiqua" w:hAnsi="Book Antiqua" w:cs="Arial"/>
        </w:rPr>
        <w:t xml:space="preserve"> one</w:t>
      </w:r>
      <w:r w:rsidRPr="00E5361A">
        <w:rPr>
          <w:rFonts w:ascii="Book Antiqua" w:hAnsi="Book Antiqua" w:cs="Arial"/>
        </w:rPr>
        <w:t xml:space="preserve">, with his daughter. We accept, albeit on limited evidence of the current circumstances, that it is in her best interests to be in the same country </w:t>
      </w:r>
      <w:r w:rsidR="0099648C">
        <w:rPr>
          <w:rFonts w:ascii="Book Antiqua" w:hAnsi="Book Antiqua" w:cs="Arial"/>
        </w:rPr>
        <w:t xml:space="preserve">as </w:t>
      </w:r>
      <w:r w:rsidRPr="00E5361A">
        <w:rPr>
          <w:rFonts w:ascii="Book Antiqua" w:hAnsi="Book Antiqua" w:cs="Arial"/>
        </w:rPr>
        <w:t xml:space="preserve">her father whilst she grows up. As above, however, nothing indicted to us </w:t>
      </w:r>
      <w:r w:rsidR="00685CF8">
        <w:rPr>
          <w:rFonts w:ascii="Book Antiqua" w:hAnsi="Book Antiqua" w:cs="Arial"/>
        </w:rPr>
        <w:t xml:space="preserve">that she and her mother could not go to live in Romania so that she could continue direct contact with both parents and her best interests met there as well as they would be in the UK. There was also nothing showing that the appellant’s immediate family could not return to Romania for visits or permanently. </w:t>
      </w:r>
      <w:r w:rsidR="003071A5">
        <w:rPr>
          <w:rFonts w:ascii="Book Antiqua" w:hAnsi="Book Antiqua" w:cs="Arial"/>
        </w:rPr>
        <w:t>It was also our view, given the public interest considerations weighing against the appellant here, and given the limited evidence provided, that if his daughter remained in the UK with her mother, even if this</w:t>
      </w:r>
      <w:r w:rsidR="008A02C2">
        <w:rPr>
          <w:rFonts w:ascii="Book Antiqua" w:hAnsi="Book Antiqua" w:cs="Arial"/>
        </w:rPr>
        <w:t xml:space="preserve"> was not in her best interests, </w:t>
      </w:r>
      <w:r w:rsidR="003071A5">
        <w:rPr>
          <w:rFonts w:ascii="Book Antiqua" w:hAnsi="Book Antiqua" w:cs="Arial"/>
        </w:rPr>
        <w:t xml:space="preserve">the decision to return him to Romania </w:t>
      </w:r>
      <w:r w:rsidR="00916657">
        <w:rPr>
          <w:rFonts w:ascii="Book Antiqua" w:hAnsi="Book Antiqua" w:cs="Arial"/>
        </w:rPr>
        <w:t xml:space="preserve">was not </w:t>
      </w:r>
      <w:r w:rsidR="003071A5" w:rsidRPr="00916657">
        <w:rPr>
          <w:rFonts w:ascii="Book Antiqua" w:hAnsi="Book Antiqua" w:cs="Arial"/>
        </w:rPr>
        <w:t xml:space="preserve">disproportionate.  </w:t>
      </w:r>
    </w:p>
    <w:p w:rsidR="002842F5" w:rsidRDefault="002842F5" w:rsidP="002842F5">
      <w:pPr>
        <w:numPr>
          <w:ilvl w:val="0"/>
          <w:numId w:val="1"/>
        </w:numPr>
        <w:tabs>
          <w:tab w:val="clear" w:pos="567"/>
        </w:tabs>
        <w:spacing w:before="240"/>
        <w:jc w:val="both"/>
        <w:rPr>
          <w:rFonts w:ascii="Book Antiqua" w:hAnsi="Book Antiqua" w:cs="Arial"/>
        </w:rPr>
      </w:pPr>
      <w:r>
        <w:rPr>
          <w:rFonts w:ascii="Book Antiqua" w:hAnsi="Book Antiqua" w:cs="Arial"/>
        </w:rPr>
        <w:t xml:space="preserve">It was therefore our conclusion that the </w:t>
      </w:r>
      <w:r w:rsidR="00E5361A">
        <w:rPr>
          <w:rFonts w:ascii="Book Antiqua" w:hAnsi="Book Antiqua" w:cs="Arial"/>
        </w:rPr>
        <w:t xml:space="preserve">respondent’s decision was proportionate and that the </w:t>
      </w:r>
      <w:r>
        <w:rPr>
          <w:rFonts w:ascii="Book Antiqua" w:hAnsi="Book Antiqua" w:cs="Arial"/>
        </w:rPr>
        <w:t>appeal under Article 8 ECHR also had to fail.</w:t>
      </w:r>
    </w:p>
    <w:p w:rsidR="002842F5" w:rsidRDefault="002842F5" w:rsidP="002842F5">
      <w:pPr>
        <w:jc w:val="both"/>
        <w:rPr>
          <w:rFonts w:ascii="Book Antiqua" w:hAnsi="Book Antiqua" w:cs="Arial"/>
          <w:b/>
          <w:highlight w:val="yellow"/>
          <w:u w:val="single"/>
        </w:rPr>
      </w:pPr>
    </w:p>
    <w:p w:rsidR="002842F5" w:rsidRPr="00FC7153" w:rsidRDefault="002842F5" w:rsidP="002842F5">
      <w:pPr>
        <w:jc w:val="both"/>
        <w:rPr>
          <w:rFonts w:ascii="Book Antiqua" w:hAnsi="Book Antiqua" w:cs="Arial"/>
          <w:b/>
          <w:u w:val="single"/>
        </w:rPr>
      </w:pPr>
      <w:r w:rsidRPr="007C61CF">
        <w:rPr>
          <w:rFonts w:ascii="Book Antiqua" w:hAnsi="Book Antiqua" w:cs="Arial"/>
          <w:b/>
          <w:u w:val="single"/>
        </w:rPr>
        <w:t>Notice of Decision</w:t>
      </w:r>
    </w:p>
    <w:p w:rsidR="002842F5" w:rsidRDefault="002842F5" w:rsidP="002842F5">
      <w:pPr>
        <w:numPr>
          <w:ilvl w:val="0"/>
          <w:numId w:val="1"/>
        </w:numPr>
        <w:tabs>
          <w:tab w:val="clear" w:pos="567"/>
        </w:tabs>
        <w:spacing w:before="240"/>
        <w:jc w:val="both"/>
        <w:rPr>
          <w:rFonts w:ascii="Book Antiqua" w:hAnsi="Book Antiqua" w:cs="Arial"/>
        </w:rPr>
      </w:pPr>
      <w:r w:rsidRPr="007C61CF">
        <w:rPr>
          <w:rFonts w:ascii="Book Antiqua" w:hAnsi="Book Antiqua" w:cs="Arial"/>
        </w:rPr>
        <w:t>The</w:t>
      </w:r>
      <w:r>
        <w:rPr>
          <w:rFonts w:ascii="Book Antiqua" w:hAnsi="Book Antiqua" w:cs="Arial"/>
        </w:rPr>
        <w:t xml:space="preserve"> decision of the First-tier Tribunal was set aside to be re-made.</w:t>
      </w:r>
    </w:p>
    <w:p w:rsidR="002842F5" w:rsidRDefault="002842F5" w:rsidP="002842F5">
      <w:pPr>
        <w:numPr>
          <w:ilvl w:val="0"/>
          <w:numId w:val="1"/>
        </w:numPr>
        <w:tabs>
          <w:tab w:val="clear" w:pos="567"/>
        </w:tabs>
        <w:spacing w:before="240"/>
        <w:jc w:val="both"/>
        <w:rPr>
          <w:rFonts w:ascii="Book Antiqua" w:hAnsi="Book Antiqua" w:cs="Arial"/>
        </w:rPr>
      </w:pPr>
      <w:r>
        <w:rPr>
          <w:rFonts w:ascii="Book Antiqua" w:hAnsi="Book Antiqua" w:cs="Arial"/>
        </w:rPr>
        <w:t xml:space="preserve">We re-make the appeal as refused on all grounds.  </w:t>
      </w:r>
    </w:p>
    <w:p w:rsidR="002842F5" w:rsidRPr="00AB06BE" w:rsidRDefault="002842F5" w:rsidP="002842F5">
      <w:pPr>
        <w:numPr>
          <w:ilvl w:val="0"/>
          <w:numId w:val="1"/>
        </w:numPr>
        <w:tabs>
          <w:tab w:val="clear" w:pos="567"/>
        </w:tabs>
        <w:spacing w:before="240"/>
        <w:jc w:val="both"/>
        <w:rPr>
          <w:rFonts w:ascii="Book Antiqua" w:hAnsi="Book Antiqua" w:cs="Arial"/>
        </w:rPr>
      </w:pPr>
      <w:r w:rsidRPr="00AB06BE">
        <w:rPr>
          <w:rFonts w:ascii="Book Antiqua" w:hAnsi="Book Antiqua" w:cs="Arial"/>
        </w:rPr>
        <w:t>No anonymity direction is made.</w:t>
      </w:r>
    </w:p>
    <w:p w:rsidR="002842F5" w:rsidRPr="007C61CF" w:rsidRDefault="002842F5" w:rsidP="002842F5">
      <w:pPr>
        <w:jc w:val="both"/>
        <w:rPr>
          <w:rFonts w:ascii="Book Antiqua" w:hAnsi="Book Antiqua" w:cs="Arial"/>
        </w:rPr>
      </w:pPr>
    </w:p>
    <w:p w:rsidR="002842F5" w:rsidRPr="00AE22BD" w:rsidRDefault="002842F5" w:rsidP="002842F5">
      <w:pPr>
        <w:ind w:left="540" w:hanging="540"/>
        <w:jc w:val="both"/>
        <w:rPr>
          <w:rFonts w:ascii="Book Antiqua" w:hAnsi="Book Antiqua" w:cs="Arial"/>
        </w:rPr>
      </w:pPr>
    </w:p>
    <w:p w:rsidR="002842F5" w:rsidRPr="00AE22BD" w:rsidRDefault="002842F5" w:rsidP="002842F5">
      <w:pPr>
        <w:ind w:left="540" w:hanging="540"/>
        <w:jc w:val="both"/>
        <w:rPr>
          <w:rFonts w:ascii="Book Antiqua" w:hAnsi="Book Antiqua" w:cs="Arial"/>
        </w:rPr>
      </w:pPr>
    </w:p>
    <w:p w:rsidR="002842F5" w:rsidRPr="00AE22BD" w:rsidRDefault="00F460F8" w:rsidP="00884204">
      <w:pPr>
        <w:jc w:val="both"/>
        <w:rPr>
          <w:rFonts w:ascii="Book Antiqua" w:hAnsi="Book Antiqua" w:cs="Arial"/>
        </w:rPr>
      </w:pPr>
      <w:r>
        <w:rPr>
          <w:rFonts w:ascii="Book Antiqua" w:hAnsi="Book Antiqua" w:cs="Arial"/>
        </w:rPr>
        <w:t xml:space="preserve">Signed: </w:t>
      </w:r>
      <w:r w:rsidRPr="00F460F8">
        <w:rPr>
          <w:rFonts w:ascii="Book Antiqua" w:hAnsi="Book Antiqua" w:cs="Arial"/>
          <w:noProof/>
          <w:sz w:val="16"/>
          <w:szCs w:val="16"/>
        </w:rPr>
        <w:drawing>
          <wp:inline distT="0" distB="0" distL="0" distR="0" wp14:anchorId="758849B1" wp14:editId="363598DB">
            <wp:extent cx="47625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250" cy="266700"/>
                    </a:xfrm>
                    <a:prstGeom prst="rect">
                      <a:avLst/>
                    </a:prstGeom>
                    <a:noFill/>
                    <a:ln>
                      <a:noFill/>
                    </a:ln>
                  </pic:spPr>
                </pic:pic>
              </a:graphicData>
            </a:graphic>
          </wp:inline>
        </w:drawing>
      </w:r>
      <w:r w:rsidRPr="00F460F8">
        <w:rPr>
          <w:rFonts w:ascii="Book Antiqua" w:hAnsi="Book Antiqua" w:cs="Arial"/>
          <w:sz w:val="16"/>
          <w:szCs w:val="16"/>
        </w:rPr>
        <w:t xml:space="preserve"> </w:t>
      </w:r>
      <w:r w:rsidRPr="00F460F8">
        <w:rPr>
          <w:rFonts w:ascii="Book Antiqua" w:hAnsi="Book Antiqua" w:cs="Arial"/>
          <w:sz w:val="16"/>
          <w:szCs w:val="16"/>
        </w:rPr>
        <w:tab/>
      </w:r>
      <w:r>
        <w:rPr>
          <w:rFonts w:ascii="Book Antiqua" w:hAnsi="Book Antiqua" w:cs="Arial"/>
        </w:rPr>
        <w:t xml:space="preserve"> </w:t>
      </w:r>
      <w:r w:rsidR="002842F5" w:rsidRPr="00AE22BD">
        <w:rPr>
          <w:rFonts w:ascii="Book Antiqua" w:hAnsi="Book Antiqua" w:cs="Arial"/>
        </w:rPr>
        <w:tab/>
      </w:r>
      <w:r w:rsidR="002842F5" w:rsidRPr="00AE22BD">
        <w:rPr>
          <w:rFonts w:ascii="Book Antiqua" w:hAnsi="Book Antiqua" w:cs="Arial"/>
        </w:rPr>
        <w:tab/>
      </w:r>
      <w:r w:rsidR="002842F5" w:rsidRPr="00AE22BD">
        <w:rPr>
          <w:rFonts w:ascii="Book Antiqua" w:hAnsi="Book Antiqua" w:cs="Arial"/>
        </w:rPr>
        <w:tab/>
      </w:r>
      <w:r w:rsidR="002842F5" w:rsidRPr="00AE22BD">
        <w:rPr>
          <w:rFonts w:ascii="Book Antiqua" w:hAnsi="Book Antiqua" w:cs="Arial"/>
        </w:rPr>
        <w:tab/>
      </w:r>
      <w:r w:rsidR="002842F5" w:rsidRPr="00AE22BD">
        <w:rPr>
          <w:rFonts w:ascii="Book Antiqua" w:hAnsi="Book Antiqua" w:cs="Arial"/>
        </w:rPr>
        <w:tab/>
      </w:r>
      <w:r w:rsidR="002842F5" w:rsidRPr="00AE22BD">
        <w:rPr>
          <w:rFonts w:ascii="Book Antiqua" w:hAnsi="Book Antiqua" w:cs="Arial"/>
        </w:rPr>
        <w:tab/>
      </w:r>
      <w:r w:rsidR="002842F5" w:rsidRPr="00AE22BD">
        <w:rPr>
          <w:rFonts w:ascii="Book Antiqua" w:hAnsi="Book Antiqua" w:cs="Arial"/>
        </w:rPr>
        <w:tab/>
        <w:t>Date</w:t>
      </w:r>
      <w:r>
        <w:rPr>
          <w:rFonts w:ascii="Book Antiqua" w:hAnsi="Book Antiqua" w:cs="Arial"/>
        </w:rPr>
        <w:t xml:space="preserve">: </w:t>
      </w:r>
      <w:r w:rsidR="00E5361A">
        <w:rPr>
          <w:rFonts w:ascii="Book Antiqua" w:hAnsi="Book Antiqua" w:cs="Arial"/>
        </w:rPr>
        <w:t xml:space="preserve"> </w:t>
      </w:r>
      <w:r w:rsidR="003071A5">
        <w:rPr>
          <w:rFonts w:ascii="Book Antiqua" w:hAnsi="Book Antiqua" w:cs="Arial"/>
        </w:rPr>
        <w:t xml:space="preserve">25 </w:t>
      </w:r>
      <w:r w:rsidR="00E5361A">
        <w:rPr>
          <w:rFonts w:ascii="Book Antiqua" w:hAnsi="Book Antiqua" w:cs="Arial"/>
        </w:rPr>
        <w:t>June 2018</w:t>
      </w:r>
    </w:p>
    <w:p w:rsidR="002842F5" w:rsidRPr="00AE22BD" w:rsidRDefault="002842F5" w:rsidP="002842F5">
      <w:pPr>
        <w:tabs>
          <w:tab w:val="left" w:pos="2520"/>
        </w:tabs>
        <w:ind w:left="540" w:hanging="540"/>
        <w:jc w:val="both"/>
        <w:rPr>
          <w:rFonts w:ascii="Book Antiqua" w:hAnsi="Book Antiqua" w:cs="Arial"/>
        </w:rPr>
      </w:pPr>
    </w:p>
    <w:p w:rsidR="00B95326" w:rsidRPr="00AE22BD" w:rsidRDefault="002842F5" w:rsidP="009E473B">
      <w:pPr>
        <w:tabs>
          <w:tab w:val="left" w:pos="2520"/>
        </w:tabs>
        <w:jc w:val="both"/>
        <w:rPr>
          <w:rFonts w:ascii="Book Antiqua" w:hAnsi="Book Antiqua" w:cs="Arial"/>
        </w:rPr>
      </w:pPr>
      <w:r>
        <w:rPr>
          <w:rFonts w:ascii="Book Antiqua" w:hAnsi="Book Antiqua" w:cs="Arial"/>
          <w:color w:val="000000"/>
        </w:rPr>
        <w:t>Upper Tribunal</w:t>
      </w:r>
      <w:r w:rsidRPr="00AE22BD">
        <w:rPr>
          <w:rFonts w:ascii="Book Antiqua" w:hAnsi="Book Antiqua" w:cs="Arial"/>
          <w:color w:val="000000"/>
        </w:rPr>
        <w:t xml:space="preserve"> Judge </w:t>
      </w:r>
      <w:r>
        <w:rPr>
          <w:rFonts w:ascii="Book Antiqua" w:hAnsi="Book Antiqua" w:cs="Arial"/>
          <w:color w:val="000000"/>
        </w:rPr>
        <w:t>Pitt</w:t>
      </w:r>
      <w:r w:rsidRPr="00AE22BD">
        <w:rPr>
          <w:rFonts w:ascii="Book Antiqua" w:hAnsi="Book Antiqua" w:cs="Arial"/>
          <w:color w:val="000000"/>
        </w:rPr>
        <w:t xml:space="preserve"> </w:t>
      </w:r>
    </w:p>
    <w:sectPr w:rsidR="00B95326" w:rsidRPr="00AE22BD" w:rsidSect="00DD4188">
      <w:headerReference w:type="default" r:id="rId9"/>
      <w:footerReference w:type="default" r:id="rId10"/>
      <w:headerReference w:type="first" r:id="rId11"/>
      <w:footerReference w:type="first" r:id="rId12"/>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3FE7" w:rsidRDefault="00853FE7">
      <w:r>
        <w:separator/>
      </w:r>
    </w:p>
  </w:endnote>
  <w:endnote w:type="continuationSeparator" w:id="0">
    <w:p w:rsidR="00853FE7" w:rsidRDefault="00853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00E1" w:rsidRPr="00DD4188" w:rsidRDefault="002000E1" w:rsidP="00593795">
    <w:pPr>
      <w:pStyle w:val="Footer"/>
      <w:jc w:val="center"/>
      <w:rPr>
        <w:rFonts w:ascii="Book Antiqua" w:hAnsi="Book Antiqua" w:cs="Arial"/>
      </w:rPr>
    </w:pPr>
    <w:r w:rsidRPr="00DD4188">
      <w:rPr>
        <w:rStyle w:val="PageNumber"/>
        <w:rFonts w:ascii="Book Antiqua" w:hAnsi="Book Antiqua" w:cs="Arial"/>
      </w:rPr>
      <w:fldChar w:fldCharType="begin"/>
    </w:r>
    <w:r w:rsidRPr="00DD4188">
      <w:rPr>
        <w:rStyle w:val="PageNumber"/>
        <w:rFonts w:ascii="Book Antiqua" w:hAnsi="Book Antiqua" w:cs="Arial"/>
      </w:rPr>
      <w:instrText xml:space="preserve"> PAGE </w:instrText>
    </w:r>
    <w:r w:rsidRPr="00DD4188">
      <w:rPr>
        <w:rStyle w:val="PageNumber"/>
        <w:rFonts w:ascii="Book Antiqua" w:hAnsi="Book Antiqua" w:cs="Arial"/>
      </w:rPr>
      <w:fldChar w:fldCharType="separate"/>
    </w:r>
    <w:r w:rsidR="003613B0">
      <w:rPr>
        <w:rStyle w:val="PageNumber"/>
        <w:rFonts w:ascii="Book Antiqua" w:hAnsi="Book Antiqua" w:cs="Arial"/>
        <w:noProof/>
      </w:rPr>
      <w:t>8</w:t>
    </w:r>
    <w:r w:rsidRPr="00DD4188">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00E1" w:rsidRPr="00AE22BD" w:rsidRDefault="002000E1" w:rsidP="00DE5E10">
    <w:pPr>
      <w:jc w:val="center"/>
      <w:rPr>
        <w:rFonts w:ascii="Book Antiqua" w:hAnsi="Book Antiqua" w:cs="Arial"/>
        <w:b/>
      </w:rPr>
    </w:pPr>
    <w:r w:rsidRPr="00AE22BD">
      <w:rPr>
        <w:rFonts w:ascii="Book Antiqua" w:hAnsi="Book Antiqua" w:cs="Arial"/>
        <w:b/>
        <w:spacing w:val="-6"/>
      </w:rPr>
      <w:t>©</w:t>
    </w:r>
    <w:r w:rsidR="00A008C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3FE7" w:rsidRDefault="00853FE7">
      <w:r>
        <w:separator/>
      </w:r>
    </w:p>
  </w:footnote>
  <w:footnote w:type="continuationSeparator" w:id="0">
    <w:p w:rsidR="00853FE7" w:rsidRDefault="00853F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00E1" w:rsidRDefault="002000E1" w:rsidP="00593795">
    <w:pPr>
      <w:pStyle w:val="Header"/>
      <w:jc w:val="right"/>
      <w:rPr>
        <w:rFonts w:ascii="Book Antiqua" w:hAnsi="Book Antiqua" w:cs="Arial"/>
        <w:sz w:val="16"/>
        <w:szCs w:val="16"/>
      </w:rPr>
    </w:pPr>
    <w:r w:rsidRPr="00AE22BD">
      <w:rPr>
        <w:rFonts w:ascii="Book Antiqua" w:hAnsi="Book Antiqua" w:cs="Arial"/>
        <w:sz w:val="16"/>
        <w:szCs w:val="16"/>
      </w:rPr>
      <w:t>Appeal Number:</w:t>
    </w:r>
    <w:r w:rsidR="00F22F2B">
      <w:rPr>
        <w:rFonts w:ascii="Book Antiqua" w:hAnsi="Book Antiqua" w:cs="Arial"/>
        <w:sz w:val="16"/>
        <w:szCs w:val="16"/>
      </w:rPr>
      <w:t xml:space="preserve"> PA/01868/2017</w:t>
    </w:r>
    <w:r w:rsidRPr="00AE22BD">
      <w:rPr>
        <w:rFonts w:ascii="Book Antiqua" w:hAnsi="Book Antiqua" w:cs="Arial"/>
        <w:sz w:val="16"/>
        <w:szCs w:val="16"/>
      </w:rPr>
      <w:t xml:space="preserve"> </w:t>
    </w:r>
  </w:p>
  <w:p w:rsidR="00DD4188" w:rsidRPr="00AE22BD" w:rsidRDefault="00DD4188"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00E1" w:rsidRPr="00AE22BD" w:rsidRDefault="002000E1">
    <w:pPr>
      <w:pStyle w:val="Header"/>
      <w:rPr>
        <w:rFonts w:ascii="Book Antiqua" w:hAnsi="Book Antiqua"/>
      </w:rPr>
    </w:pPr>
    <w:r w:rsidRPr="00AE22BD">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12135"/>
    <w:multiLevelType w:val="multilevel"/>
    <w:tmpl w:val="D6D2CF5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4F942337"/>
    <w:multiLevelType w:val="multilevel"/>
    <w:tmpl w:val="65307B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4572F4"/>
    <w:multiLevelType w:val="multilevel"/>
    <w:tmpl w:val="4B2679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2"/>
  </w:num>
  <w:num w:numId="3">
    <w:abstractNumId w:val="1"/>
    <w:lvlOverride w:ilvl="0">
      <w:startOverride w:val="26"/>
    </w:lvlOverride>
  </w:num>
  <w:num w:numId="4">
    <w:abstractNumId w:val="1"/>
    <w:lvlOverride w:ilvl="0">
      <w:startOverride w:val="2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2F5"/>
    <w:rsid w:val="00000621"/>
    <w:rsid w:val="000036C2"/>
    <w:rsid w:val="00004C7D"/>
    <w:rsid w:val="00033D3D"/>
    <w:rsid w:val="00054A6B"/>
    <w:rsid w:val="00056EB7"/>
    <w:rsid w:val="00057905"/>
    <w:rsid w:val="00062F02"/>
    <w:rsid w:val="00071A7E"/>
    <w:rsid w:val="000746C0"/>
    <w:rsid w:val="00074D1D"/>
    <w:rsid w:val="00092580"/>
    <w:rsid w:val="00093D4D"/>
    <w:rsid w:val="000D5D94"/>
    <w:rsid w:val="000F1A0E"/>
    <w:rsid w:val="00106E56"/>
    <w:rsid w:val="00115CED"/>
    <w:rsid w:val="001165A7"/>
    <w:rsid w:val="00126D0B"/>
    <w:rsid w:val="00134470"/>
    <w:rsid w:val="00136097"/>
    <w:rsid w:val="00152245"/>
    <w:rsid w:val="00167D3A"/>
    <w:rsid w:val="001A3082"/>
    <w:rsid w:val="001B186A"/>
    <w:rsid w:val="001B2F75"/>
    <w:rsid w:val="001B4A64"/>
    <w:rsid w:val="001E3277"/>
    <w:rsid w:val="001F2716"/>
    <w:rsid w:val="002000E1"/>
    <w:rsid w:val="00207617"/>
    <w:rsid w:val="0023134B"/>
    <w:rsid w:val="00267F5A"/>
    <w:rsid w:val="00283659"/>
    <w:rsid w:val="00284191"/>
    <w:rsid w:val="002842F5"/>
    <w:rsid w:val="002C6BD4"/>
    <w:rsid w:val="002D68BF"/>
    <w:rsid w:val="002F6B98"/>
    <w:rsid w:val="003054B6"/>
    <w:rsid w:val="003071A5"/>
    <w:rsid w:val="00336CBF"/>
    <w:rsid w:val="00343FE3"/>
    <w:rsid w:val="003546C8"/>
    <w:rsid w:val="00354F1E"/>
    <w:rsid w:val="003613B0"/>
    <w:rsid w:val="00364582"/>
    <w:rsid w:val="003843C3"/>
    <w:rsid w:val="003A7CF2"/>
    <w:rsid w:val="003C5CE5"/>
    <w:rsid w:val="003E267B"/>
    <w:rsid w:val="003E7CD1"/>
    <w:rsid w:val="00402B9E"/>
    <w:rsid w:val="00403533"/>
    <w:rsid w:val="00406B1A"/>
    <w:rsid w:val="004249CB"/>
    <w:rsid w:val="00430F27"/>
    <w:rsid w:val="0044127D"/>
    <w:rsid w:val="004448DB"/>
    <w:rsid w:val="00446C9A"/>
    <w:rsid w:val="00450351"/>
    <w:rsid w:val="004503ED"/>
    <w:rsid w:val="00452F2B"/>
    <w:rsid w:val="004741E5"/>
    <w:rsid w:val="0047655F"/>
    <w:rsid w:val="00477193"/>
    <w:rsid w:val="004813C7"/>
    <w:rsid w:val="004A1848"/>
    <w:rsid w:val="004A1E0E"/>
    <w:rsid w:val="004A6F4A"/>
    <w:rsid w:val="004D3910"/>
    <w:rsid w:val="004E0F3D"/>
    <w:rsid w:val="004E4717"/>
    <w:rsid w:val="004F3FA2"/>
    <w:rsid w:val="005053FB"/>
    <w:rsid w:val="00507FEC"/>
    <w:rsid w:val="00510F0E"/>
    <w:rsid w:val="005479E1"/>
    <w:rsid w:val="005509A7"/>
    <w:rsid w:val="00553E0A"/>
    <w:rsid w:val="005570FD"/>
    <w:rsid w:val="005575EA"/>
    <w:rsid w:val="0057790C"/>
    <w:rsid w:val="00593795"/>
    <w:rsid w:val="005A75FF"/>
    <w:rsid w:val="005C066C"/>
    <w:rsid w:val="005C14F1"/>
    <w:rsid w:val="005D10AB"/>
    <w:rsid w:val="005D7E44"/>
    <w:rsid w:val="005E408D"/>
    <w:rsid w:val="00601D8F"/>
    <w:rsid w:val="006044A9"/>
    <w:rsid w:val="00631F5E"/>
    <w:rsid w:val="00653E97"/>
    <w:rsid w:val="006649DD"/>
    <w:rsid w:val="006701F7"/>
    <w:rsid w:val="006733E0"/>
    <w:rsid w:val="00684A74"/>
    <w:rsid w:val="00685CF8"/>
    <w:rsid w:val="00690B8A"/>
    <w:rsid w:val="006E4320"/>
    <w:rsid w:val="006F02F0"/>
    <w:rsid w:val="006F2CF1"/>
    <w:rsid w:val="00702D35"/>
    <w:rsid w:val="007038ED"/>
    <w:rsid w:val="00703BC3"/>
    <w:rsid w:val="00704B61"/>
    <w:rsid w:val="007101DF"/>
    <w:rsid w:val="00724CAA"/>
    <w:rsid w:val="0073555C"/>
    <w:rsid w:val="00751700"/>
    <w:rsid w:val="007552A9"/>
    <w:rsid w:val="00761858"/>
    <w:rsid w:val="00767D59"/>
    <w:rsid w:val="00776E97"/>
    <w:rsid w:val="00780F86"/>
    <w:rsid w:val="00784817"/>
    <w:rsid w:val="007912AD"/>
    <w:rsid w:val="007A6E3C"/>
    <w:rsid w:val="007B0824"/>
    <w:rsid w:val="007B5D3C"/>
    <w:rsid w:val="007B68F1"/>
    <w:rsid w:val="007C3404"/>
    <w:rsid w:val="007C61CF"/>
    <w:rsid w:val="007D132A"/>
    <w:rsid w:val="007F2A46"/>
    <w:rsid w:val="00806249"/>
    <w:rsid w:val="008123E0"/>
    <w:rsid w:val="00821B72"/>
    <w:rsid w:val="00823EF2"/>
    <w:rsid w:val="008303B8"/>
    <w:rsid w:val="00833DCE"/>
    <w:rsid w:val="0084126A"/>
    <w:rsid w:val="00853FE7"/>
    <w:rsid w:val="00871D34"/>
    <w:rsid w:val="00884204"/>
    <w:rsid w:val="008A02C2"/>
    <w:rsid w:val="008B270C"/>
    <w:rsid w:val="008B5078"/>
    <w:rsid w:val="008B6348"/>
    <w:rsid w:val="008C3D3D"/>
    <w:rsid w:val="008D4131"/>
    <w:rsid w:val="008F1932"/>
    <w:rsid w:val="00903ED1"/>
    <w:rsid w:val="009125EB"/>
    <w:rsid w:val="00916657"/>
    <w:rsid w:val="00921062"/>
    <w:rsid w:val="0093149F"/>
    <w:rsid w:val="00945EDC"/>
    <w:rsid w:val="009722BC"/>
    <w:rsid w:val="009727A3"/>
    <w:rsid w:val="00972CFB"/>
    <w:rsid w:val="00975BF8"/>
    <w:rsid w:val="009801AF"/>
    <w:rsid w:val="00987774"/>
    <w:rsid w:val="00994C54"/>
    <w:rsid w:val="0099648C"/>
    <w:rsid w:val="009A11E8"/>
    <w:rsid w:val="009B4D45"/>
    <w:rsid w:val="009E473B"/>
    <w:rsid w:val="009F5220"/>
    <w:rsid w:val="00A008C5"/>
    <w:rsid w:val="00A15234"/>
    <w:rsid w:val="00A201AB"/>
    <w:rsid w:val="00A31C8B"/>
    <w:rsid w:val="00A32360"/>
    <w:rsid w:val="00A509FA"/>
    <w:rsid w:val="00A71C11"/>
    <w:rsid w:val="00A8165D"/>
    <w:rsid w:val="00A845DC"/>
    <w:rsid w:val="00AA7F44"/>
    <w:rsid w:val="00AE22BD"/>
    <w:rsid w:val="00B26AA2"/>
    <w:rsid w:val="00B3524D"/>
    <w:rsid w:val="00B40F69"/>
    <w:rsid w:val="00B46616"/>
    <w:rsid w:val="00B46859"/>
    <w:rsid w:val="00B5046D"/>
    <w:rsid w:val="00B517EB"/>
    <w:rsid w:val="00B7040A"/>
    <w:rsid w:val="00B72565"/>
    <w:rsid w:val="00B83391"/>
    <w:rsid w:val="00B95326"/>
    <w:rsid w:val="00BC3765"/>
    <w:rsid w:val="00BD4196"/>
    <w:rsid w:val="00BE7697"/>
    <w:rsid w:val="00BF1EEA"/>
    <w:rsid w:val="00BF22CA"/>
    <w:rsid w:val="00BF23BB"/>
    <w:rsid w:val="00BF2CA7"/>
    <w:rsid w:val="00BF4365"/>
    <w:rsid w:val="00BF6A84"/>
    <w:rsid w:val="00C01516"/>
    <w:rsid w:val="00C065A9"/>
    <w:rsid w:val="00C26032"/>
    <w:rsid w:val="00C31CFA"/>
    <w:rsid w:val="00C345E1"/>
    <w:rsid w:val="00C43BFD"/>
    <w:rsid w:val="00C4415C"/>
    <w:rsid w:val="00C71804"/>
    <w:rsid w:val="00CB6E35"/>
    <w:rsid w:val="00CD7049"/>
    <w:rsid w:val="00CE1A46"/>
    <w:rsid w:val="00CE1BFB"/>
    <w:rsid w:val="00CE2778"/>
    <w:rsid w:val="00D20757"/>
    <w:rsid w:val="00D22636"/>
    <w:rsid w:val="00D40FD9"/>
    <w:rsid w:val="00D53769"/>
    <w:rsid w:val="00D813D0"/>
    <w:rsid w:val="00D82E4A"/>
    <w:rsid w:val="00D85C13"/>
    <w:rsid w:val="00D9111A"/>
    <w:rsid w:val="00D91BE3"/>
    <w:rsid w:val="00D94AFC"/>
    <w:rsid w:val="00DB70AE"/>
    <w:rsid w:val="00DB74CE"/>
    <w:rsid w:val="00DD2269"/>
    <w:rsid w:val="00DD4188"/>
    <w:rsid w:val="00DD5071"/>
    <w:rsid w:val="00DD5C39"/>
    <w:rsid w:val="00DE2C02"/>
    <w:rsid w:val="00DE5E10"/>
    <w:rsid w:val="00DE7DB7"/>
    <w:rsid w:val="00DF07EA"/>
    <w:rsid w:val="00E00A0A"/>
    <w:rsid w:val="00E0423C"/>
    <w:rsid w:val="00E066DE"/>
    <w:rsid w:val="00E07F57"/>
    <w:rsid w:val="00E30683"/>
    <w:rsid w:val="00E42790"/>
    <w:rsid w:val="00E453D8"/>
    <w:rsid w:val="00E50BCE"/>
    <w:rsid w:val="00E5361A"/>
    <w:rsid w:val="00E574BF"/>
    <w:rsid w:val="00E61292"/>
    <w:rsid w:val="00E66263"/>
    <w:rsid w:val="00E77C4D"/>
    <w:rsid w:val="00E81D01"/>
    <w:rsid w:val="00EC5F25"/>
    <w:rsid w:val="00EC7893"/>
    <w:rsid w:val="00ED2AE8"/>
    <w:rsid w:val="00EE45D8"/>
    <w:rsid w:val="00F05351"/>
    <w:rsid w:val="00F17FAF"/>
    <w:rsid w:val="00F22EDA"/>
    <w:rsid w:val="00F22F2B"/>
    <w:rsid w:val="00F414AC"/>
    <w:rsid w:val="00F460F8"/>
    <w:rsid w:val="00F51D25"/>
    <w:rsid w:val="00F73BAB"/>
    <w:rsid w:val="00F8354D"/>
    <w:rsid w:val="00F978BD"/>
    <w:rsid w:val="00FB0F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A65617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C44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346197">
      <w:bodyDiv w:val="1"/>
      <w:marLeft w:val="0"/>
      <w:marRight w:val="0"/>
      <w:marTop w:val="0"/>
      <w:marBottom w:val="0"/>
      <w:divBdr>
        <w:top w:val="none" w:sz="0" w:space="0" w:color="auto"/>
        <w:left w:val="none" w:sz="0" w:space="0" w:color="auto"/>
        <w:bottom w:val="none" w:sz="0" w:space="0" w:color="auto"/>
        <w:right w:val="none" w:sz="0" w:space="0" w:color="auto"/>
      </w:divBdr>
      <w:divsChild>
        <w:div w:id="476383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265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424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632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3762</Words>
  <Characters>18669</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2018-07-17T11:46:00Z</dcterms:created>
  <dcterms:modified xsi:type="dcterms:W3CDTF">2018-07-17T11:46:00Z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