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CA05" w14:textId="77777777" w:rsidR="00D94AFC" w:rsidRPr="008C214D" w:rsidRDefault="00A73E83" w:rsidP="008C214D">
      <w:pPr>
        <w:jc w:val="center"/>
        <w:rPr>
          <w:rFonts w:ascii="Book Antiqua" w:hAnsi="Book Antiqua" w:cs="Arial"/>
          <w:caps/>
          <w:color w:val="000000"/>
          <w:sz w:val="16"/>
          <w:szCs w:val="16"/>
        </w:rPr>
      </w:pPr>
      <w:r>
        <w:rPr>
          <w:noProof/>
        </w:rPr>
        <w:drawing>
          <wp:inline distT="0" distB="0" distL="0" distR="0" wp14:anchorId="73184124" wp14:editId="32D1CD51">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317DB25C"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E3047B7" w14:textId="3D5FD030"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A32BC">
        <w:rPr>
          <w:rFonts w:ascii="Book Antiqua" w:hAnsi="Book Antiqua" w:cs="Arial"/>
          <w:b/>
          <w:color w:val="000000"/>
        </w:rPr>
        <w:t xml:space="preserve">   </w:t>
      </w:r>
      <w:proofErr w:type="gramEnd"/>
      <w:r w:rsidR="00AA32BC">
        <w:rPr>
          <w:rFonts w:ascii="Book Antiqua" w:hAnsi="Book Antiqua" w:cs="Arial"/>
          <w:b/>
          <w:color w:val="000000"/>
        </w:rPr>
        <w:t xml:space="preserve">                     </w:t>
      </w:r>
      <w:r w:rsidR="00B3524D" w:rsidRPr="00AA32BC">
        <w:rPr>
          <w:rFonts w:ascii="Book Antiqua" w:hAnsi="Book Antiqua" w:cs="Arial"/>
          <w:b/>
          <w:color w:val="000000"/>
        </w:rPr>
        <w:t>Appeal Number</w:t>
      </w:r>
      <w:r w:rsidR="00D53769" w:rsidRPr="00AA32BC">
        <w:rPr>
          <w:rFonts w:ascii="Book Antiqua" w:hAnsi="Book Antiqua" w:cs="Arial"/>
          <w:b/>
          <w:color w:val="000000"/>
        </w:rPr>
        <w:t>:</w:t>
      </w:r>
      <w:r w:rsidR="00B3524D" w:rsidRPr="00AA32BC">
        <w:rPr>
          <w:rFonts w:ascii="Book Antiqua" w:hAnsi="Book Antiqua" w:cs="Arial"/>
          <w:b/>
          <w:color w:val="000000"/>
        </w:rPr>
        <w:t xml:space="preserve"> </w:t>
      </w:r>
      <w:r w:rsidR="007353D7" w:rsidRPr="00AA32BC">
        <w:rPr>
          <w:rFonts w:ascii="Book Antiqua" w:hAnsi="Book Antiqua" w:cs="Arial"/>
          <w:b/>
          <w:caps/>
          <w:color w:val="000000"/>
        </w:rPr>
        <w:t>PA/01904/2017</w:t>
      </w:r>
    </w:p>
    <w:p w14:paraId="5D3C1E95" w14:textId="77777777" w:rsidR="00C345E1" w:rsidRPr="009B7433" w:rsidRDefault="00C345E1" w:rsidP="00C345E1">
      <w:pPr>
        <w:jc w:val="center"/>
        <w:rPr>
          <w:rFonts w:ascii="Book Antiqua" w:hAnsi="Book Antiqua" w:cs="Arial"/>
          <w:color w:val="000000"/>
        </w:rPr>
      </w:pPr>
    </w:p>
    <w:p w14:paraId="27A4E6E8"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01CB58F6"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14:paraId="3A0C8D9A" w14:textId="77777777" w:rsidTr="00AA32BC">
        <w:tc>
          <w:tcPr>
            <w:tcW w:w="5245" w:type="dxa"/>
          </w:tcPr>
          <w:p w14:paraId="7120785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7353D7">
              <w:rPr>
                <w:rFonts w:ascii="Book Antiqua" w:hAnsi="Book Antiqua" w:cs="Arial"/>
                <w:b/>
              </w:rPr>
              <w:t xml:space="preserve">Newport </w:t>
            </w:r>
          </w:p>
        </w:tc>
        <w:tc>
          <w:tcPr>
            <w:tcW w:w="4763" w:type="dxa"/>
          </w:tcPr>
          <w:p w14:paraId="05B63499" w14:textId="0132AD4E" w:rsidR="00D22636" w:rsidRPr="009B7433" w:rsidRDefault="00AA32BC"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17B84403" w14:textId="77777777" w:rsidTr="00AA32BC">
        <w:tc>
          <w:tcPr>
            <w:tcW w:w="5245" w:type="dxa"/>
          </w:tcPr>
          <w:p w14:paraId="0EA1136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7353D7">
              <w:rPr>
                <w:rFonts w:ascii="Book Antiqua" w:hAnsi="Book Antiqua" w:cs="Arial"/>
                <w:b/>
              </w:rPr>
              <w:t>3 May 2018</w:t>
            </w:r>
          </w:p>
        </w:tc>
        <w:tc>
          <w:tcPr>
            <w:tcW w:w="4763" w:type="dxa"/>
          </w:tcPr>
          <w:p w14:paraId="54714030" w14:textId="20D22E7A" w:rsidR="00D22636" w:rsidRPr="009B7433" w:rsidRDefault="00AA32BC" w:rsidP="004A1848">
            <w:pPr>
              <w:jc w:val="both"/>
              <w:rPr>
                <w:rFonts w:ascii="Book Antiqua" w:hAnsi="Book Antiqua" w:cs="Arial"/>
                <w:b/>
              </w:rPr>
            </w:pPr>
            <w:r>
              <w:rPr>
                <w:rFonts w:ascii="Book Antiqua" w:hAnsi="Book Antiqua" w:cs="Arial"/>
                <w:b/>
              </w:rPr>
              <w:t xml:space="preserve">  </w:t>
            </w:r>
            <w:r w:rsidR="00C639F0">
              <w:rPr>
                <w:rFonts w:ascii="Book Antiqua" w:hAnsi="Book Antiqua" w:cs="Arial"/>
                <w:b/>
              </w:rPr>
              <w:t xml:space="preserve">On 5 </w:t>
            </w:r>
            <w:r w:rsidR="0050000B">
              <w:rPr>
                <w:rFonts w:ascii="Book Antiqua" w:hAnsi="Book Antiqua" w:cs="Arial"/>
                <w:b/>
              </w:rPr>
              <w:t>June</w:t>
            </w:r>
            <w:r w:rsidR="00C639F0">
              <w:rPr>
                <w:rFonts w:ascii="Book Antiqua" w:hAnsi="Book Antiqua" w:cs="Arial"/>
                <w:b/>
              </w:rPr>
              <w:t xml:space="preserve"> 2018</w:t>
            </w:r>
          </w:p>
        </w:tc>
      </w:tr>
      <w:tr w:rsidR="00D22636" w:rsidRPr="009B7433" w14:paraId="6730C851" w14:textId="77777777" w:rsidTr="00AA32BC">
        <w:tc>
          <w:tcPr>
            <w:tcW w:w="5245" w:type="dxa"/>
          </w:tcPr>
          <w:p w14:paraId="1315E103" w14:textId="77777777" w:rsidR="00D22636" w:rsidRPr="009B7433" w:rsidRDefault="00D22636" w:rsidP="004A1848">
            <w:pPr>
              <w:jc w:val="both"/>
              <w:rPr>
                <w:rFonts w:ascii="Book Antiqua" w:hAnsi="Book Antiqua" w:cs="Arial"/>
                <w:b/>
              </w:rPr>
            </w:pPr>
          </w:p>
        </w:tc>
        <w:tc>
          <w:tcPr>
            <w:tcW w:w="4763" w:type="dxa"/>
          </w:tcPr>
          <w:p w14:paraId="4965F33A" w14:textId="67D08FB0" w:rsidR="00D22636" w:rsidRPr="009B7433" w:rsidRDefault="00D22636" w:rsidP="004A1848">
            <w:pPr>
              <w:jc w:val="both"/>
              <w:rPr>
                <w:rFonts w:ascii="Book Antiqua" w:hAnsi="Book Antiqua" w:cs="Arial"/>
                <w:b/>
              </w:rPr>
            </w:pPr>
          </w:p>
        </w:tc>
      </w:tr>
    </w:tbl>
    <w:p w14:paraId="5581B9DE" w14:textId="77777777" w:rsidR="00A15234" w:rsidRPr="009B7433" w:rsidRDefault="00A15234" w:rsidP="00A15234">
      <w:pPr>
        <w:jc w:val="center"/>
        <w:rPr>
          <w:rFonts w:ascii="Book Antiqua" w:hAnsi="Book Antiqua" w:cs="Arial"/>
        </w:rPr>
      </w:pPr>
    </w:p>
    <w:p w14:paraId="47024332"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CD8BDB1" w14:textId="77777777" w:rsidR="00A15234" w:rsidRPr="009B7433" w:rsidRDefault="00A15234" w:rsidP="00A15234">
      <w:pPr>
        <w:jc w:val="center"/>
        <w:rPr>
          <w:rFonts w:ascii="Book Antiqua" w:hAnsi="Book Antiqua" w:cs="Arial"/>
          <w:b/>
        </w:rPr>
      </w:pPr>
    </w:p>
    <w:p w14:paraId="61F1F1AF" w14:textId="77777777" w:rsidR="001B186A" w:rsidRPr="009B7433" w:rsidRDefault="00C23DFC" w:rsidP="007353D7">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19D1C43B" w14:textId="77777777" w:rsidR="00D20757" w:rsidRPr="009B7433" w:rsidRDefault="00D20757" w:rsidP="00A15234">
      <w:pPr>
        <w:jc w:val="center"/>
        <w:rPr>
          <w:rFonts w:ascii="Book Antiqua" w:hAnsi="Book Antiqua" w:cs="Arial"/>
          <w:b/>
        </w:rPr>
      </w:pPr>
    </w:p>
    <w:p w14:paraId="1F61D65D"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76979D7" w14:textId="77777777" w:rsidR="00A845DC" w:rsidRPr="009B7433" w:rsidRDefault="00A845DC" w:rsidP="00A15234">
      <w:pPr>
        <w:jc w:val="center"/>
        <w:rPr>
          <w:rFonts w:ascii="Book Antiqua" w:hAnsi="Book Antiqua" w:cs="Arial"/>
          <w:b/>
        </w:rPr>
      </w:pPr>
    </w:p>
    <w:p w14:paraId="7473EE97" w14:textId="77777777" w:rsidR="00A845DC" w:rsidRDefault="007353D7" w:rsidP="00A15234">
      <w:pPr>
        <w:jc w:val="center"/>
        <w:rPr>
          <w:rFonts w:ascii="Book Antiqua" w:hAnsi="Book Antiqua" w:cs="Arial"/>
          <w:b/>
          <w:caps/>
        </w:rPr>
      </w:pPr>
      <w:r>
        <w:rPr>
          <w:rFonts w:ascii="Book Antiqua" w:hAnsi="Book Antiqua" w:cs="Arial"/>
          <w:b/>
          <w:caps/>
        </w:rPr>
        <w:t>m i h</w:t>
      </w:r>
    </w:p>
    <w:p w14:paraId="1E950D9F" w14:textId="77777777" w:rsidR="00D949B7" w:rsidRPr="00AA32BC" w:rsidRDefault="00D949B7" w:rsidP="00D949B7">
      <w:pPr>
        <w:jc w:val="center"/>
        <w:rPr>
          <w:rFonts w:ascii="Book Antiqua" w:hAnsi="Book Antiqua" w:cs="Arial"/>
          <w:caps/>
        </w:rPr>
      </w:pPr>
      <w:r w:rsidRPr="00AA32BC">
        <w:rPr>
          <w:rFonts w:ascii="Book Antiqua" w:hAnsi="Book Antiqua" w:cs="Arial"/>
          <w:caps/>
        </w:rPr>
        <w:t xml:space="preserve">(ANONYMITY DIRECTION </w:t>
      </w:r>
      <w:r w:rsidR="007353D7" w:rsidRPr="00AA32BC">
        <w:rPr>
          <w:rFonts w:ascii="Book Antiqua" w:hAnsi="Book Antiqua" w:cs="Arial"/>
          <w:caps/>
        </w:rPr>
        <w:t>made</w:t>
      </w:r>
      <w:r w:rsidRPr="00AA32BC">
        <w:rPr>
          <w:rFonts w:ascii="Book Antiqua" w:hAnsi="Book Antiqua" w:cs="Arial"/>
          <w:caps/>
        </w:rPr>
        <w:t>)</w:t>
      </w:r>
    </w:p>
    <w:p w14:paraId="23757C4D"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083770A" w14:textId="77777777" w:rsidR="00AA32BC" w:rsidRDefault="00AA32BC" w:rsidP="00704B61">
      <w:pPr>
        <w:jc w:val="center"/>
        <w:rPr>
          <w:rFonts w:ascii="Book Antiqua" w:hAnsi="Book Antiqua" w:cs="Arial"/>
          <w:b/>
        </w:rPr>
      </w:pPr>
    </w:p>
    <w:p w14:paraId="6D2E573C" w14:textId="23983058" w:rsidR="00704B61" w:rsidRPr="009B7433" w:rsidRDefault="00DD5071" w:rsidP="00704B61">
      <w:pPr>
        <w:jc w:val="center"/>
        <w:rPr>
          <w:rFonts w:ascii="Book Antiqua" w:hAnsi="Book Antiqua" w:cs="Arial"/>
          <w:b/>
        </w:rPr>
      </w:pPr>
      <w:r w:rsidRPr="009B7433">
        <w:rPr>
          <w:rFonts w:ascii="Book Antiqua" w:hAnsi="Book Antiqua" w:cs="Arial"/>
          <w:b/>
        </w:rPr>
        <w:t>and</w:t>
      </w:r>
    </w:p>
    <w:p w14:paraId="25D57AA8" w14:textId="761A157E" w:rsidR="00DD5071" w:rsidRDefault="00DD5071" w:rsidP="00704B61">
      <w:pPr>
        <w:jc w:val="center"/>
        <w:rPr>
          <w:rFonts w:ascii="Book Antiqua" w:hAnsi="Book Antiqua" w:cs="Arial"/>
          <w:b/>
        </w:rPr>
      </w:pPr>
    </w:p>
    <w:p w14:paraId="61B7733D" w14:textId="107BB28F" w:rsidR="00AA32BC" w:rsidRPr="009B7433" w:rsidRDefault="00AA32BC" w:rsidP="00704B61">
      <w:pPr>
        <w:jc w:val="center"/>
        <w:rPr>
          <w:rFonts w:ascii="Book Antiqua" w:hAnsi="Book Antiqua" w:cs="Arial"/>
          <w:b/>
        </w:rPr>
      </w:pPr>
      <w:r>
        <w:rPr>
          <w:rFonts w:ascii="Book Antiqua" w:hAnsi="Book Antiqua" w:cs="Arial"/>
          <w:b/>
        </w:rPr>
        <w:t>THE SECRETARY OF STATE FOR THE HOME DEPARTMENT</w:t>
      </w:r>
    </w:p>
    <w:p w14:paraId="32B32A43"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E691FBD" w14:textId="77777777" w:rsidR="00DD5071" w:rsidRPr="009B7433" w:rsidRDefault="00DD5071" w:rsidP="00DD5071">
      <w:pPr>
        <w:rPr>
          <w:rFonts w:ascii="Book Antiqua" w:hAnsi="Book Antiqua" w:cs="Arial"/>
          <w:u w:val="single"/>
        </w:rPr>
      </w:pPr>
    </w:p>
    <w:p w14:paraId="2E3DEA65"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855F910" w14:textId="77777777" w:rsidR="00DE7DB7" w:rsidRPr="009B7433" w:rsidRDefault="00DE7DB7" w:rsidP="00DD5071">
      <w:pPr>
        <w:rPr>
          <w:rFonts w:ascii="Book Antiqua" w:hAnsi="Book Antiqua" w:cs="Arial"/>
        </w:rPr>
      </w:pPr>
    </w:p>
    <w:p w14:paraId="3540A28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353D7">
        <w:rPr>
          <w:rFonts w:ascii="Book Antiqua" w:hAnsi="Book Antiqua" w:cs="Arial"/>
        </w:rPr>
        <w:t xml:space="preserve">Mr F </w:t>
      </w:r>
      <w:proofErr w:type="spellStart"/>
      <w:r w:rsidR="007353D7">
        <w:rPr>
          <w:rFonts w:ascii="Book Antiqua" w:hAnsi="Book Antiqua" w:cs="Arial"/>
        </w:rPr>
        <w:t>Magennis</w:t>
      </w:r>
      <w:proofErr w:type="spellEnd"/>
      <w:r w:rsidR="007353D7">
        <w:rPr>
          <w:rFonts w:ascii="Book Antiqua" w:hAnsi="Book Antiqua" w:cs="Arial"/>
        </w:rPr>
        <w:t>, instructed by Migrant Legal Project (Cardiff)</w:t>
      </w:r>
    </w:p>
    <w:p w14:paraId="0BA79BA4"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353D7">
        <w:rPr>
          <w:rFonts w:ascii="Book Antiqua" w:hAnsi="Book Antiqua" w:cs="Arial"/>
        </w:rPr>
        <w:t xml:space="preserve">Mr P Duffy, </w:t>
      </w:r>
      <w:r w:rsidR="007E6651">
        <w:rPr>
          <w:rFonts w:ascii="Book Antiqua" w:hAnsi="Book Antiqua" w:cs="Arial"/>
        </w:rPr>
        <w:t xml:space="preserve">Senior </w:t>
      </w:r>
      <w:r w:rsidR="007353D7">
        <w:rPr>
          <w:rFonts w:ascii="Book Antiqua" w:hAnsi="Book Antiqua" w:cs="Arial"/>
        </w:rPr>
        <w:t xml:space="preserve">Home Office Presenting Officer </w:t>
      </w:r>
    </w:p>
    <w:p w14:paraId="380A9575" w14:textId="77777777" w:rsidR="00DE7DB7" w:rsidRPr="009B7433" w:rsidRDefault="00DE7DB7" w:rsidP="00402B9E">
      <w:pPr>
        <w:tabs>
          <w:tab w:val="left" w:pos="2520"/>
        </w:tabs>
        <w:jc w:val="center"/>
        <w:rPr>
          <w:rFonts w:ascii="Book Antiqua" w:hAnsi="Book Antiqua" w:cs="Arial"/>
        </w:rPr>
      </w:pPr>
    </w:p>
    <w:p w14:paraId="091469CC" w14:textId="77777777" w:rsidR="00DE7DB7" w:rsidRPr="009B7433" w:rsidRDefault="00DE7DB7" w:rsidP="000A0743">
      <w:pPr>
        <w:jc w:val="center"/>
        <w:rPr>
          <w:rFonts w:ascii="Book Antiqua" w:hAnsi="Book Antiqua" w:cs="Arial"/>
        </w:rPr>
      </w:pPr>
    </w:p>
    <w:p w14:paraId="6F2B64BD"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711B72E" w14:textId="77777777" w:rsidR="00EA79AF" w:rsidRDefault="007353D7" w:rsidP="00EA79AF">
      <w:pPr>
        <w:numPr>
          <w:ilvl w:val="0"/>
          <w:numId w:val="1"/>
        </w:numPr>
        <w:tabs>
          <w:tab w:val="clear" w:pos="567"/>
        </w:tabs>
        <w:spacing w:before="240"/>
        <w:jc w:val="both"/>
        <w:rPr>
          <w:rFonts w:ascii="Book Antiqua" w:hAnsi="Book Antiqua" w:cs="Arial"/>
        </w:rPr>
      </w:pPr>
      <w:r>
        <w:rPr>
          <w:rFonts w:ascii="Book Antiqua" w:hAnsi="Book Antiqua" w:cs="Arial"/>
        </w:rPr>
        <w:t>Pursuant to rule 14 of the Tribunal Procedure (Upper Tribunal) Rules 2008 (SI 2008/2698) I make an anonymity order prohibiting the disclosure or publication of any matter likely to lead to members of the public identifying the appellant.  A failure to comply with this direction could lead to Contempt of Court proceedings.</w:t>
      </w:r>
    </w:p>
    <w:p w14:paraId="68928262" w14:textId="02D2CB67" w:rsidR="005F06A2" w:rsidRPr="005F06A2" w:rsidRDefault="005F06A2" w:rsidP="005F06A2">
      <w:pPr>
        <w:spacing w:before="240"/>
        <w:jc w:val="both"/>
        <w:rPr>
          <w:rFonts w:ascii="Book Antiqua" w:hAnsi="Book Antiqua" w:cs="Arial"/>
          <w:b/>
          <w:u w:val="single"/>
        </w:rPr>
      </w:pPr>
      <w:r w:rsidRPr="005F06A2">
        <w:rPr>
          <w:rFonts w:ascii="Book Antiqua" w:hAnsi="Book Antiqua" w:cs="Arial"/>
          <w:b/>
          <w:u w:val="single"/>
        </w:rPr>
        <w:t>Introduction</w:t>
      </w:r>
    </w:p>
    <w:p w14:paraId="4DAD10CA" w14:textId="05AD689A" w:rsidR="007353D7" w:rsidRDefault="007E665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Iraq who was born on 26 June 1995.  He is of Kurdish ethnicity and comes from the village of Dara in the </w:t>
      </w:r>
      <w:proofErr w:type="spellStart"/>
      <w:r>
        <w:rPr>
          <w:rFonts w:ascii="Book Antiqua" w:hAnsi="Book Antiqua" w:cs="Arial"/>
        </w:rPr>
        <w:t>D</w:t>
      </w:r>
      <w:r w:rsidR="00BB3D05">
        <w:rPr>
          <w:rFonts w:ascii="Book Antiqua" w:hAnsi="Book Antiqua" w:cs="Arial"/>
        </w:rPr>
        <w:t>a</w:t>
      </w:r>
      <w:r>
        <w:rPr>
          <w:rFonts w:ascii="Book Antiqua" w:hAnsi="Book Antiqua" w:cs="Arial"/>
        </w:rPr>
        <w:t>quq</w:t>
      </w:r>
      <w:proofErr w:type="spellEnd"/>
      <w:r>
        <w:rPr>
          <w:rFonts w:ascii="Book Antiqua" w:hAnsi="Book Antiqua" w:cs="Arial"/>
        </w:rPr>
        <w:t xml:space="preserve"> district in the Kirkuk Governorate.  The appellant’s village is about 40 kilometres </w:t>
      </w:r>
      <w:r w:rsidR="00583D5C">
        <w:rPr>
          <w:rFonts w:ascii="Book Antiqua" w:hAnsi="Book Antiqua" w:cs="Arial"/>
        </w:rPr>
        <w:t>south of</w:t>
      </w:r>
      <w:r>
        <w:rPr>
          <w:rFonts w:ascii="Book Antiqua" w:hAnsi="Book Antiqua" w:cs="Arial"/>
        </w:rPr>
        <w:t xml:space="preserve"> Kirkuk. </w:t>
      </w:r>
    </w:p>
    <w:p w14:paraId="0369EE40" w14:textId="77777777" w:rsidR="007E6651" w:rsidRDefault="007E6651"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appellant arrived clandestinely in the UK on 1 August 2016 and claimed asylum</w:t>
      </w:r>
      <w:bookmarkStart w:id="0" w:name="_GoBack"/>
      <w:bookmarkEnd w:id="0"/>
      <w:r>
        <w:rPr>
          <w:rFonts w:ascii="Book Antiqua" w:hAnsi="Book Antiqua" w:cs="Arial"/>
        </w:rPr>
        <w:t xml:space="preserve"> on that day.  </w:t>
      </w:r>
    </w:p>
    <w:p w14:paraId="0E859B70" w14:textId="71E30393" w:rsidR="007E6651" w:rsidRPr="001757A0" w:rsidRDefault="007E6651" w:rsidP="00EA79AF">
      <w:pPr>
        <w:numPr>
          <w:ilvl w:val="0"/>
          <w:numId w:val="1"/>
        </w:numPr>
        <w:tabs>
          <w:tab w:val="clear" w:pos="567"/>
        </w:tabs>
        <w:spacing w:before="240"/>
        <w:jc w:val="both"/>
        <w:rPr>
          <w:rFonts w:ascii="Book Antiqua" w:hAnsi="Book Antiqua" w:cs="Arial"/>
        </w:rPr>
      </w:pPr>
      <w:r w:rsidRPr="001757A0">
        <w:rPr>
          <w:rFonts w:ascii="Book Antiqua" w:hAnsi="Book Antiqua" w:cs="Arial"/>
        </w:rPr>
        <w:t>The basis of his claim was that his father had been a member of the Ba’ath Party and had spied upon the Kurds.  His father had disappeared in May 2015.  The appellant also claim</w:t>
      </w:r>
      <w:r w:rsidR="002F23D0" w:rsidRPr="001757A0">
        <w:rPr>
          <w:rFonts w:ascii="Book Antiqua" w:hAnsi="Book Antiqua" w:cs="Arial"/>
        </w:rPr>
        <w:t>ed</w:t>
      </w:r>
      <w:r w:rsidRPr="001757A0">
        <w:rPr>
          <w:rFonts w:ascii="Book Antiqua" w:hAnsi="Book Antiqua" w:cs="Arial"/>
        </w:rPr>
        <w:t xml:space="preserve"> that in July 2015 the Al-Hashab Al-</w:t>
      </w:r>
      <w:proofErr w:type="spellStart"/>
      <w:r w:rsidRPr="001757A0">
        <w:rPr>
          <w:rFonts w:ascii="Book Antiqua" w:hAnsi="Book Antiqua" w:cs="Arial"/>
        </w:rPr>
        <w:t>Shaabi</w:t>
      </w:r>
      <w:proofErr w:type="spellEnd"/>
      <w:r w:rsidRPr="001757A0">
        <w:rPr>
          <w:rFonts w:ascii="Book Antiqua" w:hAnsi="Book Antiqua" w:cs="Arial"/>
        </w:rPr>
        <w:t xml:space="preserve"> had come to his village and abducted a number of youths.  The appellant’s claim to fear the Peshmerga as a result of his father’s activities and also Al-Hashab Al-</w:t>
      </w:r>
      <w:proofErr w:type="spellStart"/>
      <w:r w:rsidRPr="001757A0">
        <w:rPr>
          <w:rFonts w:ascii="Book Antiqua" w:hAnsi="Book Antiqua" w:cs="Arial"/>
        </w:rPr>
        <w:t>Shaabi</w:t>
      </w:r>
      <w:proofErr w:type="spellEnd"/>
      <w:r w:rsidRPr="001757A0">
        <w:rPr>
          <w:rFonts w:ascii="Book Antiqua" w:hAnsi="Book Antiqua" w:cs="Arial"/>
        </w:rPr>
        <w:t xml:space="preserve"> on his return.  In </w:t>
      </w:r>
      <w:r w:rsidR="001D355E" w:rsidRPr="001757A0">
        <w:rPr>
          <w:rFonts w:ascii="Book Antiqua" w:hAnsi="Book Antiqua" w:cs="Arial"/>
        </w:rPr>
        <w:t xml:space="preserve">addition, the appellant claims to fear Daesh </w:t>
      </w:r>
      <w:r w:rsidR="001757A0">
        <w:rPr>
          <w:rFonts w:ascii="Book Antiqua" w:hAnsi="Book Antiqua" w:cs="Arial"/>
        </w:rPr>
        <w:t xml:space="preserve">(aka ISIS) </w:t>
      </w:r>
      <w:r w:rsidR="001D355E" w:rsidRPr="001757A0">
        <w:rPr>
          <w:rFonts w:ascii="Book Antiqua" w:hAnsi="Book Antiqua" w:cs="Arial"/>
        </w:rPr>
        <w:t xml:space="preserve">who were operating near his village and </w:t>
      </w:r>
      <w:r w:rsidR="00BB3D05" w:rsidRPr="001757A0">
        <w:rPr>
          <w:rFonts w:ascii="Book Antiqua" w:hAnsi="Book Antiqua" w:cs="Arial"/>
        </w:rPr>
        <w:t>t</w:t>
      </w:r>
      <w:r w:rsidR="001D355E" w:rsidRPr="001757A0">
        <w:rPr>
          <w:rFonts w:ascii="Book Antiqua" w:hAnsi="Book Antiqua" w:cs="Arial"/>
        </w:rPr>
        <w:t>he</w:t>
      </w:r>
      <w:r w:rsidR="00BB3D05" w:rsidRPr="001757A0">
        <w:rPr>
          <w:rFonts w:ascii="Book Antiqua" w:hAnsi="Book Antiqua" w:cs="Arial"/>
        </w:rPr>
        <w:t>y</w:t>
      </w:r>
      <w:r w:rsidR="001D355E" w:rsidRPr="001757A0">
        <w:rPr>
          <w:rFonts w:ascii="Book Antiqua" w:hAnsi="Book Antiqua" w:cs="Arial"/>
        </w:rPr>
        <w:t xml:space="preserve"> had killed his mother with a mortar in August 2015.  </w:t>
      </w:r>
    </w:p>
    <w:p w14:paraId="36A8E2FE" w14:textId="77777777" w:rsidR="001D355E" w:rsidRDefault="001D355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24 January 2017, the Secretary of State </w:t>
      </w:r>
      <w:r w:rsidR="00BB3D05">
        <w:rPr>
          <w:rFonts w:ascii="Book Antiqua" w:hAnsi="Book Antiqua" w:cs="Arial"/>
        </w:rPr>
        <w:t>refused the appellant’s claims f</w:t>
      </w:r>
      <w:r>
        <w:rPr>
          <w:rFonts w:ascii="Book Antiqua" w:hAnsi="Book Antiqua" w:cs="Arial"/>
        </w:rPr>
        <w:t>o</w:t>
      </w:r>
      <w:r w:rsidR="00BB3D05">
        <w:rPr>
          <w:rFonts w:ascii="Book Antiqua" w:hAnsi="Book Antiqua" w:cs="Arial"/>
        </w:rPr>
        <w:t>r</w:t>
      </w:r>
      <w:r>
        <w:rPr>
          <w:rFonts w:ascii="Book Antiqua" w:hAnsi="Book Antiqua" w:cs="Arial"/>
        </w:rPr>
        <w:t xml:space="preserve"> asylum, humanitarian protection and on human rights grounds.</w:t>
      </w:r>
    </w:p>
    <w:p w14:paraId="0818F2CF" w14:textId="77777777" w:rsidR="001D355E" w:rsidRPr="001D355E" w:rsidRDefault="001D355E" w:rsidP="001D355E">
      <w:pPr>
        <w:spacing w:before="240"/>
        <w:jc w:val="both"/>
        <w:rPr>
          <w:rFonts w:ascii="Book Antiqua" w:hAnsi="Book Antiqua" w:cs="Arial"/>
          <w:b/>
          <w:u w:val="single"/>
        </w:rPr>
      </w:pPr>
      <w:r>
        <w:rPr>
          <w:rFonts w:ascii="Book Antiqua" w:hAnsi="Book Antiqua" w:cs="Arial"/>
          <w:b/>
          <w:u w:val="single"/>
        </w:rPr>
        <w:t>The Appeal</w:t>
      </w:r>
    </w:p>
    <w:p w14:paraId="40279C15" w14:textId="77777777" w:rsidR="001D355E" w:rsidRDefault="00C74065"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appealed</w:t>
      </w:r>
      <w:r w:rsidR="001D355E">
        <w:rPr>
          <w:rFonts w:ascii="Book Antiqua" w:hAnsi="Book Antiqua" w:cs="Arial"/>
        </w:rPr>
        <w:t xml:space="preserve"> to the First-tier Tribunal.  In a determination sent on 22 May 2017, Judge O’Rourke dismissed the appellant’s claim on all grounds. </w:t>
      </w:r>
    </w:p>
    <w:p w14:paraId="1C65FF23" w14:textId="6DDFD649" w:rsidR="001C13D3" w:rsidRPr="00F514B4" w:rsidRDefault="001D355E" w:rsidP="00EA79AF">
      <w:pPr>
        <w:numPr>
          <w:ilvl w:val="0"/>
          <w:numId w:val="1"/>
        </w:numPr>
        <w:tabs>
          <w:tab w:val="clear" w:pos="567"/>
        </w:tabs>
        <w:spacing w:before="240"/>
        <w:jc w:val="both"/>
        <w:rPr>
          <w:rFonts w:ascii="Book Antiqua" w:hAnsi="Book Antiqua" w:cs="Arial"/>
        </w:rPr>
      </w:pPr>
      <w:r w:rsidRPr="00F514B4">
        <w:rPr>
          <w:rFonts w:ascii="Book Antiqua" w:hAnsi="Book Antiqua" w:cs="Arial"/>
        </w:rPr>
        <w:t>First, the judge made an adverse credibility finding and rejected the appellant’s account based upon a risk as a result of his father’s claimed involvement with the Ba’ath Party.</w:t>
      </w:r>
      <w:r w:rsidR="00F514B4" w:rsidRPr="00F514B4">
        <w:rPr>
          <w:rFonts w:ascii="Book Antiqua" w:hAnsi="Book Antiqua" w:cs="Arial"/>
        </w:rPr>
        <w:t xml:space="preserve">  </w:t>
      </w:r>
      <w:r w:rsidRPr="00F514B4">
        <w:rPr>
          <w:rFonts w:ascii="Book Antiqua" w:hAnsi="Book Antiqua" w:cs="Arial"/>
        </w:rPr>
        <w:t xml:space="preserve">Secondly, the judge found that the appellant could safely return to his home area where there was no longer an </w:t>
      </w:r>
      <w:r w:rsidR="001C13D3" w:rsidRPr="00F514B4">
        <w:rPr>
          <w:rFonts w:ascii="Book Antiqua" w:hAnsi="Book Antiqua" w:cs="Arial"/>
        </w:rPr>
        <w:t>Art</w:t>
      </w:r>
      <w:r w:rsidRPr="00F514B4">
        <w:rPr>
          <w:rFonts w:ascii="Book Antiqua" w:hAnsi="Book Antiqua" w:cs="Arial"/>
        </w:rPr>
        <w:t xml:space="preserve"> 15(c) risk from Daesh.</w:t>
      </w:r>
      <w:r w:rsidR="00F514B4">
        <w:rPr>
          <w:rFonts w:ascii="Book Antiqua" w:hAnsi="Book Antiqua" w:cs="Arial"/>
        </w:rPr>
        <w:t xml:space="preserve">  </w:t>
      </w:r>
      <w:r w:rsidR="001C13D3" w:rsidRPr="00F514B4">
        <w:rPr>
          <w:rFonts w:ascii="Book Antiqua" w:hAnsi="Book Antiqua" w:cs="Arial"/>
        </w:rPr>
        <w:t>Thirdly, the judge found that the appellant could return to his home area via the IKR.</w:t>
      </w:r>
    </w:p>
    <w:p w14:paraId="0FF9B078" w14:textId="77777777" w:rsidR="001C13D3" w:rsidRPr="001C13D3" w:rsidRDefault="001C13D3" w:rsidP="001C13D3">
      <w:pPr>
        <w:spacing w:before="240"/>
        <w:jc w:val="both"/>
        <w:rPr>
          <w:rFonts w:ascii="Book Antiqua" w:hAnsi="Book Antiqua" w:cs="Arial"/>
          <w:b/>
          <w:u w:val="single"/>
        </w:rPr>
      </w:pPr>
      <w:r>
        <w:rPr>
          <w:rFonts w:ascii="Book Antiqua" w:hAnsi="Book Antiqua" w:cs="Arial"/>
          <w:b/>
          <w:u w:val="single"/>
        </w:rPr>
        <w:t>The Appeal to the Upper Tribunal</w:t>
      </w:r>
    </w:p>
    <w:p w14:paraId="78F39B65" w14:textId="2A676381" w:rsidR="001C13D3" w:rsidRDefault="00F42448"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sought permission to appeal to the Upper Tribunal on a number of grounds challenging the judge’s adverse credibility finding</w:t>
      </w:r>
      <w:r w:rsidR="00120A5F">
        <w:rPr>
          <w:rFonts w:ascii="Book Antiqua" w:hAnsi="Book Antiqua" w:cs="Arial"/>
        </w:rPr>
        <w:t>.  Further, he was wrong</w:t>
      </w:r>
      <w:r w:rsidR="003C15E0">
        <w:rPr>
          <w:rFonts w:ascii="Book Antiqua" w:hAnsi="Book Antiqua" w:cs="Arial"/>
        </w:rPr>
        <w:t xml:space="preserve"> to depart</w:t>
      </w:r>
      <w:r>
        <w:rPr>
          <w:rFonts w:ascii="Book Antiqua" w:hAnsi="Book Antiqua" w:cs="Arial"/>
        </w:rPr>
        <w:t xml:space="preserve"> from the country guidance case of </w:t>
      </w:r>
      <w:r w:rsidRPr="00F42448">
        <w:rPr>
          <w:rFonts w:ascii="Book Antiqua" w:hAnsi="Book Antiqua" w:cs="Arial"/>
          <w:u w:val="single"/>
        </w:rPr>
        <w:t>AA</w:t>
      </w:r>
      <w:r>
        <w:rPr>
          <w:rFonts w:ascii="Book Antiqua" w:hAnsi="Book Antiqua" w:cs="Arial"/>
        </w:rPr>
        <w:t xml:space="preserve"> (Article 15(c)) CG [2015] UKU</w:t>
      </w:r>
      <w:r w:rsidR="00BB3D05">
        <w:rPr>
          <w:rFonts w:ascii="Book Antiqua" w:hAnsi="Book Antiqua" w:cs="Arial"/>
        </w:rPr>
        <w:t>T 544</w:t>
      </w:r>
      <w:r w:rsidR="008B6231">
        <w:rPr>
          <w:rFonts w:ascii="Book Antiqua" w:hAnsi="Book Antiqua" w:cs="Arial"/>
        </w:rPr>
        <w:t xml:space="preserve"> in finding</w:t>
      </w:r>
      <w:r w:rsidR="00BB3D05">
        <w:rPr>
          <w:rFonts w:ascii="Book Antiqua" w:hAnsi="Book Antiqua" w:cs="Arial"/>
        </w:rPr>
        <w:t xml:space="preserve"> that there was no Art </w:t>
      </w:r>
      <w:r>
        <w:rPr>
          <w:rFonts w:ascii="Book Antiqua" w:hAnsi="Book Antiqua" w:cs="Arial"/>
        </w:rPr>
        <w:t xml:space="preserve">15(c) risk in the appellant’s home area.  </w:t>
      </w:r>
      <w:r w:rsidR="003C15E0">
        <w:rPr>
          <w:rFonts w:ascii="Book Antiqua" w:hAnsi="Book Antiqua" w:cs="Arial"/>
        </w:rPr>
        <w:t>Also</w:t>
      </w:r>
      <w:r>
        <w:rPr>
          <w:rFonts w:ascii="Book Antiqua" w:hAnsi="Book Antiqua" w:cs="Arial"/>
        </w:rPr>
        <w:t xml:space="preserve">, the grounds argue that the judge failed properly to consider whether the appellant could safely return </w:t>
      </w:r>
      <w:r w:rsidR="006F103C">
        <w:rPr>
          <w:rFonts w:ascii="Book Antiqua" w:hAnsi="Book Antiqua" w:cs="Arial"/>
        </w:rPr>
        <w:t>to his home</w:t>
      </w:r>
      <w:r w:rsidR="00875040">
        <w:rPr>
          <w:rFonts w:ascii="Book Antiqua" w:hAnsi="Book Antiqua" w:cs="Arial"/>
        </w:rPr>
        <w:t xml:space="preserve"> area via the IKR.</w:t>
      </w:r>
    </w:p>
    <w:p w14:paraId="349D6D8D" w14:textId="01711A32" w:rsidR="00875040" w:rsidRDefault="00875040" w:rsidP="00EA79AF">
      <w:pPr>
        <w:numPr>
          <w:ilvl w:val="0"/>
          <w:numId w:val="1"/>
        </w:numPr>
        <w:tabs>
          <w:tab w:val="clear" w:pos="567"/>
        </w:tabs>
        <w:spacing w:before="240"/>
        <w:jc w:val="both"/>
        <w:rPr>
          <w:rFonts w:ascii="Book Antiqua" w:hAnsi="Book Antiqua" w:cs="Arial"/>
        </w:rPr>
      </w:pPr>
      <w:r>
        <w:rPr>
          <w:rFonts w:ascii="Book Antiqua" w:hAnsi="Book Antiqua" w:cs="Arial"/>
        </w:rPr>
        <w:t>Initially, the First-tier Tribunal refused permission to appeal.  However, on 23 October 2017, the Upper Tribunal (</w:t>
      </w:r>
      <w:r w:rsidR="000760D7">
        <w:rPr>
          <w:rFonts w:ascii="Book Antiqua" w:hAnsi="Book Antiqua" w:cs="Arial"/>
        </w:rPr>
        <w:t xml:space="preserve">UT </w:t>
      </w:r>
      <w:r>
        <w:rPr>
          <w:rFonts w:ascii="Book Antiqua" w:hAnsi="Book Antiqua" w:cs="Arial"/>
        </w:rPr>
        <w:t>Judge Perkins) granted the appellant permission to appeal on all grounds.</w:t>
      </w:r>
    </w:p>
    <w:p w14:paraId="16807771" w14:textId="7A028DC3" w:rsidR="000312CE" w:rsidRDefault="000312C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16 November 2017, the Secretary of State filed a </w:t>
      </w:r>
      <w:r w:rsidR="000760D7">
        <w:rPr>
          <w:rFonts w:ascii="Book Antiqua" w:hAnsi="Book Antiqua" w:cs="Arial"/>
        </w:rPr>
        <w:t>r</w:t>
      </w:r>
      <w:r>
        <w:rPr>
          <w:rFonts w:ascii="Book Antiqua" w:hAnsi="Book Antiqua" w:cs="Arial"/>
        </w:rPr>
        <w:t>ule 24 response seeking to uphold the judge’s decision.</w:t>
      </w:r>
    </w:p>
    <w:p w14:paraId="5972ECE3" w14:textId="6EBD8DF2" w:rsidR="000312CE" w:rsidRPr="000312CE" w:rsidRDefault="0060383F" w:rsidP="000312CE">
      <w:pPr>
        <w:spacing w:before="240"/>
        <w:jc w:val="both"/>
        <w:rPr>
          <w:rFonts w:ascii="Book Antiqua" w:hAnsi="Book Antiqua" w:cs="Arial"/>
          <w:b/>
          <w:u w:val="single"/>
        </w:rPr>
      </w:pPr>
      <w:r>
        <w:rPr>
          <w:rFonts w:ascii="Book Antiqua" w:hAnsi="Book Antiqua" w:cs="Arial"/>
          <w:b/>
          <w:u w:val="single"/>
        </w:rPr>
        <w:t>The Grounds</w:t>
      </w:r>
    </w:p>
    <w:p w14:paraId="28F69B34" w14:textId="78B4B306" w:rsidR="000312CE" w:rsidRDefault="000312C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Magennis</w:t>
      </w:r>
      <w:proofErr w:type="spellEnd"/>
      <w:r>
        <w:rPr>
          <w:rFonts w:ascii="Book Antiqua" w:hAnsi="Book Antiqua" w:cs="Arial"/>
        </w:rPr>
        <w:t>, who represented the appellant</w:t>
      </w:r>
      <w:r w:rsidR="008C1A5D">
        <w:rPr>
          <w:rFonts w:ascii="Book Antiqua" w:hAnsi="Book Antiqua" w:cs="Arial"/>
        </w:rPr>
        <w:t xml:space="preserve"> relied</w:t>
      </w:r>
      <w:r>
        <w:rPr>
          <w:rFonts w:ascii="Book Antiqua" w:hAnsi="Book Antiqua" w:cs="Arial"/>
        </w:rPr>
        <w:t xml:space="preserve"> upon the grounds of appeal as developed in his skeleton argument.  Th</w:t>
      </w:r>
      <w:r w:rsidR="00A81206">
        <w:rPr>
          <w:rFonts w:ascii="Book Antiqua" w:hAnsi="Book Antiqua" w:cs="Arial"/>
        </w:rPr>
        <w:t>o</w:t>
      </w:r>
      <w:r>
        <w:rPr>
          <w:rFonts w:ascii="Book Antiqua" w:hAnsi="Book Antiqua" w:cs="Arial"/>
        </w:rPr>
        <w:t>se grounds numbered (a) to (</w:t>
      </w:r>
      <w:proofErr w:type="spellStart"/>
      <w:r>
        <w:rPr>
          <w:rFonts w:ascii="Book Antiqua" w:hAnsi="Book Antiqua" w:cs="Arial"/>
        </w:rPr>
        <w:t>i</w:t>
      </w:r>
      <w:proofErr w:type="spellEnd"/>
      <w:r>
        <w:rPr>
          <w:rFonts w:ascii="Book Antiqua" w:hAnsi="Book Antiqua" w:cs="Arial"/>
        </w:rPr>
        <w:t xml:space="preserve">).  </w:t>
      </w:r>
    </w:p>
    <w:p w14:paraId="17ACF275" w14:textId="77777777" w:rsidR="000312CE" w:rsidRDefault="000312CE" w:rsidP="00EA79AF">
      <w:pPr>
        <w:numPr>
          <w:ilvl w:val="0"/>
          <w:numId w:val="1"/>
        </w:numPr>
        <w:tabs>
          <w:tab w:val="clear" w:pos="567"/>
        </w:tabs>
        <w:spacing w:before="240"/>
        <w:jc w:val="both"/>
        <w:rPr>
          <w:rFonts w:ascii="Book Antiqua" w:hAnsi="Book Antiqua" w:cs="Arial"/>
        </w:rPr>
      </w:pPr>
      <w:r>
        <w:rPr>
          <w:rFonts w:ascii="Book Antiqua" w:hAnsi="Book Antiqua" w:cs="Arial"/>
        </w:rPr>
        <w:t>Grounds (a), (b), (c), (f), (g), (h) and (</w:t>
      </w:r>
      <w:proofErr w:type="spellStart"/>
      <w:r>
        <w:rPr>
          <w:rFonts w:ascii="Book Antiqua" w:hAnsi="Book Antiqua" w:cs="Arial"/>
        </w:rPr>
        <w:t>i</w:t>
      </w:r>
      <w:proofErr w:type="spellEnd"/>
      <w:r>
        <w:rPr>
          <w:rFonts w:ascii="Book Antiqua" w:hAnsi="Book Antiqua" w:cs="Arial"/>
        </w:rPr>
        <w:t xml:space="preserve">) relate to the judge’s adverse credibility finding.  Mr </w:t>
      </w:r>
      <w:proofErr w:type="spellStart"/>
      <w:r>
        <w:rPr>
          <w:rFonts w:ascii="Book Antiqua" w:hAnsi="Book Antiqua" w:cs="Arial"/>
        </w:rPr>
        <w:t>Magennis</w:t>
      </w:r>
      <w:proofErr w:type="spellEnd"/>
      <w:r>
        <w:rPr>
          <w:rFonts w:ascii="Book Antiqua" w:hAnsi="Book Antiqua" w:cs="Arial"/>
        </w:rPr>
        <w:t xml:space="preserve"> indicated that he no longer wished to rely upon ground (h).</w:t>
      </w:r>
    </w:p>
    <w:p w14:paraId="60DE40CD" w14:textId="77777777" w:rsidR="00685B4A" w:rsidRDefault="00685B4A"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Ground (d) challenges the judge’s decision to depart from the country guidance decision in </w:t>
      </w:r>
      <w:r w:rsidRPr="00685B4A">
        <w:rPr>
          <w:rFonts w:ascii="Book Antiqua" w:hAnsi="Book Antiqua" w:cs="Arial"/>
          <w:u w:val="single"/>
        </w:rPr>
        <w:t>AA</w:t>
      </w:r>
      <w:r>
        <w:rPr>
          <w:rFonts w:ascii="Book Antiqua" w:hAnsi="Book Antiqua" w:cs="Arial"/>
        </w:rPr>
        <w:t xml:space="preserve"> concerning the Art 15(c) risk in, or around, Kirkuk.  </w:t>
      </w:r>
    </w:p>
    <w:p w14:paraId="4968F18E" w14:textId="78FB5E78" w:rsidR="00685B4A" w:rsidRDefault="00685B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Ground (c) challenges the judge’s decision that the appellant could return to his home area via the IKR.  </w:t>
      </w:r>
    </w:p>
    <w:p w14:paraId="5E640E9D" w14:textId="3624EE51" w:rsidR="0060383F" w:rsidRPr="0060383F" w:rsidRDefault="0060383F" w:rsidP="0060383F">
      <w:pPr>
        <w:spacing w:before="240"/>
        <w:jc w:val="both"/>
        <w:rPr>
          <w:rFonts w:ascii="Book Antiqua" w:hAnsi="Book Antiqua" w:cs="Arial"/>
          <w:b/>
          <w:u w:val="single"/>
        </w:rPr>
      </w:pPr>
      <w:r w:rsidRPr="0060383F">
        <w:rPr>
          <w:rFonts w:ascii="Book Antiqua" w:hAnsi="Book Antiqua" w:cs="Arial"/>
          <w:b/>
          <w:u w:val="single"/>
        </w:rPr>
        <w:t>Discussion</w:t>
      </w:r>
    </w:p>
    <w:p w14:paraId="0655A0F2" w14:textId="014AD857" w:rsidR="00DB142D" w:rsidRPr="007A5D6E" w:rsidRDefault="00685B4A" w:rsidP="00EA79AF">
      <w:pPr>
        <w:numPr>
          <w:ilvl w:val="0"/>
          <w:numId w:val="1"/>
        </w:numPr>
        <w:tabs>
          <w:tab w:val="clear" w:pos="567"/>
        </w:tabs>
        <w:spacing w:before="240"/>
        <w:jc w:val="both"/>
        <w:rPr>
          <w:rFonts w:ascii="Book Antiqua" w:hAnsi="Book Antiqua" w:cs="Arial"/>
        </w:rPr>
      </w:pPr>
      <w:r w:rsidRPr="007A5D6E">
        <w:rPr>
          <w:rFonts w:ascii="Book Antiqua" w:hAnsi="Book Antiqua" w:cs="Arial"/>
        </w:rPr>
        <w:t xml:space="preserve">Mr </w:t>
      </w:r>
      <w:proofErr w:type="spellStart"/>
      <w:r w:rsidRPr="007A5D6E">
        <w:rPr>
          <w:rFonts w:ascii="Book Antiqua" w:hAnsi="Book Antiqua" w:cs="Arial"/>
        </w:rPr>
        <w:t>Magennis</w:t>
      </w:r>
      <w:proofErr w:type="spellEnd"/>
      <w:r w:rsidRPr="007A5D6E">
        <w:rPr>
          <w:rFonts w:ascii="Book Antiqua" w:hAnsi="Book Antiqua" w:cs="Arial"/>
        </w:rPr>
        <w:t xml:space="preserve"> began his submissions by relying upon ground (d) which he describes as his strongest ground.  He submitted that the judge had erred in law in departing from the </w:t>
      </w:r>
      <w:r w:rsidR="00FA00F6" w:rsidRPr="007A5D6E">
        <w:rPr>
          <w:rFonts w:ascii="Book Antiqua" w:hAnsi="Book Antiqua" w:cs="Arial"/>
        </w:rPr>
        <w:t xml:space="preserve">UT’s </w:t>
      </w:r>
      <w:r w:rsidRPr="007A5D6E">
        <w:rPr>
          <w:rFonts w:ascii="Book Antiqua" w:hAnsi="Book Antiqua" w:cs="Arial"/>
        </w:rPr>
        <w:t xml:space="preserve">country guidance case of </w:t>
      </w:r>
      <w:r w:rsidRPr="007A5D6E">
        <w:rPr>
          <w:rFonts w:ascii="Book Antiqua" w:hAnsi="Book Antiqua" w:cs="Arial"/>
          <w:u w:val="single"/>
        </w:rPr>
        <w:t>AA</w:t>
      </w:r>
      <w:r w:rsidRPr="007A5D6E">
        <w:rPr>
          <w:rFonts w:ascii="Book Antiqua" w:hAnsi="Book Antiqua" w:cs="Arial"/>
        </w:rPr>
        <w:t xml:space="preserve">.  </w:t>
      </w:r>
      <w:r w:rsidR="00FA00F6" w:rsidRPr="007A5D6E">
        <w:rPr>
          <w:rFonts w:ascii="Book Antiqua" w:hAnsi="Book Antiqua" w:cs="Arial"/>
        </w:rPr>
        <w:t>(</w:t>
      </w:r>
      <w:r w:rsidRPr="007A5D6E">
        <w:rPr>
          <w:rFonts w:ascii="Book Antiqua" w:hAnsi="Book Antiqua" w:cs="Arial"/>
        </w:rPr>
        <w:t xml:space="preserve">Judge O’Rourke’s decision arose before the Court of Appeal ‘amended’ the country guidance in its decision dated 11 July 2017 and reported at [2017] EWCA </w:t>
      </w:r>
      <w:proofErr w:type="spellStart"/>
      <w:r w:rsidRPr="007A5D6E">
        <w:rPr>
          <w:rFonts w:ascii="Book Antiqua" w:hAnsi="Book Antiqua" w:cs="Arial"/>
        </w:rPr>
        <w:t>Civ</w:t>
      </w:r>
      <w:proofErr w:type="spellEnd"/>
      <w:r w:rsidRPr="007A5D6E">
        <w:rPr>
          <w:rFonts w:ascii="Book Antiqua" w:hAnsi="Book Antiqua" w:cs="Arial"/>
        </w:rPr>
        <w:t xml:space="preserve"> 944</w:t>
      </w:r>
      <w:r w:rsidR="00FA00F6" w:rsidRPr="007A5D6E">
        <w:rPr>
          <w:rFonts w:ascii="Book Antiqua" w:hAnsi="Book Antiqua" w:cs="Arial"/>
        </w:rPr>
        <w:t xml:space="preserve"> so t</w:t>
      </w:r>
      <w:r w:rsidR="00895357" w:rsidRPr="007A5D6E">
        <w:rPr>
          <w:rFonts w:ascii="Book Antiqua" w:hAnsi="Book Antiqua" w:cs="Arial"/>
        </w:rPr>
        <w:t>he UT’s decision contained the relevant country guidance</w:t>
      </w:r>
      <w:r w:rsidRPr="007A5D6E">
        <w:rPr>
          <w:rFonts w:ascii="Book Antiqua" w:hAnsi="Book Antiqua" w:cs="Arial"/>
        </w:rPr>
        <w:t>.</w:t>
      </w:r>
      <w:r w:rsidR="00895357" w:rsidRPr="007A5D6E">
        <w:rPr>
          <w:rFonts w:ascii="Book Antiqua" w:hAnsi="Book Antiqua" w:cs="Arial"/>
        </w:rPr>
        <w:t>)</w:t>
      </w:r>
      <w:r w:rsidRPr="007A5D6E">
        <w:rPr>
          <w:rFonts w:ascii="Book Antiqua" w:hAnsi="Book Antiqua" w:cs="Arial"/>
        </w:rPr>
        <w:t xml:space="preserve">  </w:t>
      </w:r>
      <w:r w:rsidR="006D4E21" w:rsidRPr="007A5D6E">
        <w:rPr>
          <w:rFonts w:ascii="Book Antiqua" w:hAnsi="Book Antiqua" w:cs="Arial"/>
        </w:rPr>
        <w:t xml:space="preserve">Mr </w:t>
      </w:r>
      <w:proofErr w:type="spellStart"/>
      <w:r w:rsidR="006D4E21" w:rsidRPr="007A5D6E">
        <w:rPr>
          <w:rFonts w:ascii="Book Antiqua" w:hAnsi="Book Antiqua" w:cs="Arial"/>
        </w:rPr>
        <w:t>Magennis</w:t>
      </w:r>
      <w:proofErr w:type="spellEnd"/>
      <w:r w:rsidR="006D4E21" w:rsidRPr="007A5D6E">
        <w:rPr>
          <w:rFonts w:ascii="Book Antiqua" w:hAnsi="Book Antiqua" w:cs="Arial"/>
        </w:rPr>
        <w:t xml:space="preserve"> submitted that the judge had erred in law essentially on two bases.  </w:t>
      </w:r>
    </w:p>
    <w:p w14:paraId="4FA277BE" w14:textId="77777777" w:rsidR="00DB142D" w:rsidRDefault="006D4E2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First, he had relied upon news reports which were not in evidence and upon which neither party had an opportunity to make representations.  He submitted this was unfair following </w:t>
      </w:r>
      <w:r w:rsidRPr="0086386B">
        <w:rPr>
          <w:rFonts w:ascii="Book Antiqua" w:hAnsi="Book Antiqua" w:cs="Arial"/>
          <w:u w:val="single"/>
        </w:rPr>
        <w:t>AM</w:t>
      </w:r>
      <w:r>
        <w:rPr>
          <w:rFonts w:ascii="Book Antiqua" w:hAnsi="Book Antiqua" w:cs="Arial"/>
        </w:rPr>
        <w:t xml:space="preserve"> (</w:t>
      </w:r>
      <w:r w:rsidR="0086386B">
        <w:rPr>
          <w:rFonts w:ascii="Book Antiqua" w:hAnsi="Book Antiqua" w:cs="Arial"/>
        </w:rPr>
        <w:t xml:space="preserve">fair hearing) Sudan [2015] UKUT 00656 (IAC) and </w:t>
      </w:r>
      <w:r w:rsidR="0086386B" w:rsidRPr="0086386B">
        <w:rPr>
          <w:rFonts w:ascii="Book Antiqua" w:hAnsi="Book Antiqua" w:cs="Arial"/>
          <w:u w:val="single"/>
        </w:rPr>
        <w:t>EG</w:t>
      </w:r>
      <w:r w:rsidR="0086386B">
        <w:rPr>
          <w:rFonts w:ascii="Book Antiqua" w:hAnsi="Book Antiqua" w:cs="Arial"/>
        </w:rPr>
        <w:t xml:space="preserve"> (post-hearing internet research) Nigeria [2008] UKAIT 0015.  </w:t>
      </w:r>
    </w:p>
    <w:p w14:paraId="76C93A17" w14:textId="7A90A299" w:rsidR="006D4E21" w:rsidRDefault="0086386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Secondly, Mr </w:t>
      </w:r>
      <w:proofErr w:type="spellStart"/>
      <w:r>
        <w:rPr>
          <w:rFonts w:ascii="Book Antiqua" w:hAnsi="Book Antiqua" w:cs="Arial"/>
        </w:rPr>
        <w:t>Magennis</w:t>
      </w:r>
      <w:proofErr w:type="spellEnd"/>
      <w:r>
        <w:rPr>
          <w:rFonts w:ascii="Book Antiqua" w:hAnsi="Book Antiqua" w:cs="Arial"/>
        </w:rPr>
        <w:t xml:space="preserve"> submitted that the judge had failed properly to consider the background evidence that was before him.  He submitted that there was a “voluminous bundle” from the appellant to which the judge gave insufficient consideration.  Further, Mr </w:t>
      </w:r>
      <w:proofErr w:type="spellStart"/>
      <w:r>
        <w:rPr>
          <w:rFonts w:ascii="Book Antiqua" w:hAnsi="Book Antiqua" w:cs="Arial"/>
        </w:rPr>
        <w:t>Magennis</w:t>
      </w:r>
      <w:proofErr w:type="spellEnd"/>
      <w:r>
        <w:rPr>
          <w:rFonts w:ascii="Book Antiqua" w:hAnsi="Book Antiqua" w:cs="Arial"/>
        </w:rPr>
        <w:t xml:space="preserve"> submitted that the judge had only relied upon six pages of the respondent’s Country Policy and Information </w:t>
      </w:r>
      <w:r w:rsidR="00DB142D">
        <w:rPr>
          <w:rFonts w:ascii="Book Antiqua" w:hAnsi="Book Antiqua" w:cs="Arial"/>
        </w:rPr>
        <w:t>(“</w:t>
      </w:r>
      <w:r w:rsidR="00DB142D" w:rsidRPr="00DB142D">
        <w:rPr>
          <w:rFonts w:ascii="Book Antiqua" w:hAnsi="Book Antiqua" w:cs="Arial"/>
          <w:i/>
        </w:rPr>
        <w:t>CPI</w:t>
      </w:r>
      <w:r w:rsidR="00DB142D">
        <w:rPr>
          <w:rFonts w:ascii="Book Antiqua" w:hAnsi="Book Antiqua" w:cs="Arial"/>
        </w:rPr>
        <w:t>”)</w:t>
      </w:r>
      <w:r w:rsidR="00C24D41">
        <w:rPr>
          <w:rFonts w:ascii="Book Antiqua" w:hAnsi="Book Antiqua" w:cs="Arial"/>
        </w:rPr>
        <w:t xml:space="preserve"> </w:t>
      </w:r>
      <w:r>
        <w:rPr>
          <w:rFonts w:ascii="Book Antiqua" w:hAnsi="Book Antiqua" w:cs="Arial"/>
        </w:rPr>
        <w:t>document handed to the judge at the hearing.  He submitted that the evidence itself showed, for example, that Daesh remained in control of parts of the western Kirkuk Governorate (see para 2.3.21).  He drew my attention to a grap</w:t>
      </w:r>
      <w:r w:rsidR="004A6534">
        <w:rPr>
          <w:rFonts w:ascii="Book Antiqua" w:hAnsi="Book Antiqua" w:cs="Arial"/>
        </w:rPr>
        <w:t>h</w:t>
      </w:r>
      <w:r>
        <w:rPr>
          <w:rFonts w:ascii="Book Antiqua" w:hAnsi="Book Antiqua" w:cs="Arial"/>
        </w:rPr>
        <w:t xml:space="preserve"> at para 11.4.1 which, he submitted, showed, if anything, that since </w:t>
      </w:r>
      <w:r w:rsidRPr="004A6534">
        <w:rPr>
          <w:rFonts w:ascii="Book Antiqua" w:hAnsi="Book Antiqua" w:cs="Arial"/>
          <w:u w:val="single"/>
        </w:rPr>
        <w:t>AA</w:t>
      </w:r>
      <w:r>
        <w:rPr>
          <w:rFonts w:ascii="Book Antiqua" w:hAnsi="Book Antiqua" w:cs="Arial"/>
        </w:rPr>
        <w:t xml:space="preserve"> the violence had increased in the Kirkuk Governorate. </w:t>
      </w:r>
    </w:p>
    <w:p w14:paraId="20C67BB8" w14:textId="17F39D97" w:rsidR="00B459E2" w:rsidRDefault="00B459E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Duffy, on behalf of the Secretary of State accepted that only a partial copy of the </w:t>
      </w:r>
      <w:r w:rsidRPr="00B459E2">
        <w:rPr>
          <w:rFonts w:ascii="Book Antiqua" w:hAnsi="Book Antiqua" w:cs="Arial"/>
          <w:i/>
        </w:rPr>
        <w:t>CPI</w:t>
      </w:r>
      <w:r>
        <w:rPr>
          <w:rFonts w:ascii="Book Antiqua" w:hAnsi="Book Antiqua" w:cs="Arial"/>
        </w:rPr>
        <w:t xml:space="preserve"> document had been produced by the Presenting Officer on the day of the hearing and it was problematic that the judge had, as a result, not had an opportunity to consider the whole document and to hear submissions upon it.  He also accepted that it was problematic that the judge had relied upon new</w:t>
      </w:r>
      <w:r w:rsidR="005C51AF">
        <w:rPr>
          <w:rFonts w:ascii="Book Antiqua" w:hAnsi="Book Antiqua" w:cs="Arial"/>
        </w:rPr>
        <w:t xml:space="preserve">s reports </w:t>
      </w:r>
      <w:r>
        <w:rPr>
          <w:rFonts w:ascii="Book Antiqua" w:hAnsi="Book Antiqua" w:cs="Arial"/>
        </w:rPr>
        <w:t>which were not in evidence before him and which he had consulted after the hearing.  Mr Duffy accepted that both probably amounted to errors of law.</w:t>
      </w:r>
    </w:p>
    <w:p w14:paraId="798502F4" w14:textId="77777777" w:rsidR="00367028" w:rsidRDefault="00367028" w:rsidP="00EA79AF">
      <w:pPr>
        <w:numPr>
          <w:ilvl w:val="0"/>
          <w:numId w:val="1"/>
        </w:numPr>
        <w:tabs>
          <w:tab w:val="clear" w:pos="567"/>
        </w:tabs>
        <w:spacing w:before="240"/>
        <w:jc w:val="both"/>
        <w:rPr>
          <w:rFonts w:ascii="Book Antiqua" w:hAnsi="Book Antiqua" w:cs="Arial"/>
        </w:rPr>
      </w:pPr>
      <w:r>
        <w:rPr>
          <w:rFonts w:ascii="Book Antiqua" w:hAnsi="Book Antiqua" w:cs="Arial"/>
        </w:rPr>
        <w:t>The judge’s reasoning in relation to the Art 15(c) risk can be found at para 24 of his determination as follows:</w:t>
      </w:r>
    </w:p>
    <w:p w14:paraId="7ECF44EC" w14:textId="77777777" w:rsidR="00367028" w:rsidRPr="00855131" w:rsidRDefault="00855131" w:rsidP="00855131">
      <w:pPr>
        <w:spacing w:before="240"/>
        <w:ind w:left="1701" w:right="567" w:hanging="567"/>
        <w:jc w:val="both"/>
        <w:rPr>
          <w:rFonts w:ascii="Book Antiqua" w:hAnsi="Book Antiqua" w:cs="Arial"/>
          <w:sz w:val="20"/>
          <w:szCs w:val="20"/>
        </w:rPr>
      </w:pPr>
      <w:r>
        <w:rPr>
          <w:rFonts w:ascii="Book Antiqua" w:hAnsi="Book Antiqua" w:cs="Arial"/>
          <w:sz w:val="20"/>
          <w:szCs w:val="20"/>
        </w:rPr>
        <w:t>“</w:t>
      </w:r>
      <w:r w:rsidR="00367028" w:rsidRPr="00855131">
        <w:rPr>
          <w:rFonts w:ascii="Book Antiqua" w:hAnsi="Book Antiqua" w:cs="Arial"/>
          <w:sz w:val="20"/>
          <w:szCs w:val="20"/>
        </w:rPr>
        <w:t>24.</w:t>
      </w:r>
      <w:r w:rsidR="00367028" w:rsidRPr="00855131">
        <w:rPr>
          <w:rFonts w:ascii="Book Antiqua" w:hAnsi="Book Antiqua" w:cs="Arial"/>
          <w:sz w:val="20"/>
          <w:szCs w:val="20"/>
        </w:rPr>
        <w:tab/>
      </w:r>
      <w:r w:rsidR="00367028" w:rsidRPr="00855131">
        <w:rPr>
          <w:rFonts w:ascii="Book Antiqua" w:hAnsi="Book Antiqua" w:cs="Arial"/>
          <w:sz w:val="20"/>
          <w:szCs w:val="20"/>
          <w:u w:val="single"/>
        </w:rPr>
        <w:t>Threat from ISIS/Shia Militias/Article 15(c)</w:t>
      </w:r>
      <w:r w:rsidR="00367028" w:rsidRPr="00855131">
        <w:rPr>
          <w:rFonts w:ascii="Book Antiqua" w:hAnsi="Book Antiqua" w:cs="Arial"/>
          <w:sz w:val="20"/>
          <w:szCs w:val="20"/>
        </w:rPr>
        <w:t>.  I don’t consider that there is a currently an Article 15(c)-level risk to the Appellant, in Kirkuk from either ISIS or a Shia militia, for the following reasons:</w:t>
      </w:r>
    </w:p>
    <w:p w14:paraId="7093FC5B" w14:textId="48C59176" w:rsidR="00367028" w:rsidRPr="00855131" w:rsidRDefault="008929B5" w:rsidP="00855131">
      <w:pPr>
        <w:spacing w:before="240"/>
        <w:ind w:left="2268" w:right="567" w:hanging="567"/>
        <w:jc w:val="both"/>
        <w:rPr>
          <w:rFonts w:ascii="Book Antiqua" w:hAnsi="Book Antiqua" w:cs="Arial"/>
          <w:sz w:val="20"/>
          <w:szCs w:val="20"/>
        </w:rPr>
      </w:pPr>
      <w:proofErr w:type="spellStart"/>
      <w:r w:rsidRPr="00855131">
        <w:rPr>
          <w:rFonts w:ascii="Book Antiqua" w:hAnsi="Book Antiqua" w:cs="Arial"/>
          <w:sz w:val="20"/>
          <w:szCs w:val="20"/>
        </w:rPr>
        <w:t>i</w:t>
      </w:r>
      <w:proofErr w:type="spellEnd"/>
      <w:r w:rsidRPr="00855131">
        <w:rPr>
          <w:rFonts w:ascii="Book Antiqua" w:hAnsi="Book Antiqua" w:cs="Arial"/>
          <w:sz w:val="20"/>
          <w:szCs w:val="20"/>
        </w:rPr>
        <w:t>.</w:t>
      </w:r>
      <w:r w:rsidRPr="00855131">
        <w:rPr>
          <w:rFonts w:ascii="Book Antiqua" w:hAnsi="Book Antiqua" w:cs="Arial"/>
          <w:sz w:val="20"/>
          <w:szCs w:val="20"/>
        </w:rPr>
        <w:tab/>
        <w:t xml:space="preserve">I note </w:t>
      </w:r>
      <w:r w:rsidRPr="00855131">
        <w:rPr>
          <w:rFonts w:ascii="Book Antiqua" w:hAnsi="Book Antiqua" w:cs="Arial"/>
          <w:b/>
          <w:sz w:val="20"/>
          <w:szCs w:val="20"/>
          <w:u w:val="single"/>
        </w:rPr>
        <w:t>AA</w:t>
      </w:r>
      <w:r w:rsidRPr="00855131">
        <w:rPr>
          <w:rFonts w:ascii="Book Antiqua" w:hAnsi="Book Antiqua" w:cs="Arial"/>
          <w:sz w:val="20"/>
          <w:szCs w:val="20"/>
        </w:rPr>
        <w:t xml:space="preserve"> in which the Upper Tribunal stated, in October 2015, in relation to evidence it heard in May 2015 that Kirkuk is a ‘contested area’, to which therefore Article 15(c) applies.  </w:t>
      </w:r>
      <w:r w:rsidR="005078C7">
        <w:rPr>
          <w:rFonts w:ascii="Book Antiqua" w:hAnsi="Book Antiqua" w:cs="Arial"/>
          <w:sz w:val="20"/>
          <w:szCs w:val="20"/>
        </w:rPr>
        <w:t xml:space="preserve">I </w:t>
      </w:r>
      <w:r w:rsidRPr="00855131">
        <w:rPr>
          <w:rFonts w:ascii="Book Antiqua" w:hAnsi="Book Antiqua" w:cs="Arial"/>
          <w:sz w:val="20"/>
          <w:szCs w:val="20"/>
        </w:rPr>
        <w:t xml:space="preserve">am conscious also of the guidance in </w:t>
      </w:r>
      <w:r w:rsidRPr="00855131">
        <w:rPr>
          <w:rFonts w:ascii="Book Antiqua" w:hAnsi="Book Antiqua" w:cs="Arial"/>
          <w:b/>
          <w:sz w:val="20"/>
          <w:szCs w:val="20"/>
          <w:u w:val="single"/>
        </w:rPr>
        <w:t xml:space="preserve">SG </w:t>
      </w:r>
      <w:r w:rsidRPr="00855131">
        <w:rPr>
          <w:rFonts w:ascii="Book Antiqua" w:hAnsi="Book Antiqua" w:cs="Arial"/>
          <w:b/>
          <w:sz w:val="20"/>
          <w:szCs w:val="20"/>
          <w:u w:val="single"/>
        </w:rPr>
        <w:lastRenderedPageBreak/>
        <w:t>(Iran)</w:t>
      </w:r>
      <w:r w:rsidRPr="00855131">
        <w:rPr>
          <w:rFonts w:ascii="Book Antiqua" w:hAnsi="Book Antiqua" w:cs="Arial"/>
          <w:sz w:val="20"/>
          <w:szCs w:val="20"/>
        </w:rPr>
        <w:t>, as to the cogent evidence needed to depart from Country Guidance, but consider that such cogent evidence does exist in this appeal before me.</w:t>
      </w:r>
    </w:p>
    <w:p w14:paraId="78451B2D" w14:textId="77777777" w:rsidR="008929B5" w:rsidRPr="00855131" w:rsidRDefault="008929B5" w:rsidP="00855131">
      <w:pPr>
        <w:spacing w:before="240"/>
        <w:ind w:left="2268" w:right="567" w:hanging="567"/>
        <w:jc w:val="both"/>
        <w:rPr>
          <w:rFonts w:ascii="Book Antiqua" w:hAnsi="Book Antiqua" w:cs="Arial"/>
          <w:sz w:val="20"/>
          <w:szCs w:val="20"/>
        </w:rPr>
      </w:pPr>
      <w:r w:rsidRPr="00855131">
        <w:rPr>
          <w:rFonts w:ascii="Book Antiqua" w:hAnsi="Book Antiqua" w:cs="Arial"/>
          <w:sz w:val="20"/>
          <w:szCs w:val="20"/>
        </w:rPr>
        <w:t>ii.</w:t>
      </w:r>
      <w:r w:rsidRPr="00855131">
        <w:rPr>
          <w:rFonts w:ascii="Book Antiqua" w:hAnsi="Book Antiqua" w:cs="Arial"/>
          <w:sz w:val="20"/>
          <w:szCs w:val="20"/>
        </w:rPr>
        <w:tab/>
        <w:t xml:space="preserve">Kirkuk has been under control of the Kurdish Peshmerga since 2014 and despite extensive ISIS attacks in 2015, was held by them.  Those attacks lead to the conclusion in </w:t>
      </w:r>
      <w:r w:rsidRPr="00855131">
        <w:rPr>
          <w:rFonts w:ascii="Book Antiqua" w:hAnsi="Book Antiqua" w:cs="Arial"/>
          <w:b/>
          <w:sz w:val="20"/>
          <w:szCs w:val="20"/>
          <w:u w:val="single"/>
        </w:rPr>
        <w:t>AA</w:t>
      </w:r>
      <w:r w:rsidRPr="00855131">
        <w:rPr>
          <w:rFonts w:ascii="Book Antiqua" w:hAnsi="Book Antiqua" w:cs="Arial"/>
          <w:sz w:val="20"/>
          <w:szCs w:val="20"/>
        </w:rPr>
        <w:t xml:space="preserve"> that Kirkuk was a disputed area and which finding was not contested by the Home Office at the time.  Since that time, however, the situation has greatly changed.  ISIS has come under sustained assault from a combination of Iraqi regular and militia forces, supported by Coalition firepower and the focus of the conflict has shifted to Mosul, approximately 150km away, with much of that city already having fallen to government forces [Country Policy and Information and routine news reports, of which I take judicial notice].  The statistics provided in the Country Policy [11.3 and 4] indicate relatively low levels of security incidents and civilian fatalities in Kirkuk, certainly in relation to </w:t>
      </w:r>
      <w:proofErr w:type="spellStart"/>
      <w:r w:rsidRPr="00855131">
        <w:rPr>
          <w:rFonts w:ascii="Book Antiqua" w:hAnsi="Book Antiqua" w:cs="Arial"/>
          <w:sz w:val="20"/>
          <w:szCs w:val="20"/>
        </w:rPr>
        <w:t>Ninewah</w:t>
      </w:r>
      <w:proofErr w:type="spellEnd"/>
      <w:r w:rsidRPr="00855131">
        <w:rPr>
          <w:rFonts w:ascii="Book Antiqua" w:hAnsi="Book Antiqua" w:cs="Arial"/>
          <w:sz w:val="20"/>
          <w:szCs w:val="20"/>
        </w:rPr>
        <w:t xml:space="preserve"> province (in which Mosul is located) and Baghdad.</w:t>
      </w:r>
    </w:p>
    <w:p w14:paraId="0E3091C0" w14:textId="77777777" w:rsidR="00907EBD" w:rsidRPr="00855131" w:rsidRDefault="00907EBD" w:rsidP="00855131">
      <w:pPr>
        <w:spacing w:before="240"/>
        <w:ind w:left="2268" w:right="567" w:hanging="567"/>
        <w:jc w:val="both"/>
        <w:rPr>
          <w:rFonts w:ascii="Book Antiqua" w:hAnsi="Book Antiqua" w:cs="Arial"/>
          <w:sz w:val="20"/>
          <w:szCs w:val="20"/>
        </w:rPr>
      </w:pPr>
      <w:r w:rsidRPr="00855131">
        <w:rPr>
          <w:rFonts w:ascii="Book Antiqua" w:hAnsi="Book Antiqua" w:cs="Arial"/>
          <w:sz w:val="20"/>
          <w:szCs w:val="20"/>
        </w:rPr>
        <w:t>iii.</w:t>
      </w:r>
      <w:r w:rsidRPr="00855131">
        <w:rPr>
          <w:rFonts w:ascii="Book Antiqua" w:hAnsi="Book Antiqua" w:cs="Arial"/>
          <w:sz w:val="20"/>
          <w:szCs w:val="20"/>
        </w:rPr>
        <w:tab/>
        <w:t>Much of the objective evidence provided by the Appellant is either date</w:t>
      </w:r>
      <w:r w:rsidR="005078C7">
        <w:rPr>
          <w:rFonts w:ascii="Book Antiqua" w:hAnsi="Book Antiqua" w:cs="Arial"/>
          <w:sz w:val="20"/>
          <w:szCs w:val="20"/>
        </w:rPr>
        <w:t>d</w:t>
      </w:r>
      <w:r w:rsidRPr="00855131">
        <w:rPr>
          <w:rFonts w:ascii="Book Antiqua" w:hAnsi="Book Antiqua" w:cs="Arial"/>
          <w:sz w:val="20"/>
          <w:szCs w:val="20"/>
        </w:rPr>
        <w:t>, not related to Kirkuk city or environs, or where it is, indicates a relatively low-level of violence, insufficient to engage Article 8, 15(c).  Examples are as follows:</w:t>
      </w:r>
    </w:p>
    <w:p w14:paraId="785424B9" w14:textId="77777777" w:rsidR="00907EBD" w:rsidRPr="00855131" w:rsidRDefault="00907EBD"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a.</w:t>
      </w:r>
      <w:r w:rsidRPr="00855131">
        <w:rPr>
          <w:rFonts w:ascii="Book Antiqua" w:hAnsi="Book Antiqua" w:cs="Arial"/>
          <w:sz w:val="20"/>
          <w:szCs w:val="20"/>
        </w:rPr>
        <w:tab/>
        <w:t xml:space="preserve">A19 to 23 – newspaper accounts of Peshmerga operations in </w:t>
      </w:r>
      <w:proofErr w:type="spellStart"/>
      <w:r w:rsidRPr="00855131">
        <w:rPr>
          <w:rFonts w:ascii="Book Antiqua" w:hAnsi="Book Antiqua" w:cs="Arial"/>
          <w:sz w:val="20"/>
          <w:szCs w:val="20"/>
        </w:rPr>
        <w:t>Dukuk</w:t>
      </w:r>
      <w:proofErr w:type="spellEnd"/>
      <w:r w:rsidRPr="00855131">
        <w:rPr>
          <w:rFonts w:ascii="Book Antiqua" w:hAnsi="Book Antiqua" w:cs="Arial"/>
          <w:sz w:val="20"/>
          <w:szCs w:val="20"/>
        </w:rPr>
        <w:t xml:space="preserve"> in 2015.</w:t>
      </w:r>
    </w:p>
    <w:p w14:paraId="4F11D354" w14:textId="77777777" w:rsidR="00907EBD" w:rsidRPr="00855131" w:rsidRDefault="00907EBD"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b.</w:t>
      </w:r>
      <w:r w:rsidRPr="00855131">
        <w:rPr>
          <w:rFonts w:ascii="Book Antiqua" w:hAnsi="Book Antiqua" w:cs="Arial"/>
          <w:sz w:val="20"/>
          <w:szCs w:val="20"/>
        </w:rPr>
        <w:tab/>
        <w:t>B1-66 – a 2016 human rights report, with general information as to the humanitarian situation in Iraq, but little if anything about the situation in Kirkuk.</w:t>
      </w:r>
    </w:p>
    <w:p w14:paraId="79E51CBF" w14:textId="77777777" w:rsidR="00907EBD" w:rsidRPr="00855131" w:rsidRDefault="00907EBD"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c.</w:t>
      </w:r>
      <w:r w:rsidRPr="00855131">
        <w:rPr>
          <w:rFonts w:ascii="Book Antiqua" w:hAnsi="Book Antiqua" w:cs="Arial"/>
          <w:sz w:val="20"/>
          <w:szCs w:val="20"/>
        </w:rPr>
        <w:tab/>
        <w:t xml:space="preserve">CA1 to 33 – the two UN Security Council reports from early 2016 are very general and Kirkuk gets very little mention, and then only in relation to isolated attacks by ISIS.  The reports refer to a humanitarian crisis in Iraq generally and in those provinces near to Mosul, in particular, but that is not sufficient to engage Article 15(c) and the </w:t>
      </w:r>
      <w:r w:rsidR="005078C7" w:rsidRPr="00855131">
        <w:rPr>
          <w:rFonts w:ascii="Book Antiqua" w:hAnsi="Book Antiqua" w:cs="Arial"/>
          <w:sz w:val="20"/>
          <w:szCs w:val="20"/>
        </w:rPr>
        <w:t xml:space="preserve">Appellant </w:t>
      </w:r>
      <w:r w:rsidRPr="00855131">
        <w:rPr>
          <w:rFonts w:ascii="Book Antiqua" w:hAnsi="Book Antiqua" w:cs="Arial"/>
          <w:sz w:val="20"/>
          <w:szCs w:val="20"/>
        </w:rPr>
        <w:t xml:space="preserve">would not be returning to Kirkuk as a lone person, but to re-join at least one relative, who has provided support for him in the past.  Also, as young fit man, he is better placed to provide for himself than many others.  The reports at CB1-36 and CC1-58 convey the same message (the latter relating to </w:t>
      </w:r>
      <w:r w:rsidR="006A1C6D">
        <w:rPr>
          <w:rFonts w:ascii="Book Antiqua" w:hAnsi="Book Antiqua" w:cs="Arial"/>
          <w:sz w:val="20"/>
          <w:szCs w:val="20"/>
        </w:rPr>
        <w:t>the economic situation in the Ku</w:t>
      </w:r>
      <w:r w:rsidRPr="00855131">
        <w:rPr>
          <w:rFonts w:ascii="Book Antiqua" w:hAnsi="Book Antiqua" w:cs="Arial"/>
          <w:sz w:val="20"/>
          <w:szCs w:val="20"/>
        </w:rPr>
        <w:t>rdish Region of Iraq (KRI)).</w:t>
      </w:r>
    </w:p>
    <w:p w14:paraId="658CC66B" w14:textId="77777777" w:rsidR="00B51CD0" w:rsidRPr="00855131" w:rsidRDefault="00C77DB6"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d.</w:t>
      </w:r>
      <w:r w:rsidRPr="00855131">
        <w:rPr>
          <w:rFonts w:ascii="Book Antiqua" w:hAnsi="Book Antiqua" w:cs="Arial"/>
          <w:sz w:val="20"/>
          <w:szCs w:val="20"/>
        </w:rPr>
        <w:tab/>
        <w:t>CD1-2 – there are Shia militias fighting against ISIS, as are the Peshmerga, but there is no evidence that they are a threat to Kirkuk.</w:t>
      </w:r>
    </w:p>
    <w:p w14:paraId="64A4DA99" w14:textId="77777777" w:rsidR="00C77DB6" w:rsidRPr="00855131" w:rsidRDefault="00C77DB6"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e.</w:t>
      </w:r>
      <w:r w:rsidRPr="00855131">
        <w:rPr>
          <w:rFonts w:ascii="Book Antiqua" w:hAnsi="Book Antiqua" w:cs="Arial"/>
          <w:sz w:val="20"/>
          <w:szCs w:val="20"/>
        </w:rPr>
        <w:tab/>
        <w:t>CD3-9 – news reports that there was an ISIS counter-attack against Kirkuk in October 2016, killing dozens, but it was defeated.  Once ISIS is defeated/driven back there is speculation that there will be a power struggle between Kurdish and Arab interests over Kirkuk.</w:t>
      </w:r>
    </w:p>
    <w:p w14:paraId="236316B8" w14:textId="77777777" w:rsidR="00C77DB6" w:rsidRPr="00855131" w:rsidRDefault="00C77DB6"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f.</w:t>
      </w:r>
      <w:r w:rsidRPr="00855131">
        <w:rPr>
          <w:rFonts w:ascii="Book Antiqua" w:hAnsi="Book Antiqua" w:cs="Arial"/>
          <w:sz w:val="20"/>
          <w:szCs w:val="20"/>
        </w:rPr>
        <w:tab/>
      </w:r>
      <w:r w:rsidR="00335A31" w:rsidRPr="00855131">
        <w:rPr>
          <w:rFonts w:ascii="Book Antiqua" w:hAnsi="Book Antiqua" w:cs="Arial"/>
          <w:sz w:val="20"/>
          <w:szCs w:val="20"/>
        </w:rPr>
        <w:t>C10-20 – ISIS continue to contro</w:t>
      </w:r>
      <w:r w:rsidR="006A1C6D">
        <w:rPr>
          <w:rFonts w:ascii="Book Antiqua" w:hAnsi="Book Antiqua" w:cs="Arial"/>
          <w:sz w:val="20"/>
          <w:szCs w:val="20"/>
        </w:rPr>
        <w:t xml:space="preserve">l </w:t>
      </w:r>
      <w:proofErr w:type="spellStart"/>
      <w:r w:rsidR="006A1C6D">
        <w:rPr>
          <w:rFonts w:ascii="Book Antiqua" w:hAnsi="Book Antiqua" w:cs="Arial"/>
          <w:sz w:val="20"/>
          <w:szCs w:val="20"/>
        </w:rPr>
        <w:t>Hawija</w:t>
      </w:r>
      <w:proofErr w:type="spellEnd"/>
      <w:r w:rsidR="006A1C6D">
        <w:rPr>
          <w:rFonts w:ascii="Book Antiqua" w:hAnsi="Book Antiqua" w:cs="Arial"/>
          <w:sz w:val="20"/>
          <w:szCs w:val="20"/>
        </w:rPr>
        <w:t xml:space="preserve"> district, in the Kirkuk</w:t>
      </w:r>
      <w:r w:rsidR="00335A31" w:rsidRPr="00855131">
        <w:rPr>
          <w:rFonts w:ascii="Book Antiqua" w:hAnsi="Book Antiqua" w:cs="Arial"/>
          <w:sz w:val="20"/>
          <w:szCs w:val="20"/>
        </w:rPr>
        <w:t xml:space="preserve"> governorate and carry out atrocities there.  One report [CD15] states that </w:t>
      </w:r>
      <w:r w:rsidR="00335A31" w:rsidRPr="00855131">
        <w:rPr>
          <w:rFonts w:ascii="Book Antiqua" w:hAnsi="Book Antiqua" w:cs="Arial"/>
          <w:i/>
          <w:sz w:val="20"/>
          <w:szCs w:val="20"/>
        </w:rPr>
        <w:t>‘… it is expected that the government will move to clear Islamic State pockets across Iraq after finishing with its campaign to expel the group from neighbouring Mosul, the group’s largest bastion in Iraq.’</w:t>
      </w:r>
    </w:p>
    <w:p w14:paraId="2B6B6357" w14:textId="77777777" w:rsidR="00854909" w:rsidRPr="00855131" w:rsidRDefault="00753B1F"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g.</w:t>
      </w:r>
      <w:r w:rsidRPr="00855131">
        <w:rPr>
          <w:rFonts w:ascii="Book Antiqua" w:hAnsi="Book Antiqua" w:cs="Arial"/>
          <w:sz w:val="20"/>
          <w:szCs w:val="20"/>
        </w:rPr>
        <w:tab/>
        <w:t xml:space="preserve">CE1-1 20 either relates to Baghdad, or human rights issues related to abuse of IDPs by government or Kurdish forces, because they may be </w:t>
      </w:r>
      <w:r w:rsidRPr="00855131">
        <w:rPr>
          <w:rFonts w:ascii="Book Antiqua" w:hAnsi="Book Antiqua" w:cs="Arial"/>
          <w:sz w:val="20"/>
          <w:szCs w:val="20"/>
        </w:rPr>
        <w:lastRenderedPageBreak/>
        <w:t xml:space="preserve">perceived, by being Sunnis from former ISIS-controlled areas, as ISIS supporters.  </w:t>
      </w:r>
      <w:proofErr w:type="gramStart"/>
      <w:r w:rsidRPr="00855131">
        <w:rPr>
          <w:rFonts w:ascii="Book Antiqua" w:hAnsi="Book Antiqua" w:cs="Arial"/>
          <w:sz w:val="20"/>
          <w:szCs w:val="20"/>
        </w:rPr>
        <w:t>However</w:t>
      </w:r>
      <w:proofErr w:type="gramEnd"/>
      <w:r w:rsidRPr="00855131">
        <w:rPr>
          <w:rFonts w:ascii="Book Antiqua" w:hAnsi="Book Antiqua" w:cs="Arial"/>
          <w:sz w:val="20"/>
          <w:szCs w:val="20"/>
        </w:rPr>
        <w:t xml:space="preserve"> the Appellant is not an IDP and would be returning, as a Kurd, to a Kurdish-controlled area.</w:t>
      </w:r>
    </w:p>
    <w:p w14:paraId="51CED9EB" w14:textId="77777777" w:rsidR="00FE3A78" w:rsidRPr="00855131" w:rsidRDefault="00854909" w:rsidP="00855131">
      <w:pPr>
        <w:spacing w:before="240"/>
        <w:ind w:left="2835" w:right="567" w:hanging="567"/>
        <w:jc w:val="both"/>
        <w:rPr>
          <w:rFonts w:ascii="Book Antiqua" w:hAnsi="Book Antiqua" w:cs="Arial"/>
          <w:sz w:val="20"/>
          <w:szCs w:val="20"/>
        </w:rPr>
      </w:pPr>
      <w:r w:rsidRPr="00855131">
        <w:rPr>
          <w:rFonts w:ascii="Book Antiqua" w:hAnsi="Book Antiqua" w:cs="Arial"/>
          <w:sz w:val="20"/>
          <w:szCs w:val="20"/>
        </w:rPr>
        <w:t>h.</w:t>
      </w:r>
      <w:r w:rsidRPr="00855131">
        <w:rPr>
          <w:rFonts w:ascii="Book Antiqua" w:hAnsi="Book Antiqua" w:cs="Arial"/>
          <w:sz w:val="20"/>
          <w:szCs w:val="20"/>
        </w:rPr>
        <w:tab/>
        <w:t>D1-23 – the UNHCR advise against the return of any Iraqis who originate from areas of Iraq that are affected by military action or remain fragil</w:t>
      </w:r>
      <w:r w:rsidR="00415E5A" w:rsidRPr="00855131">
        <w:rPr>
          <w:rFonts w:ascii="Book Antiqua" w:hAnsi="Book Antiqua" w:cs="Arial"/>
          <w:sz w:val="20"/>
          <w:szCs w:val="20"/>
        </w:rPr>
        <w:t>e</w:t>
      </w:r>
      <w:r w:rsidRPr="00855131">
        <w:rPr>
          <w:rFonts w:ascii="Book Antiqua" w:hAnsi="Book Antiqua" w:cs="Arial"/>
          <w:sz w:val="20"/>
          <w:szCs w:val="20"/>
        </w:rPr>
        <w:t xml:space="preserve"> or insecure after having been retaken </w:t>
      </w:r>
      <w:r w:rsidR="00415E5A" w:rsidRPr="00855131">
        <w:rPr>
          <w:rFonts w:ascii="Book Antiqua" w:hAnsi="Book Antiqua" w:cs="Arial"/>
          <w:sz w:val="20"/>
          <w:szCs w:val="20"/>
        </w:rPr>
        <w:t>from ISIS.  This situation does not apply in Kirkuk.</w:t>
      </w:r>
    </w:p>
    <w:p w14:paraId="078AF9FF" w14:textId="77777777" w:rsidR="00753B1F" w:rsidRPr="00855131" w:rsidRDefault="00FE3A78" w:rsidP="00855131">
      <w:pPr>
        <w:spacing w:before="240"/>
        <w:ind w:left="2268" w:right="567" w:hanging="567"/>
        <w:jc w:val="both"/>
        <w:rPr>
          <w:rFonts w:ascii="Book Antiqua" w:hAnsi="Book Antiqua" w:cs="Arial"/>
          <w:sz w:val="20"/>
          <w:szCs w:val="20"/>
        </w:rPr>
      </w:pPr>
      <w:r w:rsidRPr="00855131">
        <w:rPr>
          <w:rFonts w:ascii="Book Antiqua" w:hAnsi="Book Antiqua" w:cs="Arial"/>
          <w:sz w:val="20"/>
          <w:szCs w:val="20"/>
        </w:rPr>
        <w:t>iv.</w:t>
      </w:r>
      <w:r w:rsidRPr="00855131">
        <w:rPr>
          <w:rFonts w:ascii="Book Antiqua" w:hAnsi="Book Antiqua" w:cs="Arial"/>
          <w:sz w:val="20"/>
          <w:szCs w:val="20"/>
        </w:rPr>
        <w:tab/>
        <w:t>The expert report provided is of little assistance.  It is poorly structured, being quite repetitive and makes only one reference to the security situation in Kirkuk, in which it states, without any source material, detail or dates, that ‘</w:t>
      </w:r>
      <w:r w:rsidRPr="00855131">
        <w:rPr>
          <w:rFonts w:ascii="Book Antiqua" w:hAnsi="Book Antiqua" w:cs="Arial"/>
          <w:i/>
          <w:sz w:val="20"/>
          <w:szCs w:val="20"/>
        </w:rPr>
        <w:t>ISIS has also launched attacks in other towns and cities, including Kirkuk.’</w:t>
      </w:r>
      <w:r w:rsidRPr="00855131">
        <w:rPr>
          <w:rFonts w:ascii="Book Antiqua" w:hAnsi="Book Antiqua" w:cs="Arial"/>
          <w:sz w:val="20"/>
          <w:szCs w:val="20"/>
        </w:rPr>
        <w:t xml:space="preserve">  Instead, the report goes into great detail about the humanitarian situation in Iraq overall (to include the IKR); the security situation in Baghdad, Basra and other areas unrelated to Kirkuk; human rights abuses in the IKR; Shia militia attacks on Sunnis in or around Baghdad, none of which apply to the Appellant.  If returned, he has the option of going to Kirkuk city to live again with his uncle, or with his support, or, if not, as a lone-adult male.  Undoubtedly, there is a humanitarian crisis in much of Iraq, but that does not engage Article 15(c) and the </w:t>
      </w:r>
      <w:r w:rsidR="006A1C6D" w:rsidRPr="00855131">
        <w:rPr>
          <w:rFonts w:ascii="Book Antiqua" w:hAnsi="Book Antiqua" w:cs="Arial"/>
          <w:sz w:val="20"/>
          <w:szCs w:val="20"/>
        </w:rPr>
        <w:t xml:space="preserve">Appellant </w:t>
      </w:r>
      <w:r w:rsidRPr="00855131">
        <w:rPr>
          <w:rFonts w:ascii="Book Antiqua" w:hAnsi="Book Antiqua" w:cs="Arial"/>
          <w:sz w:val="20"/>
          <w:szCs w:val="20"/>
        </w:rPr>
        <w:t>will not, in any event be an IDP.”</w:t>
      </w:r>
      <w:r w:rsidR="00753B1F">
        <w:rPr>
          <w:rFonts w:ascii="Book Antiqua" w:hAnsi="Book Antiqua" w:cs="Arial"/>
        </w:rPr>
        <w:t xml:space="preserve"> </w:t>
      </w:r>
    </w:p>
    <w:p w14:paraId="373E0455" w14:textId="15FA3C34" w:rsidR="005804BE" w:rsidRPr="005804BE" w:rsidRDefault="005804BE" w:rsidP="005804BE">
      <w:pPr>
        <w:numPr>
          <w:ilvl w:val="0"/>
          <w:numId w:val="1"/>
        </w:numPr>
        <w:spacing w:before="240"/>
        <w:jc w:val="both"/>
        <w:rPr>
          <w:rFonts w:ascii="Book Antiqua" w:hAnsi="Book Antiqua" w:cs="Arial"/>
        </w:rPr>
      </w:pPr>
      <w:r>
        <w:rPr>
          <w:rFonts w:ascii="Book Antiqua" w:hAnsi="Book Antiqua" w:cs="Arial"/>
        </w:rPr>
        <w:t xml:space="preserve">It was common ground before me that the decision in </w:t>
      </w:r>
      <w:r w:rsidRPr="00685B4A">
        <w:rPr>
          <w:rFonts w:ascii="Book Antiqua" w:hAnsi="Book Antiqua" w:cs="Arial"/>
          <w:u w:val="single"/>
        </w:rPr>
        <w:t>AA</w:t>
      </w:r>
      <w:r>
        <w:rPr>
          <w:rFonts w:ascii="Book Antiqua" w:hAnsi="Book Antiqua" w:cs="Arial"/>
        </w:rPr>
        <w:t xml:space="preserve"> identified that Kirkuk was in a “contested area” and that an Art 15(c) risk applied in such an area.  On that basis, unless the judge was entitled to depart from </w:t>
      </w:r>
      <w:r w:rsidRPr="00685B4A">
        <w:rPr>
          <w:rFonts w:ascii="Book Antiqua" w:hAnsi="Book Antiqua" w:cs="Arial"/>
          <w:u w:val="single"/>
        </w:rPr>
        <w:t>AA</w:t>
      </w:r>
      <w:r>
        <w:rPr>
          <w:rFonts w:ascii="Book Antiqua" w:hAnsi="Book Antiqua" w:cs="Arial"/>
        </w:rPr>
        <w:t xml:space="preserve">, his failure to follow it </w:t>
      </w:r>
      <w:r w:rsidR="006A5166">
        <w:rPr>
          <w:rFonts w:ascii="Book Antiqua" w:hAnsi="Book Antiqua" w:cs="Arial"/>
        </w:rPr>
        <w:t xml:space="preserve">would </w:t>
      </w:r>
      <w:r>
        <w:rPr>
          <w:rFonts w:ascii="Book Antiqua" w:hAnsi="Book Antiqua" w:cs="Arial"/>
        </w:rPr>
        <w:t xml:space="preserve">amount to an error of law.  It is clear that a judge must follow a country guidance case unless there are: “very strong grounds supported by cogent evidence”.  That was established by the Court of Appeal in </w:t>
      </w:r>
      <w:r w:rsidRPr="00685B4A">
        <w:rPr>
          <w:rFonts w:ascii="Book Antiqua" w:hAnsi="Book Antiqua" w:cs="Arial"/>
          <w:u w:val="single"/>
        </w:rPr>
        <w:t>R (SG</w:t>
      </w:r>
      <w:r>
        <w:rPr>
          <w:rFonts w:ascii="Book Antiqua" w:hAnsi="Book Antiqua" w:cs="Arial"/>
          <w:u w:val="single"/>
        </w:rPr>
        <w:t>)</w:t>
      </w:r>
      <w:r w:rsidRPr="00685B4A">
        <w:rPr>
          <w:rFonts w:ascii="Book Antiqua" w:hAnsi="Book Antiqua" w:cs="Arial"/>
          <w:u w:val="single"/>
        </w:rPr>
        <w:t xml:space="preserve"> </w:t>
      </w:r>
      <w:r>
        <w:rPr>
          <w:rFonts w:ascii="Book Antiqua" w:hAnsi="Book Antiqua" w:cs="Arial"/>
          <w:u w:val="single"/>
        </w:rPr>
        <w:t>(</w:t>
      </w:r>
      <w:r w:rsidRPr="00685B4A">
        <w:rPr>
          <w:rFonts w:ascii="Book Antiqua" w:hAnsi="Book Antiqua" w:cs="Arial"/>
          <w:u w:val="single"/>
        </w:rPr>
        <w:t>Iraq) and Another v SSHD</w:t>
      </w:r>
      <w:r>
        <w:rPr>
          <w:rFonts w:ascii="Book Antiqua" w:hAnsi="Book Antiqua" w:cs="Arial"/>
        </w:rPr>
        <w:t xml:space="preserve"> [2012] EWCA </w:t>
      </w:r>
      <w:proofErr w:type="spellStart"/>
      <w:r>
        <w:rPr>
          <w:rFonts w:ascii="Book Antiqua" w:hAnsi="Book Antiqua" w:cs="Arial"/>
        </w:rPr>
        <w:t>Civ</w:t>
      </w:r>
      <w:proofErr w:type="spellEnd"/>
      <w:r>
        <w:rPr>
          <w:rFonts w:ascii="Book Antiqua" w:hAnsi="Book Antiqua" w:cs="Arial"/>
        </w:rPr>
        <w:t xml:space="preserve"> 940 at [47].  That was common ground between the parties before me.  </w:t>
      </w:r>
    </w:p>
    <w:p w14:paraId="56C05E68" w14:textId="3CE177BB" w:rsidR="00F406F9" w:rsidRDefault="0085513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was required to treat </w:t>
      </w:r>
      <w:r w:rsidR="008A0F0D" w:rsidRPr="008A0F0D">
        <w:rPr>
          <w:rFonts w:ascii="Book Antiqua" w:hAnsi="Book Antiqua" w:cs="Arial"/>
          <w:u w:val="single"/>
        </w:rPr>
        <w:t>AA</w:t>
      </w:r>
      <w:r w:rsidR="008A0F0D">
        <w:rPr>
          <w:rFonts w:ascii="Book Antiqua" w:hAnsi="Book Antiqua" w:cs="Arial"/>
        </w:rPr>
        <w:t xml:space="preserve"> as</w:t>
      </w:r>
      <w:r>
        <w:rPr>
          <w:rFonts w:ascii="Book Antiqua" w:hAnsi="Book Antiqua" w:cs="Arial"/>
        </w:rPr>
        <w:t xml:space="preserve"> ‘authoritative’ unless there were “very strong grounds” which was “supported by cogent evidence”</w:t>
      </w:r>
      <w:r w:rsidR="00F406F9">
        <w:rPr>
          <w:rFonts w:ascii="Book Antiqua" w:hAnsi="Book Antiqua" w:cs="Arial"/>
        </w:rPr>
        <w:t xml:space="preserve"> (necessarily postdating </w:t>
      </w:r>
      <w:r w:rsidR="00F406F9" w:rsidRPr="00F406F9">
        <w:rPr>
          <w:rFonts w:ascii="Book Antiqua" w:hAnsi="Book Antiqua" w:cs="Arial"/>
          <w:u w:val="single"/>
        </w:rPr>
        <w:t>AA</w:t>
      </w:r>
      <w:r w:rsidR="00F406F9">
        <w:rPr>
          <w:rFonts w:ascii="Book Antiqua" w:hAnsi="Book Antiqua" w:cs="Arial"/>
        </w:rPr>
        <w:t xml:space="preserve">) which entitled the judge to find that there was no longer a real risk of such indiscriminate violence in the appellant’s home area.  </w:t>
      </w:r>
    </w:p>
    <w:p w14:paraId="2CF2A043" w14:textId="6EE45DC9" w:rsidR="00855131" w:rsidRDefault="00F406F9"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is clear from para 24(ii) that the judge rested his departure from </w:t>
      </w:r>
      <w:r w:rsidRPr="00B60910">
        <w:rPr>
          <w:rFonts w:ascii="Book Antiqua" w:hAnsi="Book Antiqua" w:cs="Arial"/>
          <w:u w:val="single"/>
        </w:rPr>
        <w:t>AA</w:t>
      </w:r>
      <w:r>
        <w:rPr>
          <w:rFonts w:ascii="Book Antiqua" w:hAnsi="Book Antiqua" w:cs="Arial"/>
        </w:rPr>
        <w:t xml:space="preserve"> on a combination of the </w:t>
      </w:r>
      <w:r w:rsidRPr="00B60910">
        <w:rPr>
          <w:rFonts w:ascii="Book Antiqua" w:hAnsi="Book Antiqua" w:cs="Arial"/>
          <w:i/>
        </w:rPr>
        <w:t>CPI</w:t>
      </w:r>
      <w:r>
        <w:rPr>
          <w:rFonts w:ascii="Book Antiqua" w:hAnsi="Book Antiqua" w:cs="Arial"/>
        </w:rPr>
        <w:t xml:space="preserve"> and “routine news reports”.  As regards the latter, Mr Duffy did not seek to resist Mr </w:t>
      </w:r>
      <w:proofErr w:type="spellStart"/>
      <w:r>
        <w:rPr>
          <w:rFonts w:ascii="Book Antiqua" w:hAnsi="Book Antiqua" w:cs="Arial"/>
        </w:rPr>
        <w:t>Magennis</w:t>
      </w:r>
      <w:proofErr w:type="spellEnd"/>
      <w:r>
        <w:rPr>
          <w:rFonts w:ascii="Book Antiqua" w:hAnsi="Book Antiqua" w:cs="Arial"/>
        </w:rPr>
        <w:t xml:space="preserve">’ submission that it </w:t>
      </w:r>
      <w:r w:rsidR="00657646">
        <w:rPr>
          <w:rFonts w:ascii="Book Antiqua" w:hAnsi="Book Antiqua" w:cs="Arial"/>
        </w:rPr>
        <w:t>was</w:t>
      </w:r>
      <w:r>
        <w:rPr>
          <w:rFonts w:ascii="Book Antiqua" w:hAnsi="Book Antiqua" w:cs="Arial"/>
        </w:rPr>
        <w:t xml:space="preserve"> unfair for the judge to rely upon news reports which were not in evidence and upon which the representatives (particularly the appellant’s representatives</w:t>
      </w:r>
      <w:r w:rsidR="00657646">
        <w:rPr>
          <w:rFonts w:ascii="Book Antiqua" w:hAnsi="Book Antiqua" w:cs="Arial"/>
        </w:rPr>
        <w:t xml:space="preserve"> given his </w:t>
      </w:r>
      <w:r w:rsidR="005035B2">
        <w:rPr>
          <w:rFonts w:ascii="Book Antiqua" w:hAnsi="Book Antiqua" w:cs="Arial"/>
        </w:rPr>
        <w:t>decision</w:t>
      </w:r>
      <w:r>
        <w:rPr>
          <w:rFonts w:ascii="Book Antiqua" w:hAnsi="Book Antiqua" w:cs="Arial"/>
        </w:rPr>
        <w:t xml:space="preserve">) were unable to make submissions.  Both the decision in </w:t>
      </w:r>
      <w:r w:rsidRPr="00F406F9">
        <w:rPr>
          <w:rFonts w:ascii="Book Antiqua" w:hAnsi="Book Antiqua" w:cs="Arial"/>
          <w:u w:val="single"/>
        </w:rPr>
        <w:t>EG</w:t>
      </w:r>
      <w:r>
        <w:rPr>
          <w:rFonts w:ascii="Book Antiqua" w:hAnsi="Book Antiqua" w:cs="Arial"/>
        </w:rPr>
        <w:t xml:space="preserve"> and </w:t>
      </w:r>
      <w:r w:rsidRPr="00F406F9">
        <w:rPr>
          <w:rFonts w:ascii="Book Antiqua" w:hAnsi="Book Antiqua" w:cs="Arial"/>
          <w:u w:val="single"/>
        </w:rPr>
        <w:t>AM</w:t>
      </w:r>
      <w:r>
        <w:rPr>
          <w:rFonts w:ascii="Book Antiqua" w:hAnsi="Book Antiqua" w:cs="Arial"/>
        </w:rPr>
        <w:t xml:space="preserve"> make it plain that post-hearing research by a judge is likely to give rise to a procedural irregularity and result in unfairness to the parties.  For these purposes, it suffices to set out the head note in </w:t>
      </w:r>
      <w:r w:rsidRPr="00B60910">
        <w:rPr>
          <w:rFonts w:ascii="Book Antiqua" w:hAnsi="Book Antiqua" w:cs="Arial"/>
          <w:u w:val="single"/>
        </w:rPr>
        <w:t>AM</w:t>
      </w:r>
      <w:r>
        <w:rPr>
          <w:rFonts w:ascii="Book Antiqua" w:hAnsi="Book Antiqua" w:cs="Arial"/>
        </w:rPr>
        <w:t xml:space="preserve"> which is in the following terms:</w:t>
      </w:r>
    </w:p>
    <w:p w14:paraId="72FAF411" w14:textId="77777777" w:rsidR="00F406F9" w:rsidRPr="008C488C" w:rsidRDefault="00F406F9" w:rsidP="008C488C">
      <w:pPr>
        <w:spacing w:before="240"/>
        <w:ind w:left="1701" w:right="567" w:hanging="567"/>
        <w:jc w:val="both"/>
        <w:rPr>
          <w:rFonts w:ascii="Book Antiqua" w:hAnsi="Book Antiqua" w:cs="Arial"/>
          <w:sz w:val="20"/>
          <w:szCs w:val="20"/>
        </w:rPr>
      </w:pPr>
      <w:r w:rsidRPr="008C488C">
        <w:rPr>
          <w:rFonts w:ascii="Book Antiqua" w:hAnsi="Book Antiqua" w:cs="Arial"/>
          <w:sz w:val="20"/>
          <w:szCs w:val="20"/>
        </w:rPr>
        <w:t>“(</w:t>
      </w:r>
      <w:proofErr w:type="spellStart"/>
      <w:r w:rsidRPr="008C488C">
        <w:rPr>
          <w:rFonts w:ascii="Book Antiqua" w:hAnsi="Book Antiqua" w:cs="Arial"/>
          <w:sz w:val="20"/>
          <w:szCs w:val="20"/>
        </w:rPr>
        <w:t>i</w:t>
      </w:r>
      <w:proofErr w:type="spellEnd"/>
      <w:r w:rsidRPr="008C488C">
        <w:rPr>
          <w:rFonts w:ascii="Book Antiqua" w:hAnsi="Book Antiqua" w:cs="Arial"/>
          <w:sz w:val="20"/>
          <w:szCs w:val="20"/>
        </w:rPr>
        <w:t>)</w:t>
      </w:r>
      <w:r w:rsidRPr="008C488C">
        <w:rPr>
          <w:rFonts w:ascii="Book Antiqua" w:hAnsi="Book Antiqua" w:cs="Arial"/>
          <w:sz w:val="20"/>
          <w:szCs w:val="20"/>
        </w:rPr>
        <w:tab/>
        <w:t>Independent judicial research is inappropriate.  It is not for the judge to assemble evidence.  Rather, it is the duty of the judge to decide each case on the basis of the evidence presented by the parties, duly infused, where appropriate, by the doctrine of judicial notice.</w:t>
      </w:r>
    </w:p>
    <w:p w14:paraId="20722631" w14:textId="77777777" w:rsidR="00572038" w:rsidRPr="008C488C" w:rsidRDefault="00572038" w:rsidP="008C488C">
      <w:pPr>
        <w:spacing w:before="240"/>
        <w:ind w:left="1701" w:right="567" w:hanging="567"/>
        <w:jc w:val="both"/>
        <w:rPr>
          <w:rFonts w:ascii="Book Antiqua" w:hAnsi="Book Antiqua" w:cs="Arial"/>
          <w:sz w:val="20"/>
          <w:szCs w:val="20"/>
        </w:rPr>
      </w:pPr>
      <w:r w:rsidRPr="008C488C">
        <w:rPr>
          <w:rFonts w:ascii="Book Antiqua" w:hAnsi="Book Antiqua" w:cs="Arial"/>
          <w:sz w:val="20"/>
          <w:szCs w:val="20"/>
        </w:rPr>
        <w:t>(ii)</w:t>
      </w:r>
      <w:r w:rsidRPr="008C488C">
        <w:rPr>
          <w:rFonts w:ascii="Book Antiqua" w:hAnsi="Book Antiqua" w:cs="Arial"/>
          <w:sz w:val="20"/>
          <w:szCs w:val="20"/>
        </w:rPr>
        <w:tab/>
        <w:t xml:space="preserve">If a judge is cognisant of something conceivably material which does not form part of either party’s case, this must be brought to the attention of the parties at the </w:t>
      </w:r>
      <w:r w:rsidRPr="008C488C">
        <w:rPr>
          <w:rFonts w:ascii="Book Antiqua" w:hAnsi="Book Antiqua" w:cs="Arial"/>
          <w:sz w:val="20"/>
          <w:szCs w:val="20"/>
        </w:rPr>
        <w:lastRenderedPageBreak/>
        <w:t>earliest possible stage, which duty could in principle extend beyond the hearing date.</w:t>
      </w:r>
    </w:p>
    <w:p w14:paraId="562FDC93" w14:textId="77777777" w:rsidR="00837D1A" w:rsidRPr="008C488C" w:rsidRDefault="00837D1A" w:rsidP="008C488C">
      <w:pPr>
        <w:spacing w:before="240"/>
        <w:ind w:left="1701" w:right="567" w:hanging="567"/>
        <w:jc w:val="both"/>
        <w:rPr>
          <w:rFonts w:ascii="Book Antiqua" w:hAnsi="Book Antiqua" w:cs="Arial"/>
          <w:sz w:val="20"/>
          <w:szCs w:val="20"/>
        </w:rPr>
      </w:pPr>
      <w:r w:rsidRPr="008C488C">
        <w:rPr>
          <w:rFonts w:ascii="Book Antiqua" w:hAnsi="Book Antiqua" w:cs="Arial"/>
          <w:sz w:val="20"/>
          <w:szCs w:val="20"/>
        </w:rPr>
        <w:t>(iii)</w:t>
      </w:r>
      <w:r w:rsidRPr="008C488C">
        <w:rPr>
          <w:rFonts w:ascii="Book Antiqua" w:hAnsi="Book Antiqua" w:cs="Arial"/>
          <w:sz w:val="20"/>
          <w:szCs w:val="20"/>
        </w:rPr>
        <w:tab/>
        <w:t>Judges are entitled to form provisional views in advance of a hearing provided that an open mind</w:t>
      </w:r>
      <w:r w:rsidR="00B5476B" w:rsidRPr="008C488C">
        <w:rPr>
          <w:rFonts w:ascii="Book Antiqua" w:hAnsi="Book Antiqua" w:cs="Arial"/>
          <w:sz w:val="20"/>
          <w:szCs w:val="20"/>
        </w:rPr>
        <w:t xml:space="preserve"> is c</w:t>
      </w:r>
      <w:r w:rsidRPr="008C488C">
        <w:rPr>
          <w:rFonts w:ascii="Book Antiqua" w:hAnsi="Book Antiqua" w:cs="Arial"/>
          <w:sz w:val="20"/>
          <w:szCs w:val="20"/>
        </w:rPr>
        <w:t>onscientiously maintained.</w:t>
      </w:r>
    </w:p>
    <w:p w14:paraId="052DC4C7" w14:textId="77777777" w:rsidR="00B5476B" w:rsidRPr="008C488C" w:rsidRDefault="00B5476B" w:rsidP="008C488C">
      <w:pPr>
        <w:spacing w:before="240"/>
        <w:ind w:left="1701" w:right="567" w:hanging="567"/>
        <w:jc w:val="both"/>
        <w:rPr>
          <w:rFonts w:ascii="Book Antiqua" w:hAnsi="Book Antiqua" w:cs="Arial"/>
          <w:sz w:val="20"/>
          <w:szCs w:val="20"/>
        </w:rPr>
      </w:pPr>
      <w:r w:rsidRPr="008C488C">
        <w:rPr>
          <w:rFonts w:ascii="Book Antiqua" w:hAnsi="Book Antiqua" w:cs="Arial"/>
          <w:sz w:val="20"/>
          <w:szCs w:val="20"/>
        </w:rPr>
        <w:t>(iv)</w:t>
      </w:r>
      <w:r w:rsidRPr="008C488C">
        <w:rPr>
          <w:rFonts w:ascii="Book Antiqua" w:hAnsi="Book Antiqua" w:cs="Arial"/>
          <w:sz w:val="20"/>
          <w:szCs w:val="20"/>
        </w:rPr>
        <w:tab/>
        <w:t>Footnotes to decisions of the Secretary of State are an integral part of the decision and, hence, may legitimately be considered and accessed by Tribunals.</w:t>
      </w:r>
    </w:p>
    <w:p w14:paraId="47E2C3CF" w14:textId="77777777" w:rsidR="00B5476B" w:rsidRPr="008C488C" w:rsidRDefault="00B5476B" w:rsidP="008C488C">
      <w:pPr>
        <w:spacing w:before="240"/>
        <w:ind w:left="1701" w:right="567" w:hanging="567"/>
        <w:jc w:val="both"/>
        <w:rPr>
          <w:rFonts w:ascii="Book Antiqua" w:hAnsi="Book Antiqua" w:cs="Arial"/>
          <w:sz w:val="20"/>
          <w:szCs w:val="20"/>
        </w:rPr>
      </w:pPr>
      <w:r w:rsidRPr="008C488C">
        <w:rPr>
          <w:rFonts w:ascii="Book Antiqua" w:hAnsi="Book Antiqua" w:cs="Arial"/>
          <w:sz w:val="20"/>
          <w:szCs w:val="20"/>
        </w:rPr>
        <w:t>(v)</w:t>
      </w:r>
      <w:r w:rsidRPr="008C488C">
        <w:rPr>
          <w:rFonts w:ascii="Book Antiqua" w:hAnsi="Book Antiqua" w:cs="Arial"/>
          <w:sz w:val="20"/>
          <w:szCs w:val="20"/>
        </w:rPr>
        <w:tab/>
        <w:t>Fairness may require a Tribunal to canvas an issue which has not been ventilated by the parties or their representatives, in fulfilment of each party’s right to a fair hearing.”</w:t>
      </w:r>
    </w:p>
    <w:p w14:paraId="4D6C8986" w14:textId="2593D78D" w:rsidR="008D6408" w:rsidRDefault="008C488C" w:rsidP="008D6408">
      <w:pPr>
        <w:numPr>
          <w:ilvl w:val="0"/>
          <w:numId w:val="1"/>
        </w:numPr>
        <w:tabs>
          <w:tab w:val="clear" w:pos="567"/>
        </w:tabs>
        <w:spacing w:before="240"/>
        <w:jc w:val="both"/>
        <w:rPr>
          <w:rFonts w:ascii="Book Antiqua" w:hAnsi="Book Antiqua" w:cs="Arial"/>
        </w:rPr>
      </w:pPr>
      <w:r>
        <w:rPr>
          <w:rFonts w:ascii="Book Antiqua" w:hAnsi="Book Antiqua" w:cs="Arial"/>
        </w:rPr>
        <w:t>The dangers of relying upon evidence gleaned by a judge as a result of post-hearing research or otherwise i</w:t>
      </w:r>
      <w:r w:rsidR="007D47FD">
        <w:rPr>
          <w:rFonts w:ascii="Book Antiqua" w:hAnsi="Book Antiqua" w:cs="Arial"/>
        </w:rPr>
        <w:t>s that it denies the parties an</w:t>
      </w:r>
      <w:r>
        <w:rPr>
          <w:rFonts w:ascii="Book Antiqua" w:hAnsi="Book Antiqua" w:cs="Arial"/>
        </w:rPr>
        <w:t xml:space="preserve"> opportunity to make such representation as they wish on its relevance and applicability to the case.  In this case, the judge does not disclose precisely what the “routine news reports” were – whether newspaper, internet or other media reports.  Their content is also not disclosed.</w:t>
      </w:r>
      <w:r w:rsidR="008D6408" w:rsidRPr="008D6408">
        <w:rPr>
          <w:rFonts w:ascii="Book Antiqua" w:hAnsi="Book Antiqua" w:cs="Arial"/>
        </w:rPr>
        <w:t xml:space="preserve"> </w:t>
      </w:r>
      <w:r w:rsidR="004604FE">
        <w:rPr>
          <w:rFonts w:ascii="Book Antiqua" w:hAnsi="Book Antiqua" w:cs="Arial"/>
        </w:rPr>
        <w:t>It is not possible to discern the substance of their content.</w:t>
      </w:r>
    </w:p>
    <w:p w14:paraId="55D546E6" w14:textId="10E39068" w:rsidR="008C488C" w:rsidRPr="008D6408" w:rsidRDefault="008D6408" w:rsidP="008D6408">
      <w:pPr>
        <w:numPr>
          <w:ilvl w:val="0"/>
          <w:numId w:val="1"/>
        </w:numPr>
        <w:tabs>
          <w:tab w:val="clear" w:pos="567"/>
        </w:tabs>
        <w:spacing w:before="240"/>
        <w:jc w:val="both"/>
        <w:rPr>
          <w:rFonts w:ascii="Book Antiqua" w:hAnsi="Book Antiqua" w:cs="Arial"/>
        </w:rPr>
      </w:pPr>
      <w:r>
        <w:rPr>
          <w:rFonts w:ascii="Book Antiqua" w:hAnsi="Book Antiqua" w:cs="Arial"/>
        </w:rPr>
        <w:t xml:space="preserve">In my judgment, the judge did act unfairly in relying upon news reports, not in evidence before him, to support his conclusion that </w:t>
      </w:r>
      <w:r w:rsidRPr="008C488C">
        <w:rPr>
          <w:rFonts w:ascii="Book Antiqua" w:hAnsi="Book Antiqua" w:cs="Arial"/>
          <w:u w:val="single"/>
        </w:rPr>
        <w:t>AA</w:t>
      </w:r>
      <w:r>
        <w:rPr>
          <w:rFonts w:ascii="Book Antiqua" w:hAnsi="Book Antiqua" w:cs="Arial"/>
        </w:rPr>
        <w:t xml:space="preserve"> should be departed from.  As I have said, Mr Duffy did not seek to resist Mr </w:t>
      </w:r>
      <w:proofErr w:type="spellStart"/>
      <w:r>
        <w:rPr>
          <w:rFonts w:ascii="Book Antiqua" w:hAnsi="Book Antiqua" w:cs="Arial"/>
        </w:rPr>
        <w:t>Magennis</w:t>
      </w:r>
      <w:proofErr w:type="spellEnd"/>
      <w:r>
        <w:rPr>
          <w:rFonts w:ascii="Book Antiqua" w:hAnsi="Book Antiqua" w:cs="Arial"/>
        </w:rPr>
        <w:t xml:space="preserve">’ submissions on this point. </w:t>
      </w:r>
    </w:p>
    <w:p w14:paraId="720DBF9E" w14:textId="794616BF" w:rsidR="00995E0F" w:rsidRDefault="00995E0F"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Likewise, and again it was not resisted with any force by Mr Duffy, the judge’s reliance upon the </w:t>
      </w:r>
      <w:r w:rsidRPr="001D0E97">
        <w:rPr>
          <w:rFonts w:ascii="Book Antiqua" w:hAnsi="Book Antiqua" w:cs="Arial"/>
          <w:i/>
        </w:rPr>
        <w:t>CPI</w:t>
      </w:r>
      <w:r>
        <w:rPr>
          <w:rFonts w:ascii="Book Antiqua" w:hAnsi="Book Antiqua" w:cs="Arial"/>
        </w:rPr>
        <w:t xml:space="preserve"> was, it would seem, far from comprehensive.  It does appear that he consulted the </w:t>
      </w:r>
      <w:r w:rsidR="00F600B9">
        <w:rPr>
          <w:rFonts w:ascii="Book Antiqua" w:hAnsi="Book Antiqua" w:cs="Arial"/>
        </w:rPr>
        <w:t>report beyond the six pages produced by the Presenting Office</w:t>
      </w:r>
      <w:r w:rsidR="00154F13">
        <w:rPr>
          <w:rFonts w:ascii="Book Antiqua" w:hAnsi="Book Antiqua" w:cs="Arial"/>
        </w:rPr>
        <w:t>r</w:t>
      </w:r>
      <w:r w:rsidR="00F600B9">
        <w:rPr>
          <w:rFonts w:ascii="Book Antiqua" w:hAnsi="Book Antiqua" w:cs="Arial"/>
        </w:rPr>
        <w:t xml:space="preserve">.  The statistics </w:t>
      </w:r>
      <w:r w:rsidR="00AA4F35">
        <w:rPr>
          <w:rFonts w:ascii="Book Antiqua" w:hAnsi="Book Antiqua" w:cs="Arial"/>
        </w:rPr>
        <w:t xml:space="preserve">to which he </w:t>
      </w:r>
      <w:r w:rsidR="00F600B9">
        <w:rPr>
          <w:rFonts w:ascii="Book Antiqua" w:hAnsi="Book Antiqua" w:cs="Arial"/>
        </w:rPr>
        <w:t xml:space="preserve">referred </w:t>
      </w:r>
      <w:r w:rsidR="00AA4F35">
        <w:rPr>
          <w:rFonts w:ascii="Book Antiqua" w:hAnsi="Book Antiqua" w:cs="Arial"/>
        </w:rPr>
        <w:t>at</w:t>
      </w:r>
      <w:r w:rsidR="00F600B9">
        <w:rPr>
          <w:rFonts w:ascii="Book Antiqua" w:hAnsi="Book Antiqua" w:cs="Arial"/>
        </w:rPr>
        <w:t xml:space="preserve"> paras 11.3 and 11.4 </w:t>
      </w:r>
      <w:r w:rsidR="00AA4F35">
        <w:rPr>
          <w:rFonts w:ascii="Book Antiqua" w:hAnsi="Book Antiqua" w:cs="Arial"/>
        </w:rPr>
        <w:t xml:space="preserve">of the </w:t>
      </w:r>
      <w:r w:rsidR="00AA4F35" w:rsidRPr="00AA4F35">
        <w:rPr>
          <w:rFonts w:ascii="Book Antiqua" w:hAnsi="Book Antiqua" w:cs="Arial"/>
          <w:i/>
        </w:rPr>
        <w:t>CPI</w:t>
      </w:r>
      <w:r w:rsidR="00AA4F35">
        <w:rPr>
          <w:rFonts w:ascii="Book Antiqua" w:hAnsi="Book Antiqua" w:cs="Arial"/>
        </w:rPr>
        <w:t xml:space="preserve"> </w:t>
      </w:r>
      <w:r w:rsidR="00F600B9">
        <w:rPr>
          <w:rFonts w:ascii="Book Antiqua" w:hAnsi="Book Antiqua" w:cs="Arial"/>
        </w:rPr>
        <w:t xml:space="preserve">would appear to be consistent with that.  </w:t>
      </w:r>
      <w:r w:rsidR="00AA4F35">
        <w:rPr>
          <w:rFonts w:ascii="Book Antiqua" w:hAnsi="Book Antiqua" w:cs="Arial"/>
        </w:rPr>
        <w:t>But, th</w:t>
      </w:r>
      <w:r w:rsidR="00DB6162">
        <w:rPr>
          <w:rFonts w:ascii="Book Antiqua" w:hAnsi="Book Antiqua" w:cs="Arial"/>
        </w:rPr>
        <w:t xml:space="preserve">ese paragraphs were not in the 6 pages produced by the </w:t>
      </w:r>
      <w:r w:rsidR="00CC457D">
        <w:rPr>
          <w:rFonts w:ascii="Book Antiqua" w:hAnsi="Book Antiqua" w:cs="Arial"/>
        </w:rPr>
        <w:t>Presenting Officer</w:t>
      </w:r>
      <w:r w:rsidR="00DB6162">
        <w:rPr>
          <w:rFonts w:ascii="Book Antiqua" w:hAnsi="Book Antiqua" w:cs="Arial"/>
        </w:rPr>
        <w:t xml:space="preserve"> at the hearing.  </w:t>
      </w:r>
      <w:r w:rsidR="00F600B9">
        <w:rPr>
          <w:rFonts w:ascii="Book Antiqua" w:hAnsi="Book Antiqua" w:cs="Arial"/>
        </w:rPr>
        <w:t xml:space="preserve">However, as Mr </w:t>
      </w:r>
      <w:proofErr w:type="spellStart"/>
      <w:r w:rsidR="00F600B9">
        <w:rPr>
          <w:rFonts w:ascii="Book Antiqua" w:hAnsi="Book Antiqua" w:cs="Arial"/>
        </w:rPr>
        <w:t>Magennis</w:t>
      </w:r>
      <w:proofErr w:type="spellEnd"/>
      <w:r w:rsidR="00F600B9">
        <w:rPr>
          <w:rFonts w:ascii="Book Antiqua" w:hAnsi="Book Antiqua" w:cs="Arial"/>
        </w:rPr>
        <w:t xml:space="preserve">’ submissions illustrated, there are arguments that can be made as to the implications of the statistics.  Although the </w:t>
      </w:r>
      <w:r w:rsidR="00F600B9" w:rsidRPr="00EC6F23">
        <w:rPr>
          <w:rFonts w:ascii="Book Antiqua" w:hAnsi="Book Antiqua" w:cs="Arial"/>
          <w:i/>
        </w:rPr>
        <w:t>CPI</w:t>
      </w:r>
      <w:r w:rsidR="00F600B9">
        <w:rPr>
          <w:rFonts w:ascii="Book Antiqua" w:hAnsi="Book Antiqua" w:cs="Arial"/>
        </w:rPr>
        <w:t xml:space="preserve"> is, in effect, a public document, it was only relied upon before the judge in a </w:t>
      </w:r>
      <w:proofErr w:type="gramStart"/>
      <w:r w:rsidR="00F600B9">
        <w:rPr>
          <w:rFonts w:ascii="Book Antiqua" w:hAnsi="Book Antiqua" w:cs="Arial"/>
        </w:rPr>
        <w:t>six page</w:t>
      </w:r>
      <w:proofErr w:type="gramEnd"/>
      <w:r w:rsidR="00F600B9">
        <w:rPr>
          <w:rFonts w:ascii="Book Antiqua" w:hAnsi="Book Antiqua" w:cs="Arial"/>
        </w:rPr>
        <w:t xml:space="preserve"> extract produced on the day and, in this case, that had the effect of depriving Mr </w:t>
      </w:r>
      <w:proofErr w:type="spellStart"/>
      <w:r w:rsidR="00F600B9">
        <w:rPr>
          <w:rFonts w:ascii="Book Antiqua" w:hAnsi="Book Antiqua" w:cs="Arial"/>
        </w:rPr>
        <w:t>Magennis</w:t>
      </w:r>
      <w:proofErr w:type="spellEnd"/>
      <w:r w:rsidR="00F600B9">
        <w:rPr>
          <w:rFonts w:ascii="Book Antiqua" w:hAnsi="Book Antiqua" w:cs="Arial"/>
        </w:rPr>
        <w:t xml:space="preserve"> of </w:t>
      </w:r>
      <w:r w:rsidR="00076DF1">
        <w:rPr>
          <w:rFonts w:ascii="Book Antiqua" w:hAnsi="Book Antiqua" w:cs="Arial"/>
        </w:rPr>
        <w:t>the</w:t>
      </w:r>
      <w:r w:rsidR="00F600B9">
        <w:rPr>
          <w:rFonts w:ascii="Book Antiqua" w:hAnsi="Book Antiqua" w:cs="Arial"/>
        </w:rPr>
        <w:t xml:space="preserve"> opportunity to deal with it any other parts of the </w:t>
      </w:r>
      <w:r w:rsidR="00F600B9" w:rsidRPr="00076DF1">
        <w:rPr>
          <w:rFonts w:ascii="Book Antiqua" w:hAnsi="Book Antiqua" w:cs="Arial"/>
          <w:i/>
        </w:rPr>
        <w:t>CPI</w:t>
      </w:r>
      <w:r w:rsidR="00F600B9">
        <w:rPr>
          <w:rFonts w:ascii="Book Antiqua" w:hAnsi="Book Antiqua" w:cs="Arial"/>
        </w:rPr>
        <w:t xml:space="preserve"> which the judge then chose to rely on in his post-hearing consideration in preparing his determination.  </w:t>
      </w:r>
    </w:p>
    <w:p w14:paraId="147CF6FA" w14:textId="4DE96FFC" w:rsidR="00F600B9" w:rsidRDefault="00F600B9"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The dangers of relying upon evidence, upon which the representatives had not had the opportunity to make submissions, is well illustrated by this case since the appellant was not from Kirkuk city itself but from </w:t>
      </w:r>
      <w:proofErr w:type="gramStart"/>
      <w:r>
        <w:rPr>
          <w:rFonts w:ascii="Book Antiqua" w:hAnsi="Book Antiqua" w:cs="Arial"/>
        </w:rPr>
        <w:t>a village some 40 kilometres</w:t>
      </w:r>
      <w:proofErr w:type="gramEnd"/>
      <w:r>
        <w:rPr>
          <w:rFonts w:ascii="Book Antiqua" w:hAnsi="Book Antiqua" w:cs="Arial"/>
        </w:rPr>
        <w:t xml:space="preserve"> south of Kirkuk.  The background evidence, even produced by the respondent, required a nuanced analysis of whether the appellant </w:t>
      </w:r>
      <w:r w:rsidRPr="00F600B9">
        <w:rPr>
          <w:rFonts w:ascii="Book Antiqua" w:hAnsi="Book Antiqua" w:cs="Arial"/>
          <w:u w:val="single"/>
        </w:rPr>
        <w:t>in his home area</w:t>
      </w:r>
      <w:r>
        <w:rPr>
          <w:rFonts w:ascii="Book Antiqua" w:hAnsi="Book Antiqua" w:cs="Arial"/>
        </w:rPr>
        <w:t xml:space="preserve"> (namely his village) would be safe.  That arose even if, as was being put forward by the respondent, that Kirkuk itself was not any longer a “contested area”</w:t>
      </w:r>
      <w:r w:rsidR="00542B6C">
        <w:rPr>
          <w:rFonts w:ascii="Book Antiqua" w:hAnsi="Book Antiqua" w:cs="Arial"/>
        </w:rPr>
        <w:t xml:space="preserve"> – and it far from clear, in the absence of knowing the content of the evidence</w:t>
      </w:r>
      <w:r w:rsidR="00B90A76">
        <w:rPr>
          <w:rFonts w:ascii="Book Antiqua" w:hAnsi="Book Antiqua" w:cs="Arial"/>
        </w:rPr>
        <w:t>, that the whole of the Governorate was now ‘safe’</w:t>
      </w:r>
      <w:r>
        <w:rPr>
          <w:rFonts w:ascii="Book Antiqua" w:hAnsi="Book Antiqua" w:cs="Arial"/>
        </w:rPr>
        <w:t xml:space="preserve">.  </w:t>
      </w:r>
    </w:p>
    <w:p w14:paraId="191BA1ED" w14:textId="4886A2C3" w:rsidR="00F600B9" w:rsidRDefault="00F600B9"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In this case, of course, the judge was seeking to depart from the CG decision in </w:t>
      </w:r>
      <w:r w:rsidRPr="00F600B9">
        <w:rPr>
          <w:rFonts w:ascii="Book Antiqua" w:hAnsi="Book Antiqua" w:cs="Arial"/>
          <w:u w:val="single"/>
        </w:rPr>
        <w:t>AA</w:t>
      </w:r>
      <w:r>
        <w:rPr>
          <w:rFonts w:ascii="Book Antiqua" w:hAnsi="Book Antiqua" w:cs="Arial"/>
        </w:rPr>
        <w:t>.  In those circumstances, he</w:t>
      </w:r>
      <w:r w:rsidR="00EC6F23">
        <w:rPr>
          <w:rFonts w:ascii="Book Antiqua" w:hAnsi="Book Antiqua" w:cs="Arial"/>
        </w:rPr>
        <w:t xml:space="preserve"> could only do so if</w:t>
      </w:r>
      <w:r>
        <w:rPr>
          <w:rFonts w:ascii="Book Antiqua" w:hAnsi="Book Antiqua" w:cs="Arial"/>
        </w:rPr>
        <w:t xml:space="preserve"> he had “cogent evidence” that, in effect, the position ‘on the ground’ had sufficiently changed in the appellant’s home area to justify a finding that there was no longer a real risk of indiscriminate violence falling </w:t>
      </w:r>
      <w:r>
        <w:rPr>
          <w:rFonts w:ascii="Book Antiqua" w:hAnsi="Book Antiqua" w:cs="Arial"/>
        </w:rPr>
        <w:lastRenderedPageBreak/>
        <w:t xml:space="preserve">within Art 15(c).  In concluding that “cogent evidence” existed to justify departing from </w:t>
      </w:r>
      <w:r w:rsidRPr="00EC6F23">
        <w:rPr>
          <w:rFonts w:ascii="Book Antiqua" w:hAnsi="Book Antiqua" w:cs="Arial"/>
          <w:u w:val="single"/>
        </w:rPr>
        <w:t>AA</w:t>
      </w:r>
      <w:r>
        <w:rPr>
          <w:rFonts w:ascii="Book Antiqua" w:hAnsi="Book Antiqua" w:cs="Arial"/>
        </w:rPr>
        <w:t xml:space="preserve">, I accept Mr </w:t>
      </w:r>
      <w:proofErr w:type="spellStart"/>
      <w:r>
        <w:rPr>
          <w:rFonts w:ascii="Book Antiqua" w:hAnsi="Book Antiqua" w:cs="Arial"/>
        </w:rPr>
        <w:t>Magennis</w:t>
      </w:r>
      <w:proofErr w:type="spellEnd"/>
      <w:r>
        <w:rPr>
          <w:rFonts w:ascii="Book Antiqua" w:hAnsi="Book Antiqua" w:cs="Arial"/>
        </w:rPr>
        <w:t xml:space="preserve">’ submission that the judge materially erred in law in taking into account evidence that was not submitted by the parties at the hearing and also in failing to take into account the totality of the evidence, in particular the </w:t>
      </w:r>
      <w:r w:rsidRPr="004D6DEE">
        <w:rPr>
          <w:rFonts w:ascii="Book Antiqua" w:hAnsi="Book Antiqua" w:cs="Arial"/>
          <w:i/>
        </w:rPr>
        <w:t>CPI</w:t>
      </w:r>
      <w:r>
        <w:rPr>
          <w:rFonts w:ascii="Book Antiqua" w:hAnsi="Book Antiqua" w:cs="Arial"/>
        </w:rPr>
        <w:t xml:space="preserve"> </w:t>
      </w:r>
      <w:r w:rsidR="0034325B">
        <w:rPr>
          <w:rFonts w:ascii="Book Antiqua" w:hAnsi="Book Antiqua" w:cs="Arial"/>
        </w:rPr>
        <w:t>and</w:t>
      </w:r>
      <w:r>
        <w:rPr>
          <w:rFonts w:ascii="Book Antiqua" w:hAnsi="Book Antiqua" w:cs="Arial"/>
        </w:rPr>
        <w:t xml:space="preserve"> upon which the appellant had no opportunity to make submissions given the late production of only an extract from the CPI.</w:t>
      </w:r>
    </w:p>
    <w:p w14:paraId="541FB10D" w14:textId="77777777" w:rsidR="00CD13C0" w:rsidRDefault="00B35BDA"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For those reasons, therefore, I accept </w:t>
      </w:r>
      <w:r w:rsidR="00A64DA5">
        <w:rPr>
          <w:rFonts w:ascii="Book Antiqua" w:hAnsi="Book Antiqua" w:cs="Arial"/>
        </w:rPr>
        <w:t xml:space="preserve">ground (d) is established and the judge’s decision in relation to </w:t>
      </w:r>
      <w:r w:rsidR="00CD13C0">
        <w:rPr>
          <w:rFonts w:ascii="Book Antiqua" w:hAnsi="Book Antiqua" w:cs="Arial"/>
        </w:rPr>
        <w:t>Art</w:t>
      </w:r>
      <w:r w:rsidR="00A64DA5">
        <w:rPr>
          <w:rFonts w:ascii="Book Antiqua" w:hAnsi="Book Antiqua" w:cs="Arial"/>
        </w:rPr>
        <w:t xml:space="preserve"> 15(c) is flawed and cannot stand.  </w:t>
      </w:r>
    </w:p>
    <w:p w14:paraId="5ED82327" w14:textId="77777777" w:rsidR="00B35BDA" w:rsidRDefault="00CD13C0" w:rsidP="008C488C">
      <w:pPr>
        <w:numPr>
          <w:ilvl w:val="0"/>
          <w:numId w:val="1"/>
        </w:numPr>
        <w:tabs>
          <w:tab w:val="clear" w:pos="567"/>
        </w:tabs>
        <w:spacing w:before="240"/>
        <w:jc w:val="both"/>
        <w:rPr>
          <w:rFonts w:ascii="Book Antiqua" w:hAnsi="Book Antiqua" w:cs="Arial"/>
        </w:rPr>
      </w:pPr>
      <w:r>
        <w:rPr>
          <w:rFonts w:ascii="Book Antiqua" w:hAnsi="Book Antiqua" w:cs="Arial"/>
        </w:rPr>
        <w:t>It is convenient, at</w:t>
      </w:r>
      <w:r w:rsidR="00A64DA5">
        <w:rPr>
          <w:rFonts w:ascii="Book Antiqua" w:hAnsi="Book Antiqua" w:cs="Arial"/>
        </w:rPr>
        <w:t xml:space="preserve"> </w:t>
      </w:r>
      <w:r>
        <w:rPr>
          <w:rFonts w:ascii="Book Antiqua" w:hAnsi="Book Antiqua" w:cs="Arial"/>
        </w:rPr>
        <w:t>this point, to deal with ground (c) concerning the route of return to the appellant’s home area via the IKR.</w:t>
      </w:r>
    </w:p>
    <w:p w14:paraId="24C96A6F" w14:textId="77777777" w:rsidR="00033F27" w:rsidRDefault="00BB3D05" w:rsidP="008C488C">
      <w:pPr>
        <w:numPr>
          <w:ilvl w:val="0"/>
          <w:numId w:val="1"/>
        </w:numPr>
        <w:tabs>
          <w:tab w:val="clear" w:pos="567"/>
        </w:tabs>
        <w:spacing w:before="240"/>
        <w:jc w:val="both"/>
        <w:rPr>
          <w:rFonts w:ascii="Book Antiqua" w:hAnsi="Book Antiqua" w:cs="Arial"/>
        </w:rPr>
      </w:pPr>
      <w:r>
        <w:rPr>
          <w:rFonts w:ascii="Book Antiqua" w:hAnsi="Book Antiqua" w:cs="Arial"/>
        </w:rPr>
        <w:t>At para</w:t>
      </w:r>
      <w:r w:rsidR="00033F27">
        <w:rPr>
          <w:rFonts w:ascii="Book Antiqua" w:hAnsi="Book Antiqua" w:cs="Arial"/>
        </w:rPr>
        <w:t xml:space="preserve"> 26, the judge dealt with that issue as follows:</w:t>
      </w:r>
    </w:p>
    <w:p w14:paraId="5E04E0F1" w14:textId="77777777" w:rsidR="00033F27" w:rsidRPr="005F7C92" w:rsidRDefault="00033F27" w:rsidP="005F7C92">
      <w:pPr>
        <w:spacing w:before="240"/>
        <w:ind w:left="1701" w:right="567" w:hanging="567"/>
        <w:jc w:val="both"/>
        <w:rPr>
          <w:rFonts w:ascii="Book Antiqua" w:hAnsi="Book Antiqua" w:cs="Arial"/>
          <w:sz w:val="20"/>
          <w:szCs w:val="20"/>
        </w:rPr>
      </w:pPr>
      <w:r w:rsidRPr="005F7C92">
        <w:rPr>
          <w:rFonts w:ascii="Book Antiqua" w:hAnsi="Book Antiqua" w:cs="Arial"/>
          <w:sz w:val="20"/>
          <w:szCs w:val="20"/>
        </w:rPr>
        <w:t>“26.</w:t>
      </w:r>
      <w:r w:rsidRPr="005F7C92">
        <w:rPr>
          <w:rFonts w:ascii="Book Antiqua" w:hAnsi="Book Antiqua" w:cs="Arial"/>
          <w:sz w:val="20"/>
          <w:szCs w:val="20"/>
        </w:rPr>
        <w:tab/>
      </w:r>
      <w:r w:rsidRPr="005F7C92">
        <w:rPr>
          <w:rFonts w:ascii="Book Antiqua" w:hAnsi="Book Antiqua" w:cs="Arial"/>
          <w:sz w:val="20"/>
          <w:szCs w:val="20"/>
          <w:u w:val="single"/>
        </w:rPr>
        <w:t>Return via the IKR</w:t>
      </w:r>
      <w:r w:rsidRPr="005F7C92">
        <w:rPr>
          <w:rFonts w:ascii="Book Antiqua" w:hAnsi="Book Antiqua" w:cs="Arial"/>
          <w:sz w:val="20"/>
          <w:szCs w:val="20"/>
        </w:rPr>
        <w:t xml:space="preserve">.  I find, applying </w:t>
      </w:r>
      <w:r w:rsidRPr="005F7C92">
        <w:rPr>
          <w:rFonts w:ascii="Book Antiqua" w:hAnsi="Book Antiqua" w:cs="Arial"/>
          <w:b/>
          <w:sz w:val="20"/>
          <w:szCs w:val="20"/>
          <w:u w:val="single"/>
        </w:rPr>
        <w:t>AA</w:t>
      </w:r>
      <w:r w:rsidRPr="005F7C92">
        <w:rPr>
          <w:rFonts w:ascii="Book Antiqua" w:hAnsi="Book Antiqua" w:cs="Arial"/>
          <w:sz w:val="20"/>
          <w:szCs w:val="20"/>
        </w:rPr>
        <w:t xml:space="preserve"> that the Appellant could return via the IKR, for the following reasons:</w:t>
      </w:r>
    </w:p>
    <w:p w14:paraId="7C36555D" w14:textId="77777777" w:rsidR="00033F27" w:rsidRPr="005F7C92" w:rsidRDefault="00033F27" w:rsidP="005F7C92">
      <w:pPr>
        <w:spacing w:before="240"/>
        <w:ind w:left="2268" w:right="567" w:hanging="567"/>
        <w:jc w:val="both"/>
        <w:rPr>
          <w:rFonts w:ascii="Book Antiqua" w:hAnsi="Book Antiqua" w:cs="Arial"/>
          <w:sz w:val="20"/>
          <w:szCs w:val="20"/>
        </w:rPr>
      </w:pPr>
      <w:proofErr w:type="spellStart"/>
      <w:r w:rsidRPr="005F7C92">
        <w:rPr>
          <w:rFonts w:ascii="Book Antiqua" w:hAnsi="Book Antiqua" w:cs="Arial"/>
          <w:sz w:val="20"/>
          <w:szCs w:val="20"/>
        </w:rPr>
        <w:t>i</w:t>
      </w:r>
      <w:proofErr w:type="spellEnd"/>
      <w:r w:rsidRPr="005F7C92">
        <w:rPr>
          <w:rFonts w:ascii="Book Antiqua" w:hAnsi="Book Antiqua" w:cs="Arial"/>
          <w:sz w:val="20"/>
          <w:szCs w:val="20"/>
        </w:rPr>
        <w:t>.</w:t>
      </w:r>
      <w:r w:rsidRPr="005F7C92">
        <w:rPr>
          <w:rFonts w:ascii="Book Antiqua" w:hAnsi="Book Antiqua" w:cs="Arial"/>
          <w:sz w:val="20"/>
          <w:szCs w:val="20"/>
        </w:rPr>
        <w:tab/>
        <w:t>While not a former resident of the IKR, he is a Kurd and will therefore be permitted to enter by the authorities there, for an initially limited period, allowing him to travel in relative safety to Kirkuk.  He could fly direct to Erbil or via Baghdad to Erbil, with, if he chooses, some financial assistance from the UK Government.</w:t>
      </w:r>
    </w:p>
    <w:p w14:paraId="4B75CC7E" w14:textId="77777777" w:rsidR="008F49A5" w:rsidRPr="005F7C92" w:rsidRDefault="008F49A5" w:rsidP="005F7C92">
      <w:pPr>
        <w:spacing w:before="240"/>
        <w:ind w:left="2268" w:right="567" w:hanging="567"/>
        <w:jc w:val="both"/>
        <w:rPr>
          <w:rFonts w:ascii="Book Antiqua" w:hAnsi="Book Antiqua" w:cs="Arial"/>
          <w:sz w:val="20"/>
          <w:szCs w:val="20"/>
        </w:rPr>
      </w:pPr>
      <w:r w:rsidRPr="005F7C92">
        <w:rPr>
          <w:rFonts w:ascii="Book Antiqua" w:hAnsi="Book Antiqua" w:cs="Arial"/>
          <w:sz w:val="20"/>
          <w:szCs w:val="20"/>
        </w:rPr>
        <w:t>ii.</w:t>
      </w:r>
      <w:r w:rsidRPr="005F7C92">
        <w:rPr>
          <w:rFonts w:ascii="Book Antiqua" w:hAnsi="Book Antiqua" w:cs="Arial"/>
          <w:sz w:val="20"/>
          <w:szCs w:val="20"/>
        </w:rPr>
        <w:tab/>
        <w:t>He is young and fit and has his uncle in Kirkuk, who has previously supported him.  He speaks Kurdish Sorani.”</w:t>
      </w:r>
    </w:p>
    <w:p w14:paraId="0132D36C" w14:textId="77777777" w:rsidR="00033F27" w:rsidRDefault="005F7C92"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It was common ground before me that the judge was required to reach a finding on whether the appellant could safely reach his home area.  In his skeleton argument and grounds, Mr </w:t>
      </w:r>
      <w:proofErr w:type="spellStart"/>
      <w:r>
        <w:rPr>
          <w:rFonts w:ascii="Book Antiqua" w:hAnsi="Book Antiqua" w:cs="Arial"/>
        </w:rPr>
        <w:t>Magennis</w:t>
      </w:r>
      <w:proofErr w:type="spellEnd"/>
      <w:r>
        <w:rPr>
          <w:rFonts w:ascii="Book Antiqua" w:hAnsi="Book Antiqua" w:cs="Arial"/>
        </w:rPr>
        <w:t xml:space="preserve"> submitted that the respondent had never suggested that the appellant could return via the IKR.  His route of return was via Baghdad which, Mr </w:t>
      </w:r>
      <w:proofErr w:type="spellStart"/>
      <w:r>
        <w:rPr>
          <w:rFonts w:ascii="Book Antiqua" w:hAnsi="Book Antiqua" w:cs="Arial"/>
        </w:rPr>
        <w:t>Magennis</w:t>
      </w:r>
      <w:proofErr w:type="spellEnd"/>
      <w:r>
        <w:rPr>
          <w:rFonts w:ascii="Book Antiqua" w:hAnsi="Book Antiqua" w:cs="Arial"/>
        </w:rPr>
        <w:t xml:space="preserve"> submitted, would have required the judge to consider whether the safety of return through the ‘Baghdad Belt’.</w:t>
      </w:r>
    </w:p>
    <w:p w14:paraId="15E57AF4" w14:textId="0B155EB9" w:rsidR="0023672A" w:rsidRDefault="0023672A" w:rsidP="008C488C">
      <w:pPr>
        <w:numPr>
          <w:ilvl w:val="0"/>
          <w:numId w:val="1"/>
        </w:numPr>
        <w:tabs>
          <w:tab w:val="clear" w:pos="567"/>
        </w:tabs>
        <w:spacing w:before="240"/>
        <w:jc w:val="both"/>
        <w:rPr>
          <w:rFonts w:ascii="Book Antiqua" w:hAnsi="Book Antiqua" w:cs="Arial"/>
        </w:rPr>
      </w:pPr>
      <w:r>
        <w:rPr>
          <w:rFonts w:ascii="Book Antiqua" w:hAnsi="Book Antiqua" w:cs="Arial"/>
        </w:rPr>
        <w:t>It is not entirely clear what route the Secretary of State relied upon for the appellant’s return at the hearing before Judge O’Rourke.  The only two possibilities, given that the appellant was a Kurd, was either that he was returned to Baghdad and made an internal flight to Erbil in the IKR or he flew directly to Erbil in the IKR.  Of course, the appellant is not from the IKR although he is Kurdish.  He comes from the Kirkuk Governorate and a village</w:t>
      </w:r>
      <w:r w:rsidR="00CC457D">
        <w:rPr>
          <w:rFonts w:ascii="Book Antiqua" w:hAnsi="Book Antiqua" w:cs="Arial"/>
        </w:rPr>
        <w:t>,</w:t>
      </w:r>
      <w:r>
        <w:rPr>
          <w:rFonts w:ascii="Book Antiqua" w:hAnsi="Book Antiqua" w:cs="Arial"/>
        </w:rPr>
        <w:t xml:space="preserve"> some 40 kilometres south of </w:t>
      </w:r>
      <w:r w:rsidR="0048000C">
        <w:rPr>
          <w:rFonts w:ascii="Book Antiqua" w:hAnsi="Book Antiqua" w:cs="Arial"/>
        </w:rPr>
        <w:t xml:space="preserve">Kirkuk.  Whilst </w:t>
      </w:r>
      <w:r w:rsidR="0048000C" w:rsidRPr="0048000C">
        <w:rPr>
          <w:rFonts w:ascii="Book Antiqua" w:hAnsi="Book Antiqua" w:cs="Arial"/>
          <w:u w:val="single"/>
        </w:rPr>
        <w:t>AA</w:t>
      </w:r>
      <w:r w:rsidR="0048000C">
        <w:rPr>
          <w:rFonts w:ascii="Book Antiqua" w:hAnsi="Book Antiqua" w:cs="Arial"/>
        </w:rPr>
        <w:t xml:space="preserve"> might well have supported the judge’s conclusion that the appellant could, at least, safely return to the IKR, there remained the issue of whether the appellant could travel from the IKR to his home are</w:t>
      </w:r>
      <w:r w:rsidR="004D6DEE">
        <w:rPr>
          <w:rFonts w:ascii="Book Antiqua" w:hAnsi="Book Antiqua" w:cs="Arial"/>
        </w:rPr>
        <w:t>a</w:t>
      </w:r>
      <w:r w:rsidR="0048000C">
        <w:rPr>
          <w:rFonts w:ascii="Book Antiqua" w:hAnsi="Book Antiqua" w:cs="Arial"/>
        </w:rPr>
        <w:t xml:space="preserve"> outside it some 40 kilometres south of Kirkuk.  The judge made no reference to that potential risk perhaps because he had already determined that the appellant was not at risk of indiscrim</w:t>
      </w:r>
      <w:r w:rsidR="00C6412E">
        <w:rPr>
          <w:rFonts w:ascii="Book Antiqua" w:hAnsi="Book Antiqua" w:cs="Arial"/>
        </w:rPr>
        <w:t>inate violence contrary to Art</w:t>
      </w:r>
      <w:r w:rsidR="0048000C">
        <w:rPr>
          <w:rFonts w:ascii="Book Antiqua" w:hAnsi="Book Antiqua" w:cs="Arial"/>
        </w:rPr>
        <w:t xml:space="preserve"> 15(c) in his home area.  However, that finding cannot stand and there would still remain the </w:t>
      </w:r>
      <w:r w:rsidR="00DF0FBC">
        <w:rPr>
          <w:rFonts w:ascii="Book Antiqua" w:hAnsi="Book Antiqua" w:cs="Arial"/>
        </w:rPr>
        <w:t xml:space="preserve">possible </w:t>
      </w:r>
      <w:r w:rsidR="0048000C">
        <w:rPr>
          <w:rFonts w:ascii="Book Antiqua" w:hAnsi="Book Antiqua" w:cs="Arial"/>
        </w:rPr>
        <w:t xml:space="preserve">risk </w:t>
      </w:r>
      <w:proofErr w:type="spellStart"/>
      <w:r w:rsidR="0048000C">
        <w:rPr>
          <w:rFonts w:ascii="Book Antiqua" w:hAnsi="Book Antiqua" w:cs="Arial"/>
        </w:rPr>
        <w:t>en</w:t>
      </w:r>
      <w:proofErr w:type="spellEnd"/>
      <w:r w:rsidR="0048000C">
        <w:rPr>
          <w:rFonts w:ascii="Book Antiqua" w:hAnsi="Book Antiqua" w:cs="Arial"/>
        </w:rPr>
        <w:t xml:space="preserve"> route.  </w:t>
      </w:r>
    </w:p>
    <w:p w14:paraId="1FAA9645" w14:textId="77777777" w:rsidR="0048000C" w:rsidRDefault="0048000C" w:rsidP="008C488C">
      <w:pPr>
        <w:numPr>
          <w:ilvl w:val="0"/>
          <w:numId w:val="1"/>
        </w:numPr>
        <w:tabs>
          <w:tab w:val="clear" w:pos="567"/>
        </w:tabs>
        <w:spacing w:before="240"/>
        <w:jc w:val="both"/>
        <w:rPr>
          <w:rFonts w:ascii="Book Antiqua" w:hAnsi="Book Antiqua" w:cs="Arial"/>
        </w:rPr>
      </w:pPr>
      <w:r>
        <w:rPr>
          <w:rFonts w:ascii="Book Antiqua" w:hAnsi="Book Antiqua" w:cs="Arial"/>
        </w:rPr>
        <w:t>In this regard also, the judge failed properly to consider the risk to the appellant on return.  For these reasons, therefore, the judge’s decision to dismiss the appellant’s appeal on humanitarian protection grounds cannot stand and must be remade.</w:t>
      </w:r>
    </w:p>
    <w:p w14:paraId="6E5399D0" w14:textId="77777777" w:rsidR="00D20524" w:rsidRDefault="00D20524" w:rsidP="008C488C">
      <w:pPr>
        <w:numPr>
          <w:ilvl w:val="0"/>
          <w:numId w:val="1"/>
        </w:numPr>
        <w:tabs>
          <w:tab w:val="clear" w:pos="567"/>
        </w:tabs>
        <w:spacing w:before="240"/>
        <w:jc w:val="both"/>
        <w:rPr>
          <w:rFonts w:ascii="Book Antiqua" w:hAnsi="Book Antiqua" w:cs="Arial"/>
        </w:rPr>
      </w:pPr>
      <w:r>
        <w:rPr>
          <w:rFonts w:ascii="Book Antiqua" w:hAnsi="Book Antiqua" w:cs="Arial"/>
        </w:rPr>
        <w:lastRenderedPageBreak/>
        <w:t>That, then, leaves the remaining grounds concerning the appellant’s asylum claim and, in particular, the judge’s adverse credibility finding.</w:t>
      </w:r>
    </w:p>
    <w:p w14:paraId="1840A05C" w14:textId="2894AA96" w:rsidR="00D20524" w:rsidRDefault="00D20524" w:rsidP="008C488C">
      <w:pPr>
        <w:numPr>
          <w:ilvl w:val="0"/>
          <w:numId w:val="1"/>
        </w:numPr>
        <w:tabs>
          <w:tab w:val="clear" w:pos="567"/>
        </w:tabs>
        <w:spacing w:before="240"/>
        <w:jc w:val="both"/>
        <w:rPr>
          <w:rFonts w:ascii="Book Antiqua" w:hAnsi="Book Antiqua" w:cs="Arial"/>
        </w:rPr>
      </w:pPr>
      <w:r>
        <w:rPr>
          <w:rFonts w:ascii="Book Antiqua" w:hAnsi="Book Antiqua" w:cs="Arial"/>
        </w:rPr>
        <w:t>The judge’s finding</w:t>
      </w:r>
      <w:r w:rsidR="00A05DBF">
        <w:rPr>
          <w:rFonts w:ascii="Book Antiqua" w:hAnsi="Book Antiqua" w:cs="Arial"/>
        </w:rPr>
        <w:t>s</w:t>
      </w:r>
      <w:r>
        <w:rPr>
          <w:rFonts w:ascii="Book Antiqua" w:hAnsi="Book Antiqua" w:cs="Arial"/>
        </w:rPr>
        <w:t xml:space="preserve"> and reasoning in relation to the appellant’s asylum claim are found at paras 23 and 25.</w:t>
      </w:r>
    </w:p>
    <w:p w14:paraId="0254B8ED" w14:textId="77777777" w:rsidR="007721CA" w:rsidRDefault="007721CA" w:rsidP="008C488C">
      <w:pPr>
        <w:numPr>
          <w:ilvl w:val="0"/>
          <w:numId w:val="1"/>
        </w:numPr>
        <w:tabs>
          <w:tab w:val="clear" w:pos="567"/>
        </w:tabs>
        <w:spacing w:before="240"/>
        <w:jc w:val="both"/>
        <w:rPr>
          <w:rFonts w:ascii="Book Antiqua" w:hAnsi="Book Antiqua" w:cs="Arial"/>
        </w:rPr>
      </w:pPr>
      <w:r>
        <w:rPr>
          <w:rFonts w:ascii="Book Antiqua" w:hAnsi="Book Antiqua" w:cs="Arial"/>
        </w:rPr>
        <w:t>At para 23 under the heading “Credibility” the judge made an adverse finding based upon three “glaring inconsistencies” in the appellant’s account.  The judge reasoned as follows:</w:t>
      </w:r>
    </w:p>
    <w:p w14:paraId="074704DD" w14:textId="77777777" w:rsidR="007721CA" w:rsidRPr="00427A79" w:rsidRDefault="007721CA" w:rsidP="00427A79">
      <w:pPr>
        <w:spacing w:before="240"/>
        <w:ind w:left="1701" w:right="567" w:hanging="567"/>
        <w:jc w:val="both"/>
        <w:rPr>
          <w:rFonts w:ascii="Book Antiqua" w:hAnsi="Book Antiqua" w:cs="Arial"/>
          <w:sz w:val="20"/>
        </w:rPr>
      </w:pPr>
      <w:r w:rsidRPr="00427A79">
        <w:rPr>
          <w:rFonts w:ascii="Book Antiqua" w:hAnsi="Book Antiqua" w:cs="Arial"/>
          <w:sz w:val="20"/>
        </w:rPr>
        <w:t>“23.</w:t>
      </w:r>
      <w:r w:rsidRPr="00427A79">
        <w:rPr>
          <w:rFonts w:ascii="Book Antiqua" w:hAnsi="Book Antiqua" w:cs="Arial"/>
          <w:sz w:val="20"/>
        </w:rPr>
        <w:tab/>
      </w:r>
      <w:r w:rsidRPr="00427A79">
        <w:rPr>
          <w:rFonts w:ascii="Book Antiqua" w:hAnsi="Book Antiqua" w:cs="Arial"/>
          <w:sz w:val="20"/>
          <w:u w:val="single"/>
        </w:rPr>
        <w:t>Credibility</w:t>
      </w:r>
      <w:r w:rsidRPr="00427A79">
        <w:rPr>
          <w:rFonts w:ascii="Book Antiqua" w:hAnsi="Book Antiqua" w:cs="Arial"/>
          <w:sz w:val="20"/>
        </w:rPr>
        <w:t>.  I don’t find the Appellant a credible witness, for the following reasons:</w:t>
      </w:r>
    </w:p>
    <w:p w14:paraId="4A923E92" w14:textId="77777777" w:rsidR="007721CA" w:rsidRPr="00427A79" w:rsidRDefault="007721CA" w:rsidP="00427A79">
      <w:pPr>
        <w:spacing w:before="240"/>
        <w:ind w:left="2268" w:right="567" w:hanging="567"/>
        <w:jc w:val="both"/>
        <w:rPr>
          <w:rFonts w:ascii="Book Antiqua" w:hAnsi="Book Antiqua" w:cs="Arial"/>
          <w:sz w:val="20"/>
        </w:rPr>
      </w:pPr>
      <w:proofErr w:type="spellStart"/>
      <w:r w:rsidRPr="00427A79">
        <w:rPr>
          <w:rFonts w:ascii="Book Antiqua" w:hAnsi="Book Antiqua" w:cs="Arial"/>
          <w:sz w:val="20"/>
        </w:rPr>
        <w:t>i</w:t>
      </w:r>
      <w:proofErr w:type="spellEnd"/>
      <w:r w:rsidRPr="00427A79">
        <w:rPr>
          <w:rFonts w:ascii="Book Antiqua" w:hAnsi="Book Antiqua" w:cs="Arial"/>
          <w:sz w:val="20"/>
        </w:rPr>
        <w:t>.</w:t>
      </w:r>
      <w:r w:rsidRPr="00427A79">
        <w:rPr>
          <w:rFonts w:ascii="Book Antiqua" w:hAnsi="Book Antiqua" w:cs="Arial"/>
          <w:sz w:val="20"/>
        </w:rPr>
        <w:tab/>
        <w:t>He gave a false name and age when registering for asylum.  I don’t see any satisfactory reason for doing so, or why an agent would advise him so.</w:t>
      </w:r>
    </w:p>
    <w:p w14:paraId="67773EEB" w14:textId="77777777" w:rsidR="007721CA" w:rsidRPr="00427A79" w:rsidRDefault="007721CA" w:rsidP="00427A79">
      <w:pPr>
        <w:spacing w:before="240"/>
        <w:ind w:left="2268" w:right="567" w:hanging="567"/>
        <w:jc w:val="both"/>
        <w:rPr>
          <w:rFonts w:ascii="Book Antiqua" w:hAnsi="Book Antiqua" w:cs="Arial"/>
          <w:sz w:val="20"/>
        </w:rPr>
      </w:pPr>
      <w:r w:rsidRPr="00427A79">
        <w:rPr>
          <w:rFonts w:ascii="Book Antiqua" w:hAnsi="Book Antiqua" w:cs="Arial"/>
          <w:sz w:val="20"/>
        </w:rPr>
        <w:t>ii.</w:t>
      </w:r>
      <w:r w:rsidRPr="00427A79">
        <w:rPr>
          <w:rFonts w:ascii="Book Antiqua" w:hAnsi="Book Antiqua" w:cs="Arial"/>
          <w:sz w:val="20"/>
        </w:rPr>
        <w:tab/>
        <w:t>There are glaring inconsistencies in his account, as follows:</w:t>
      </w:r>
    </w:p>
    <w:p w14:paraId="64B5B0C2" w14:textId="77777777" w:rsidR="007721CA" w:rsidRPr="00427A79" w:rsidRDefault="007721CA" w:rsidP="00427A79">
      <w:pPr>
        <w:spacing w:before="240"/>
        <w:ind w:left="2835" w:right="567" w:hanging="567"/>
        <w:jc w:val="both"/>
        <w:rPr>
          <w:rFonts w:ascii="Book Antiqua" w:hAnsi="Book Antiqua" w:cs="Arial"/>
          <w:sz w:val="20"/>
        </w:rPr>
      </w:pPr>
      <w:r w:rsidRPr="00427A79">
        <w:rPr>
          <w:rFonts w:ascii="Book Antiqua" w:hAnsi="Book Antiqua" w:cs="Arial"/>
          <w:sz w:val="20"/>
        </w:rPr>
        <w:t>a.</w:t>
      </w:r>
      <w:r w:rsidRPr="00427A79">
        <w:rPr>
          <w:rFonts w:ascii="Book Antiqua" w:hAnsi="Book Antiqua" w:cs="Arial"/>
          <w:sz w:val="20"/>
        </w:rPr>
        <w:tab/>
        <w:t>That he either was, or wasn’t in his home village when his mother died in the ISIS bombardment.  This event is not likely to be something he would forget, or be confused about.  He described in one account [Q.42] leaving the village towards the end of August 2015</w:t>
      </w:r>
      <w:r w:rsidR="005B70A9" w:rsidRPr="00427A79">
        <w:rPr>
          <w:rFonts w:ascii="Book Antiqua" w:hAnsi="Book Antiqua" w:cs="Arial"/>
          <w:sz w:val="20"/>
        </w:rPr>
        <w:t xml:space="preserve"> and in another [Q55 and in his statement] he described where mortar bombs fell outside and inside the village and that he ‘</w:t>
      </w:r>
      <w:r w:rsidR="005B70A9" w:rsidRPr="00427A79">
        <w:rPr>
          <w:rFonts w:ascii="Book Antiqua" w:hAnsi="Book Antiqua" w:cs="Arial"/>
          <w:i/>
          <w:sz w:val="20"/>
        </w:rPr>
        <w:t>fled the village</w:t>
      </w:r>
      <w:r w:rsidR="005B70A9" w:rsidRPr="00427A79">
        <w:rPr>
          <w:rFonts w:ascii="Book Antiqua" w:hAnsi="Book Antiqua" w:cs="Arial"/>
          <w:sz w:val="20"/>
        </w:rPr>
        <w:t>’ as a consequence.  However, today in evidence he has directly contradicted that account, stating that he had actually been in Kirkuk with his uncle at the time.</w:t>
      </w:r>
    </w:p>
    <w:p w14:paraId="294AF831" w14:textId="63E40B17" w:rsidR="00493CF6" w:rsidRPr="00427A79" w:rsidRDefault="00493CF6" w:rsidP="00427A79">
      <w:pPr>
        <w:spacing w:before="240"/>
        <w:ind w:left="2835" w:right="567" w:hanging="567"/>
        <w:jc w:val="both"/>
        <w:rPr>
          <w:rFonts w:ascii="Book Antiqua" w:hAnsi="Book Antiqua" w:cs="Arial"/>
          <w:sz w:val="20"/>
        </w:rPr>
      </w:pPr>
      <w:r w:rsidRPr="00427A79">
        <w:rPr>
          <w:rFonts w:ascii="Book Antiqua" w:hAnsi="Book Antiqua" w:cs="Arial"/>
          <w:sz w:val="20"/>
        </w:rPr>
        <w:t>b.</w:t>
      </w:r>
      <w:r w:rsidRPr="00427A79">
        <w:rPr>
          <w:rFonts w:ascii="Book Antiqua" w:hAnsi="Book Antiqua" w:cs="Arial"/>
          <w:sz w:val="20"/>
        </w:rPr>
        <w:tab/>
        <w:t>His uncle’s business is twice described as a ‘mini-supermarket/supermarket’ [Q.5 &amp; Q.67] and that description was not corrected in correspondence following the interview, or in his witness statement.  However, today he describes this location as a food-store, which would have had less public ‘</w:t>
      </w:r>
      <w:r w:rsidRPr="00E974BB">
        <w:rPr>
          <w:rFonts w:ascii="Book Antiqua" w:hAnsi="Book Antiqua" w:cs="Arial"/>
          <w:sz w:val="20"/>
        </w:rPr>
        <w:t>foot</w:t>
      </w:r>
      <w:r w:rsidR="009E7317" w:rsidRPr="00E974BB">
        <w:rPr>
          <w:rFonts w:ascii="Book Antiqua" w:hAnsi="Book Antiqua" w:cs="Arial"/>
          <w:sz w:val="20"/>
        </w:rPr>
        <w:t>f</w:t>
      </w:r>
      <w:r w:rsidRPr="00E974BB">
        <w:rPr>
          <w:rFonts w:ascii="Book Antiqua" w:hAnsi="Book Antiqua" w:cs="Arial"/>
          <w:sz w:val="20"/>
        </w:rPr>
        <w:t xml:space="preserve">all’ </w:t>
      </w:r>
      <w:r w:rsidRPr="00427A79">
        <w:rPr>
          <w:rFonts w:ascii="Book Antiqua" w:hAnsi="Book Antiqua" w:cs="Arial"/>
          <w:sz w:val="20"/>
        </w:rPr>
        <w:t>than a supermarket supporting his argument as to why he didn’t come to the adverse attention of anybody during that time.</w:t>
      </w:r>
    </w:p>
    <w:p w14:paraId="3C2030FD" w14:textId="77777777" w:rsidR="00374184" w:rsidRPr="00427A79" w:rsidRDefault="00374184" w:rsidP="00427A79">
      <w:pPr>
        <w:spacing w:before="240"/>
        <w:ind w:left="2835" w:right="567" w:hanging="567"/>
        <w:jc w:val="both"/>
        <w:rPr>
          <w:rFonts w:ascii="Book Antiqua" w:hAnsi="Book Antiqua" w:cs="Arial"/>
          <w:sz w:val="20"/>
        </w:rPr>
      </w:pPr>
      <w:r w:rsidRPr="00427A79">
        <w:rPr>
          <w:rFonts w:ascii="Book Antiqua" w:hAnsi="Book Antiqua" w:cs="Arial"/>
          <w:sz w:val="20"/>
        </w:rPr>
        <w:t>c.</w:t>
      </w:r>
      <w:r w:rsidRPr="00427A79">
        <w:rPr>
          <w:rFonts w:ascii="Book Antiqua" w:hAnsi="Book Antiqua" w:cs="Arial"/>
          <w:sz w:val="20"/>
        </w:rPr>
        <w:tab/>
        <w:t>He described himself, in interview, as being ‘kicked/thrown out’ by his uncle to explain his apparent lack of communication with him over the six-month period he had been in UK, but contradicted that account today, when challenged as to why somebody who kicked him out would arrange an agent, at no doubt great expense, to get him to UK.  He was also quickly able to make contact with his uncle following his interview, in which contact he was able to obtain further information to support his account.</w:t>
      </w:r>
      <w:r w:rsidR="00ED7B89" w:rsidRPr="00427A79">
        <w:rPr>
          <w:rFonts w:ascii="Book Antiqua" w:hAnsi="Book Antiqua" w:cs="Arial"/>
          <w:sz w:val="20"/>
        </w:rPr>
        <w:t xml:space="preserve">  I don’t consider that he’s telling the truth about the previous lack of contact.</w:t>
      </w:r>
      <w:r w:rsidRPr="00427A79">
        <w:rPr>
          <w:rFonts w:ascii="Book Antiqua" w:hAnsi="Book Antiqua" w:cs="Arial"/>
          <w:sz w:val="20"/>
        </w:rPr>
        <w:t>”</w:t>
      </w:r>
    </w:p>
    <w:p w14:paraId="3A0434CD" w14:textId="77777777" w:rsidR="007721CA" w:rsidRDefault="00E24BA4"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this reasoning, Mr </w:t>
      </w:r>
      <w:proofErr w:type="spellStart"/>
      <w:r>
        <w:rPr>
          <w:rFonts w:ascii="Book Antiqua" w:hAnsi="Book Antiqua" w:cs="Arial"/>
        </w:rPr>
        <w:t>Magennis</w:t>
      </w:r>
      <w:proofErr w:type="spellEnd"/>
      <w:r>
        <w:rPr>
          <w:rFonts w:ascii="Book Antiqua" w:hAnsi="Book Antiqua" w:cs="Arial"/>
        </w:rPr>
        <w:t xml:space="preserve"> submitted that the judge’s reasoning was unsustainable.</w:t>
      </w:r>
    </w:p>
    <w:p w14:paraId="4E6A5C9C" w14:textId="77777777" w:rsidR="00E24BA4" w:rsidRDefault="00E24BA4"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First, as regards para 23(ii)(a) Mr </w:t>
      </w:r>
      <w:proofErr w:type="spellStart"/>
      <w:r>
        <w:rPr>
          <w:rFonts w:ascii="Book Antiqua" w:hAnsi="Book Antiqua" w:cs="Arial"/>
        </w:rPr>
        <w:t>Magennis</w:t>
      </w:r>
      <w:proofErr w:type="spellEnd"/>
      <w:r>
        <w:rPr>
          <w:rFonts w:ascii="Book Antiqua" w:hAnsi="Book Antiqua" w:cs="Arial"/>
        </w:rPr>
        <w:t xml:space="preserve"> set out at para 15 of his skeleton argument his note of the appellant’s evidence at the hearing concerning where he was when his mother was killed as a result of a Daesh bombardment.  The inconsistency is said to be that the appellant said, prior to the hearing, that he fled the village as a result of the bombardment whilst, in is oral evidence at the hearing, he contradicted that by saying that he was actually in Kirkuk with his uncle at the time.  </w:t>
      </w:r>
    </w:p>
    <w:p w14:paraId="616FB917" w14:textId="5CEF9066" w:rsidR="00A246A6" w:rsidRDefault="00A246A6" w:rsidP="008C488C">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Counsel’s note set out at para 15 of Mr </w:t>
      </w:r>
      <w:proofErr w:type="spellStart"/>
      <w:r>
        <w:rPr>
          <w:rFonts w:ascii="Book Antiqua" w:hAnsi="Book Antiqua" w:cs="Arial"/>
        </w:rPr>
        <w:t>Magennis</w:t>
      </w:r>
      <w:proofErr w:type="spellEnd"/>
      <w:r>
        <w:rPr>
          <w:rFonts w:ascii="Book Antiqua" w:hAnsi="Book Antiqua" w:cs="Arial"/>
        </w:rPr>
        <w:t>’ skeleton argument is as follows:</w:t>
      </w:r>
    </w:p>
    <w:p w14:paraId="161CA131" w14:textId="77777777" w:rsidR="00A246A6" w:rsidRPr="00B66768" w:rsidRDefault="00A246A6" w:rsidP="00B66768">
      <w:pPr>
        <w:spacing w:before="240"/>
        <w:ind w:left="1701" w:right="567" w:hanging="567"/>
        <w:jc w:val="both"/>
        <w:rPr>
          <w:rFonts w:ascii="Book Antiqua" w:hAnsi="Book Antiqua" w:cs="Arial"/>
          <w:sz w:val="20"/>
          <w:szCs w:val="20"/>
        </w:rPr>
      </w:pPr>
      <w:r w:rsidRPr="00B66768">
        <w:rPr>
          <w:rFonts w:ascii="Book Antiqua" w:hAnsi="Book Antiqua" w:cs="Arial"/>
          <w:sz w:val="20"/>
          <w:szCs w:val="20"/>
        </w:rPr>
        <w:t>“15.</w:t>
      </w:r>
      <w:r w:rsidRPr="00B66768">
        <w:rPr>
          <w:rFonts w:ascii="Book Antiqua" w:hAnsi="Book Antiqua" w:cs="Arial"/>
          <w:sz w:val="20"/>
          <w:szCs w:val="20"/>
        </w:rPr>
        <w:tab/>
        <w:t>Counsel’s note, which is annexed to this skeleton, provides the following information on what was said at the hearing:</w:t>
      </w:r>
    </w:p>
    <w:p w14:paraId="6360959D" w14:textId="77777777" w:rsidR="00A246A6" w:rsidRPr="00B66768" w:rsidRDefault="00A246A6"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H:</w:t>
      </w:r>
      <w:r w:rsidRPr="00B66768">
        <w:rPr>
          <w:rFonts w:ascii="Book Antiqua" w:hAnsi="Book Antiqua" w:cs="Arial"/>
          <w:sz w:val="20"/>
          <w:szCs w:val="20"/>
        </w:rPr>
        <w:tab/>
        <w:t>After father disappeared in May 2015, continued live with mother, only went live with uncle after mother died, correct isn’t it?</w:t>
      </w:r>
    </w:p>
    <w:p w14:paraId="0B588673" w14:textId="77777777" w:rsidR="00A246A6" w:rsidRPr="00B66768" w:rsidRDefault="00A246A6"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A:</w:t>
      </w:r>
      <w:r w:rsidRPr="00B66768">
        <w:rPr>
          <w:rFonts w:ascii="Book Antiqua" w:hAnsi="Book Antiqua" w:cs="Arial"/>
          <w:sz w:val="20"/>
          <w:szCs w:val="20"/>
        </w:rPr>
        <w:tab/>
        <w:t>As I mentioned earlier, my mother and uncle where advised me to stay with my uncle’s home, because it’s much safer for me.  Much safer when staying with my uncle as well.</w:t>
      </w:r>
    </w:p>
    <w:p w14:paraId="5E2A9828"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J:</w:t>
      </w:r>
      <w:r w:rsidRPr="00B66768">
        <w:rPr>
          <w:rFonts w:ascii="Book Antiqua" w:hAnsi="Book Antiqua" w:cs="Arial"/>
          <w:sz w:val="20"/>
          <w:szCs w:val="20"/>
        </w:rPr>
        <w:tab/>
        <w:t>Not directly answer Q, did he continue living with mother until she herself sadly killed?</w:t>
      </w:r>
    </w:p>
    <w:p w14:paraId="231C2115"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A:</w:t>
      </w:r>
      <w:r w:rsidRPr="00B66768">
        <w:rPr>
          <w:rFonts w:ascii="Book Antiqua" w:hAnsi="Book Antiqua" w:cs="Arial"/>
          <w:sz w:val="20"/>
          <w:szCs w:val="20"/>
        </w:rPr>
        <w:tab/>
        <w:t>Not always, no</w:t>
      </w:r>
    </w:p>
    <w:p w14:paraId="092DE159"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J:</w:t>
      </w:r>
      <w:r w:rsidRPr="00B66768">
        <w:rPr>
          <w:rFonts w:ascii="Book Antiqua" w:hAnsi="Book Antiqua" w:cs="Arial"/>
          <w:sz w:val="20"/>
          <w:szCs w:val="20"/>
        </w:rPr>
        <w:tab/>
        <w:t>For how long?</w:t>
      </w:r>
    </w:p>
    <w:p w14:paraId="402AC815"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A:</w:t>
      </w:r>
      <w:r w:rsidRPr="00B66768">
        <w:rPr>
          <w:rFonts w:ascii="Book Antiqua" w:hAnsi="Book Antiqua" w:cs="Arial"/>
          <w:sz w:val="20"/>
          <w:szCs w:val="20"/>
        </w:rPr>
        <w:tab/>
        <w:t>During these 3 months, I stayed most of the time with my uncle.</w:t>
      </w:r>
    </w:p>
    <w:p w14:paraId="444AA2AC"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 xml:space="preserve">J: </w:t>
      </w:r>
      <w:r w:rsidRPr="00B66768">
        <w:rPr>
          <w:rFonts w:ascii="Book Antiqua" w:hAnsi="Book Antiqua" w:cs="Arial"/>
          <w:sz w:val="20"/>
          <w:szCs w:val="20"/>
        </w:rPr>
        <w:tab/>
        <w:t>In home village when mother killed?</w:t>
      </w:r>
    </w:p>
    <w:p w14:paraId="7E4F808A"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A:</w:t>
      </w:r>
      <w:r w:rsidRPr="00B66768">
        <w:rPr>
          <w:rFonts w:ascii="Book Antiqua" w:hAnsi="Book Antiqua" w:cs="Arial"/>
          <w:sz w:val="20"/>
          <w:szCs w:val="20"/>
        </w:rPr>
        <w:tab/>
        <w:t>I went to open my shop, but I wasn’t there.</w:t>
      </w:r>
    </w:p>
    <w:p w14:paraId="4B032917"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 xml:space="preserve">J: </w:t>
      </w:r>
      <w:r w:rsidRPr="00B66768">
        <w:rPr>
          <w:rFonts w:ascii="Book Antiqua" w:hAnsi="Book Antiqua" w:cs="Arial"/>
          <w:sz w:val="20"/>
          <w:szCs w:val="20"/>
        </w:rPr>
        <w:tab/>
        <w:t>Either he was there or he wasn’t.  Listen to Q and answer Q asked.</w:t>
      </w:r>
    </w:p>
    <w:p w14:paraId="534C340A"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A:</w:t>
      </w:r>
      <w:r w:rsidRPr="00B66768">
        <w:rPr>
          <w:rFonts w:ascii="Book Antiqua" w:hAnsi="Book Antiqua" w:cs="Arial"/>
          <w:sz w:val="20"/>
          <w:szCs w:val="20"/>
        </w:rPr>
        <w:tab/>
        <w:t>Wasn’t in home village when she was killed.</w:t>
      </w:r>
    </w:p>
    <w:p w14:paraId="2D7557EC" w14:textId="77777777" w:rsidR="00C43572" w:rsidRPr="00B66768" w:rsidRDefault="00C43572"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 xml:space="preserve">H: </w:t>
      </w:r>
      <w:r w:rsidRPr="00B66768">
        <w:rPr>
          <w:rFonts w:ascii="Book Antiqua" w:hAnsi="Book Antiqua" w:cs="Arial"/>
          <w:sz w:val="20"/>
          <w:szCs w:val="20"/>
        </w:rPr>
        <w:tab/>
        <w:t>W S p 18, felt vulnerable, working did not feel safe.  You were working to support you and mother?</w:t>
      </w:r>
    </w:p>
    <w:p w14:paraId="09BACEFB" w14:textId="77777777" w:rsidR="00C43572" w:rsidRPr="00B66768" w:rsidRDefault="00B66768" w:rsidP="00B66768">
      <w:pPr>
        <w:spacing w:before="240"/>
        <w:ind w:left="2268" w:right="567" w:hanging="567"/>
        <w:jc w:val="both"/>
        <w:rPr>
          <w:rFonts w:ascii="Book Antiqua" w:hAnsi="Book Antiqua" w:cs="Arial"/>
          <w:sz w:val="20"/>
          <w:szCs w:val="20"/>
        </w:rPr>
      </w:pPr>
      <w:r w:rsidRPr="00B66768">
        <w:rPr>
          <w:rFonts w:ascii="Book Antiqua" w:hAnsi="Book Antiqua" w:cs="Arial"/>
          <w:sz w:val="20"/>
          <w:szCs w:val="20"/>
        </w:rPr>
        <w:t>A:</w:t>
      </w:r>
      <w:r w:rsidRPr="00B66768">
        <w:rPr>
          <w:rFonts w:ascii="Book Antiqua" w:hAnsi="Book Antiqua" w:cs="Arial"/>
          <w:sz w:val="20"/>
          <w:szCs w:val="20"/>
        </w:rPr>
        <w:tab/>
        <w:t>Yes.”</w:t>
      </w:r>
    </w:p>
    <w:p w14:paraId="61378486" w14:textId="77777777" w:rsidR="006D040A" w:rsidRDefault="00822C7C"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Mr Duffy did not suggest this was anything other than an accurate record.  </w:t>
      </w:r>
    </w:p>
    <w:p w14:paraId="5EA32948" w14:textId="494C5A31" w:rsidR="00A246A6" w:rsidRDefault="00B66768"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I accept Mr </w:t>
      </w:r>
      <w:proofErr w:type="spellStart"/>
      <w:r>
        <w:rPr>
          <w:rFonts w:ascii="Book Antiqua" w:hAnsi="Book Antiqua" w:cs="Arial"/>
        </w:rPr>
        <w:t>Magennis</w:t>
      </w:r>
      <w:proofErr w:type="spellEnd"/>
      <w:r>
        <w:rPr>
          <w:rFonts w:ascii="Book Antiqua" w:hAnsi="Book Antiqua" w:cs="Arial"/>
        </w:rPr>
        <w:t xml:space="preserve">’ submission that it is not clear whether the appellant was working outside the village (for his uncle) but still living there or had already moved to his uncle’s.  His oral evidence combines </w:t>
      </w:r>
      <w:r w:rsidR="008D5871">
        <w:rPr>
          <w:rFonts w:ascii="Book Antiqua" w:hAnsi="Book Antiqua" w:cs="Arial"/>
        </w:rPr>
        <w:t>answers</w:t>
      </w:r>
      <w:r>
        <w:rPr>
          <w:rFonts w:ascii="Book Antiqua" w:hAnsi="Book Antiqua" w:cs="Arial"/>
        </w:rPr>
        <w:t xml:space="preserve"> saying that he stayed with his uncle “most of the time” with that he went back to his own village to “open my shop” with an answer that he was not in his “home village” when his mother was killed.  In his asylum interview he said in answer to a question at question 42 that he left his village “for the last time … never went back” towards the end of August 2015 which is the </w:t>
      </w:r>
      <w:r w:rsidR="00F22E50">
        <w:rPr>
          <w:rFonts w:ascii="Book Antiqua" w:hAnsi="Book Antiqua" w:cs="Arial"/>
        </w:rPr>
        <w:t>time</w:t>
      </w:r>
      <w:r>
        <w:rPr>
          <w:rFonts w:ascii="Book Antiqua" w:hAnsi="Book Antiqua" w:cs="Arial"/>
        </w:rPr>
        <w:t xml:space="preserve"> of the Daesh bombardment.  In his statement (at para 20) following that bombardment</w:t>
      </w:r>
      <w:r w:rsidR="00242F77">
        <w:rPr>
          <w:rFonts w:ascii="Book Antiqua" w:hAnsi="Book Antiqua" w:cs="Arial"/>
        </w:rPr>
        <w:t>,</w:t>
      </w:r>
      <w:r>
        <w:rPr>
          <w:rFonts w:ascii="Book Antiqua" w:hAnsi="Book Antiqua" w:cs="Arial"/>
        </w:rPr>
        <w:t xml:space="preserve"> he says he “fled the village” because “there was no life le</w:t>
      </w:r>
      <w:r w:rsidR="00645C65">
        <w:rPr>
          <w:rFonts w:ascii="Book Antiqua" w:hAnsi="Book Antiqua" w:cs="Arial"/>
        </w:rPr>
        <w:t xml:space="preserve">ft for </w:t>
      </w:r>
      <w:r>
        <w:rPr>
          <w:rFonts w:ascii="Book Antiqua" w:hAnsi="Book Antiqua" w:cs="Arial"/>
        </w:rPr>
        <w:t>m</w:t>
      </w:r>
      <w:r w:rsidR="00645C65">
        <w:rPr>
          <w:rFonts w:ascii="Book Antiqua" w:hAnsi="Book Antiqua" w:cs="Arial"/>
        </w:rPr>
        <w:t>e</w:t>
      </w:r>
      <w:r>
        <w:rPr>
          <w:rFonts w:ascii="Book Antiqua" w:hAnsi="Book Antiqua" w:cs="Arial"/>
        </w:rPr>
        <w:t xml:space="preserve">”.  It is not entirely clear to me that the evidence identified the inconsistency relied upon by the judge.  An alternative reading of the evidence is that the appellant ‘finally’ left the village never to return following the bombardment that killed his mother but that prior to that he had moved (albeit on a temporary basis) to live with his uncle and return to his home village to open his shop.  He was not, in fact, in the village when she was killed.  </w:t>
      </w:r>
      <w:r w:rsidR="00242F77">
        <w:rPr>
          <w:rFonts w:ascii="Book Antiqua" w:hAnsi="Book Antiqua" w:cs="Arial"/>
        </w:rPr>
        <w:t>The</w:t>
      </w:r>
      <w:r>
        <w:rPr>
          <w:rFonts w:ascii="Book Antiqua" w:hAnsi="Book Antiqua" w:cs="Arial"/>
        </w:rPr>
        <w:t xml:space="preserve"> alternative reading of that evidence would be that he only ‘left for good’ and therefore ‘fled’ following the bombardment.  However, given the ambiguity in the appellant’s evidence I am not persuaded that the judge’s reasoning is legally flawed in the sense that his conclusion is irrational.</w:t>
      </w:r>
    </w:p>
    <w:p w14:paraId="34738E8A" w14:textId="1ED54284" w:rsidR="00F70770" w:rsidRDefault="00F70770" w:rsidP="008C488C">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That said, however, I accept Mr </w:t>
      </w:r>
      <w:proofErr w:type="spellStart"/>
      <w:r>
        <w:rPr>
          <w:rFonts w:ascii="Book Antiqua" w:hAnsi="Book Antiqua" w:cs="Arial"/>
        </w:rPr>
        <w:t>Magennis</w:t>
      </w:r>
      <w:proofErr w:type="spellEnd"/>
      <w:r>
        <w:rPr>
          <w:rFonts w:ascii="Book Antiqua" w:hAnsi="Book Antiqua" w:cs="Arial"/>
        </w:rPr>
        <w:t xml:space="preserve">’ submissions in relation to the judge’s reasoning in paras 23(ii)(b) and 23(ii)(c). </w:t>
      </w:r>
    </w:p>
    <w:p w14:paraId="503026BD" w14:textId="3F0A7531" w:rsidR="00740A4A" w:rsidRDefault="00740A4A" w:rsidP="008C488C">
      <w:pPr>
        <w:numPr>
          <w:ilvl w:val="0"/>
          <w:numId w:val="1"/>
        </w:numPr>
        <w:tabs>
          <w:tab w:val="clear" w:pos="567"/>
        </w:tabs>
        <w:spacing w:before="240"/>
        <w:jc w:val="both"/>
        <w:rPr>
          <w:rFonts w:ascii="Book Antiqua" w:hAnsi="Book Antiqua" w:cs="Arial"/>
        </w:rPr>
      </w:pPr>
      <w:r>
        <w:rPr>
          <w:rFonts w:ascii="Book Antiqua" w:hAnsi="Book Antiqua" w:cs="Arial"/>
        </w:rPr>
        <w:t>As regards the former, it is clear that the appellant at question 5 and question 67 of his asylum interview describes his uncle’s business as respectively a “mini-supermarket</w:t>
      </w:r>
      <w:r w:rsidR="00EE43E0">
        <w:rPr>
          <w:rFonts w:ascii="Book Antiqua" w:hAnsi="Book Antiqua" w:cs="Arial"/>
        </w:rPr>
        <w:t xml:space="preserve"> selling food” and a “supermarket”.  In his oral evidence, the appellant described it as a “food-store” which operated on a wholesale basis.  In my judgment, it was not rationally open to the judge to conclude that this was an inconsistency which, in effect, had been the result of the appellant changing his account in order to explain why, when working at his uncle’s store, he had not come to the adverse attention of anyone.  The appellant ha</w:t>
      </w:r>
      <w:r w:rsidR="00A70BFF">
        <w:rPr>
          <w:rFonts w:ascii="Book Antiqua" w:hAnsi="Book Antiqua" w:cs="Arial"/>
        </w:rPr>
        <w:t>s</w:t>
      </w:r>
      <w:r w:rsidR="00EE43E0">
        <w:rPr>
          <w:rFonts w:ascii="Book Antiqua" w:hAnsi="Book Antiqua" w:cs="Arial"/>
        </w:rPr>
        <w:t xml:space="preserve"> never said that he worked in a supermarket of the sort that might immediately spring to the mind of a person living in the UK with experience of domestic supermarkets</w:t>
      </w:r>
      <w:r w:rsidR="00A70BFF">
        <w:rPr>
          <w:rFonts w:ascii="Book Antiqua" w:hAnsi="Book Antiqua" w:cs="Arial"/>
        </w:rPr>
        <w:t>: (</w:t>
      </w:r>
      <w:r w:rsidR="00D82C59">
        <w:rPr>
          <w:rFonts w:ascii="Book Antiqua" w:hAnsi="Book Antiqua" w:cs="Arial"/>
        </w:rPr>
        <w:t xml:space="preserve">with a level of public </w:t>
      </w:r>
      <w:r w:rsidR="00DC2BB7">
        <w:rPr>
          <w:rFonts w:ascii="Book Antiqua" w:hAnsi="Book Antiqua" w:cs="Arial"/>
        </w:rPr>
        <w:t>“</w:t>
      </w:r>
      <w:r w:rsidR="00D82C59" w:rsidRPr="00E974BB">
        <w:rPr>
          <w:rFonts w:ascii="Book Antiqua" w:hAnsi="Book Antiqua" w:cs="Arial"/>
        </w:rPr>
        <w:t>footfall</w:t>
      </w:r>
      <w:r w:rsidR="00D82C59">
        <w:rPr>
          <w:rFonts w:ascii="Book Antiqua" w:hAnsi="Book Antiqua" w:cs="Arial"/>
        </w:rPr>
        <w:t>”)</w:t>
      </w:r>
      <w:r w:rsidR="00EE43E0">
        <w:rPr>
          <w:rFonts w:ascii="Book Antiqua" w:hAnsi="Book Antiqua" w:cs="Arial"/>
        </w:rPr>
        <w:t xml:space="preserve"> The notion of a wholesale market or supermarket is far from implausible.  </w:t>
      </w:r>
    </w:p>
    <w:p w14:paraId="624AFBFF" w14:textId="2827F6C7" w:rsidR="001959BC" w:rsidRDefault="001959BC" w:rsidP="008C488C">
      <w:pPr>
        <w:numPr>
          <w:ilvl w:val="0"/>
          <w:numId w:val="1"/>
        </w:numPr>
        <w:tabs>
          <w:tab w:val="clear" w:pos="567"/>
        </w:tabs>
        <w:spacing w:before="240"/>
        <w:jc w:val="both"/>
        <w:rPr>
          <w:rFonts w:ascii="Book Antiqua" w:hAnsi="Book Antiqua" w:cs="Arial"/>
        </w:rPr>
      </w:pPr>
      <w:r>
        <w:rPr>
          <w:rFonts w:ascii="Book Antiqua" w:hAnsi="Book Antiqua" w:cs="Arial"/>
        </w:rPr>
        <w:t>As regards para 23(ii)(c), the judge, in my view, placed undue weight upon the English idiomatic expression used in the appellant’s answer at question 75 of his interview that his uncle “kicked me out</w:t>
      </w:r>
      <w:r w:rsidR="00C348C6">
        <w:rPr>
          <w:rFonts w:ascii="Book Antiqua" w:hAnsi="Book Antiqua" w:cs="Arial"/>
        </w:rPr>
        <w:t>”</w:t>
      </w:r>
      <w:r>
        <w:rPr>
          <w:rFonts w:ascii="Book Antiqua" w:hAnsi="Book Antiqua" w:cs="Arial"/>
        </w:rPr>
        <w:t xml:space="preserve"> or </w:t>
      </w:r>
      <w:r w:rsidR="00C348C6">
        <w:rPr>
          <w:rFonts w:ascii="Book Antiqua" w:hAnsi="Book Antiqua" w:cs="Arial"/>
        </w:rPr>
        <w:t>“</w:t>
      </w:r>
      <w:r>
        <w:rPr>
          <w:rFonts w:ascii="Book Antiqua" w:hAnsi="Book Antiqua" w:cs="Arial"/>
        </w:rPr>
        <w:t>threw me out”.  There was nothing inevitably inconsistent in the appellant saying that his uncle wished him to leave and at the same time assisted him, by paying an agent, to facilitate his travel out of Iraq.</w:t>
      </w:r>
      <w:r w:rsidR="000919F4">
        <w:rPr>
          <w:rFonts w:ascii="Book Antiqua" w:hAnsi="Book Antiqua" w:cs="Arial"/>
        </w:rPr>
        <w:t xml:space="preserve">  There is nothing to suggest that the appellant was saying that his uncle forcibly removed him from his home.  The idiomatic translation would equally cover, for instance, a situation in the UK where a parent felt it was time for an adult child to ‘fly the nest’ and that child describing the experience as his parents ‘throwing or kicking him out’.</w:t>
      </w:r>
    </w:p>
    <w:p w14:paraId="71B24F95" w14:textId="77777777" w:rsidR="00EC0007" w:rsidRDefault="00EC0007"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Consequently, two of the three reasons given by the judge for his adverse credibility finding in para 23 are unsustainable and, at least in some regard, the third reason is far from solid.  That, in my judgment, materially undermined the judge’s overall adverse credibility finding.  </w:t>
      </w:r>
    </w:p>
    <w:p w14:paraId="60A4012F" w14:textId="77777777" w:rsidR="00EC0007" w:rsidRDefault="00EC0007"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Magennis</w:t>
      </w:r>
      <w:proofErr w:type="spellEnd"/>
      <w:r>
        <w:rPr>
          <w:rFonts w:ascii="Book Antiqua" w:hAnsi="Book Antiqua" w:cs="Arial"/>
        </w:rPr>
        <w:t xml:space="preserve"> also challenged the judge’s reasoning relating, specifically to the appellant’s claim based upon his father’s involvement with the Ba’ath Party.  At para 25 the judge said this:</w:t>
      </w:r>
    </w:p>
    <w:p w14:paraId="0ECE643C" w14:textId="77777777" w:rsidR="00EC0007" w:rsidRPr="00BB3D05" w:rsidRDefault="00EC0007" w:rsidP="00CA2F56">
      <w:pPr>
        <w:spacing w:before="240"/>
        <w:ind w:left="1701" w:right="567" w:hanging="567"/>
        <w:jc w:val="both"/>
        <w:rPr>
          <w:rFonts w:ascii="Book Antiqua" w:hAnsi="Book Antiqua" w:cs="Arial"/>
          <w:sz w:val="20"/>
          <w:szCs w:val="20"/>
        </w:rPr>
      </w:pPr>
      <w:r w:rsidRPr="00BB3D05">
        <w:rPr>
          <w:rFonts w:ascii="Book Antiqua" w:hAnsi="Book Antiqua" w:cs="Arial"/>
          <w:sz w:val="20"/>
          <w:szCs w:val="20"/>
        </w:rPr>
        <w:t>“25.</w:t>
      </w:r>
      <w:r w:rsidRPr="00BB3D05">
        <w:rPr>
          <w:rFonts w:ascii="Book Antiqua" w:hAnsi="Book Antiqua" w:cs="Arial"/>
          <w:sz w:val="20"/>
          <w:szCs w:val="20"/>
        </w:rPr>
        <w:tab/>
      </w:r>
      <w:r w:rsidR="009C1046" w:rsidRPr="00BB3D05">
        <w:rPr>
          <w:rFonts w:ascii="Book Antiqua" w:hAnsi="Book Antiqua" w:cs="Arial"/>
          <w:sz w:val="20"/>
          <w:szCs w:val="20"/>
          <w:u w:val="single"/>
        </w:rPr>
        <w:t>Direct threat because of his father’s past</w:t>
      </w:r>
      <w:r w:rsidR="009C1046" w:rsidRPr="00BB3D05">
        <w:rPr>
          <w:rFonts w:ascii="Book Antiqua" w:hAnsi="Book Antiqua" w:cs="Arial"/>
          <w:sz w:val="20"/>
          <w:szCs w:val="20"/>
        </w:rPr>
        <w:t>.  I do not accept that there is a real risk to the Appellant because of his father’s past, for the following reasons:</w:t>
      </w:r>
    </w:p>
    <w:p w14:paraId="1EE80473" w14:textId="77777777" w:rsidR="009C1046" w:rsidRPr="00BB3D05" w:rsidRDefault="009C1046" w:rsidP="00CA2F56">
      <w:pPr>
        <w:spacing w:before="240"/>
        <w:ind w:left="2268" w:right="567" w:hanging="567"/>
        <w:jc w:val="both"/>
        <w:rPr>
          <w:rFonts w:ascii="Book Antiqua" w:hAnsi="Book Antiqua" w:cs="Arial"/>
          <w:sz w:val="20"/>
          <w:szCs w:val="20"/>
        </w:rPr>
      </w:pPr>
      <w:proofErr w:type="spellStart"/>
      <w:r w:rsidRPr="00BB3D05">
        <w:rPr>
          <w:rFonts w:ascii="Book Antiqua" w:hAnsi="Book Antiqua" w:cs="Arial"/>
          <w:sz w:val="20"/>
          <w:szCs w:val="20"/>
        </w:rPr>
        <w:t>i</w:t>
      </w:r>
      <w:proofErr w:type="spellEnd"/>
      <w:r w:rsidRPr="00BB3D05">
        <w:rPr>
          <w:rFonts w:ascii="Book Antiqua" w:hAnsi="Book Antiqua" w:cs="Arial"/>
          <w:sz w:val="20"/>
          <w:szCs w:val="20"/>
        </w:rPr>
        <w:t>.</w:t>
      </w:r>
      <w:r w:rsidRPr="00BB3D05">
        <w:rPr>
          <w:rFonts w:ascii="Book Antiqua" w:hAnsi="Book Antiqua" w:cs="Arial"/>
          <w:sz w:val="20"/>
          <w:szCs w:val="20"/>
        </w:rPr>
        <w:tab/>
        <w:t>He was unable to provide any corroborative evidence whatsoever as to his father’s activities and indeed</w:t>
      </w:r>
      <w:r w:rsidR="00337F90" w:rsidRPr="00BB3D05">
        <w:rPr>
          <w:rFonts w:ascii="Book Antiqua" w:hAnsi="Book Antiqua" w:cs="Arial"/>
          <w:sz w:val="20"/>
          <w:szCs w:val="20"/>
        </w:rPr>
        <w:t>,</w:t>
      </w:r>
      <w:r w:rsidRPr="00BB3D05">
        <w:rPr>
          <w:rFonts w:ascii="Book Antiqua" w:hAnsi="Book Antiqua" w:cs="Arial"/>
          <w:sz w:val="20"/>
          <w:szCs w:val="20"/>
        </w:rPr>
        <w:t xml:space="preserve"> even reliant on his own evidence, could not provide details of a single incident involving his father that might inspire such </w:t>
      </w:r>
      <w:r w:rsidR="007E2845" w:rsidRPr="00BB3D05">
        <w:rPr>
          <w:rFonts w:ascii="Book Antiqua" w:hAnsi="Book Antiqua" w:cs="Arial"/>
          <w:sz w:val="20"/>
          <w:szCs w:val="20"/>
        </w:rPr>
        <w:t xml:space="preserve">revenge against him.  His information was entirely second-hand from his uncle and even </w:t>
      </w:r>
      <w:proofErr w:type="gramStart"/>
      <w:r w:rsidR="007E2845" w:rsidRPr="00BB3D05">
        <w:rPr>
          <w:rFonts w:ascii="Book Antiqua" w:hAnsi="Book Antiqua" w:cs="Arial"/>
          <w:sz w:val="20"/>
          <w:szCs w:val="20"/>
        </w:rPr>
        <w:t>then</w:t>
      </w:r>
      <w:proofErr w:type="gramEnd"/>
      <w:r w:rsidR="007E2845" w:rsidRPr="00BB3D05">
        <w:rPr>
          <w:rFonts w:ascii="Book Antiqua" w:hAnsi="Book Antiqua" w:cs="Arial"/>
          <w:sz w:val="20"/>
          <w:szCs w:val="20"/>
        </w:rPr>
        <w:t xml:space="preserve"> sketchy in the extreme.  That information was only expanded upon following his contact with his uncle after his asylum interview, when, strangely, he would have had ample opportunity while in Kirkuk, living with his uncle, to discuss such matters, implying to me that he felt, following the interview that more material was needed on this issue.  I note my findings above as to his credibility.</w:t>
      </w:r>
    </w:p>
    <w:p w14:paraId="45FF8186" w14:textId="77777777" w:rsidR="007E2845" w:rsidRPr="00BB3D05" w:rsidRDefault="007E2845" w:rsidP="00CA2F56">
      <w:pPr>
        <w:spacing w:before="240"/>
        <w:ind w:left="2268" w:right="567" w:hanging="567"/>
        <w:jc w:val="both"/>
        <w:rPr>
          <w:rFonts w:ascii="Book Antiqua" w:hAnsi="Book Antiqua" w:cs="Arial"/>
          <w:sz w:val="20"/>
          <w:szCs w:val="20"/>
        </w:rPr>
      </w:pPr>
      <w:r w:rsidRPr="00BB3D05">
        <w:rPr>
          <w:rFonts w:ascii="Book Antiqua" w:hAnsi="Book Antiqua" w:cs="Arial"/>
          <w:sz w:val="20"/>
          <w:szCs w:val="20"/>
        </w:rPr>
        <w:t>ii.</w:t>
      </w:r>
      <w:r w:rsidRPr="00BB3D05">
        <w:rPr>
          <w:rFonts w:ascii="Book Antiqua" w:hAnsi="Book Antiqua" w:cs="Arial"/>
          <w:sz w:val="20"/>
          <w:szCs w:val="20"/>
        </w:rPr>
        <w:tab/>
        <w:t xml:space="preserve">On his own evidence, his father had no position of real rank.  As a shepherd, it would seem implausible that he could have attained a position that would </w:t>
      </w:r>
      <w:r w:rsidRPr="00BB3D05">
        <w:rPr>
          <w:rFonts w:ascii="Book Antiqua" w:hAnsi="Book Antiqua" w:cs="Arial"/>
          <w:sz w:val="20"/>
          <w:szCs w:val="20"/>
        </w:rPr>
        <w:lastRenderedPageBreak/>
        <w:t>mark him out.  No information was provided on what or whom he was ‘spying’ on.</w:t>
      </w:r>
    </w:p>
    <w:p w14:paraId="7618D209" w14:textId="77777777" w:rsidR="002C0160" w:rsidRPr="00BB3D05" w:rsidRDefault="002C0160" w:rsidP="00CA2F56">
      <w:pPr>
        <w:spacing w:before="240"/>
        <w:ind w:left="2268" w:right="567" w:hanging="567"/>
        <w:jc w:val="both"/>
        <w:rPr>
          <w:rFonts w:ascii="Book Antiqua" w:hAnsi="Book Antiqua" w:cs="Arial"/>
          <w:sz w:val="20"/>
          <w:szCs w:val="20"/>
        </w:rPr>
      </w:pPr>
      <w:r w:rsidRPr="00BB3D05">
        <w:rPr>
          <w:rFonts w:ascii="Book Antiqua" w:hAnsi="Book Antiqua" w:cs="Arial"/>
          <w:sz w:val="20"/>
          <w:szCs w:val="20"/>
        </w:rPr>
        <w:t>iii.</w:t>
      </w:r>
      <w:r w:rsidRPr="00BB3D05">
        <w:rPr>
          <w:rFonts w:ascii="Book Antiqua" w:hAnsi="Book Antiqua" w:cs="Arial"/>
          <w:sz w:val="20"/>
          <w:szCs w:val="20"/>
        </w:rPr>
        <w:tab/>
        <w:t>The fact that his father’s alleged activities took place at least over twelve years before his disappearance and if based on the dates of the Anfal Campaign, even longer ago than that.  It seems inherently unlikely therefore that if there were persons who wished him harm for such activities that it would have taken them at least fifteen years to put such wishes into effect, or at leas</w:t>
      </w:r>
      <w:r w:rsidR="00337F90" w:rsidRPr="00BB3D05">
        <w:rPr>
          <w:rFonts w:ascii="Book Antiqua" w:hAnsi="Book Antiqua" w:cs="Arial"/>
          <w:sz w:val="20"/>
          <w:szCs w:val="20"/>
        </w:rPr>
        <w:t>t</w:t>
      </w:r>
      <w:r w:rsidRPr="00BB3D05">
        <w:rPr>
          <w:rFonts w:ascii="Book Antiqua" w:hAnsi="Book Antiqua" w:cs="Arial"/>
          <w:sz w:val="20"/>
          <w:szCs w:val="20"/>
        </w:rPr>
        <w:t xml:space="preserve"> to have threatened him before then.  The explanation as to the local politician protecting him only came to light after the asylum interview and I again query the credibility of that account, both because it would seem to have been something that the Appellant should have become aware while living with his uncle and therefore information he could have given in interview and also because I find implausible that anybody in Iraq could provide such effective protection against determined assailants.</w:t>
      </w:r>
    </w:p>
    <w:p w14:paraId="313E93BD" w14:textId="77777777" w:rsidR="00962524" w:rsidRPr="00BB3D05" w:rsidRDefault="00962524" w:rsidP="00CA2F56">
      <w:pPr>
        <w:spacing w:before="240"/>
        <w:ind w:left="2268" w:right="567" w:hanging="567"/>
        <w:jc w:val="both"/>
        <w:rPr>
          <w:rFonts w:ascii="Book Antiqua" w:hAnsi="Book Antiqua" w:cs="Arial"/>
          <w:sz w:val="20"/>
          <w:szCs w:val="20"/>
        </w:rPr>
      </w:pPr>
      <w:r w:rsidRPr="00BB3D05">
        <w:rPr>
          <w:rFonts w:ascii="Book Antiqua" w:hAnsi="Book Antiqua" w:cs="Arial"/>
          <w:sz w:val="20"/>
          <w:szCs w:val="20"/>
        </w:rPr>
        <w:t>iv.</w:t>
      </w:r>
      <w:r w:rsidRPr="00BB3D05">
        <w:rPr>
          <w:rFonts w:ascii="Book Antiqua" w:hAnsi="Book Antiqua" w:cs="Arial"/>
          <w:sz w:val="20"/>
          <w:szCs w:val="20"/>
        </w:rPr>
        <w:tab/>
        <w:t xml:space="preserve">The fact that despite the appellant’s distinctive appearance and living (at least on and off) in his home village after his father’s disappearance and working in a shop there, he was never approached or threatened.  Also, he spent nine months in Kirkuk, working </w:t>
      </w:r>
      <w:r w:rsidR="00C31F18" w:rsidRPr="00BB3D05">
        <w:rPr>
          <w:rFonts w:ascii="Book Antiqua" w:hAnsi="Book Antiqua" w:cs="Arial"/>
          <w:sz w:val="20"/>
          <w:szCs w:val="20"/>
        </w:rPr>
        <w:t>and living in a position as I find more likely, in a supermarket and therefore again if there were those who wished him harm, they had ample opportunity, but did not take it, or even threaten him.  The Appellant did not elaborate on the concerns his uncle felt at the point it was decided he should leave Iraq, but it is clear that no specific threat</w:t>
      </w:r>
      <w:r w:rsidR="00337F90" w:rsidRPr="00BB3D05">
        <w:rPr>
          <w:rFonts w:ascii="Book Antiqua" w:hAnsi="Book Antiqua" w:cs="Arial"/>
          <w:sz w:val="20"/>
          <w:szCs w:val="20"/>
        </w:rPr>
        <w:t xml:space="preserve"> was made, or incident occurred.</w:t>
      </w:r>
      <w:r w:rsidR="00C31F18" w:rsidRPr="00BB3D05">
        <w:rPr>
          <w:rFonts w:ascii="Book Antiqua" w:hAnsi="Book Antiqua" w:cs="Arial"/>
          <w:sz w:val="20"/>
          <w:szCs w:val="20"/>
        </w:rPr>
        <w:t>”</w:t>
      </w:r>
    </w:p>
    <w:p w14:paraId="5E849446" w14:textId="27EF627B" w:rsidR="00CB0A01" w:rsidRPr="001A60B8" w:rsidRDefault="00EC0007" w:rsidP="008C488C">
      <w:pPr>
        <w:numPr>
          <w:ilvl w:val="0"/>
          <w:numId w:val="1"/>
        </w:numPr>
        <w:tabs>
          <w:tab w:val="clear" w:pos="567"/>
        </w:tabs>
        <w:spacing w:before="240"/>
        <w:jc w:val="both"/>
        <w:rPr>
          <w:rFonts w:ascii="Book Antiqua" w:hAnsi="Book Antiqua" w:cs="Arial"/>
        </w:rPr>
      </w:pPr>
      <w:r w:rsidRPr="001A60B8">
        <w:rPr>
          <w:rFonts w:ascii="Book Antiqua" w:hAnsi="Book Antiqua" w:cs="Arial"/>
        </w:rPr>
        <w:t xml:space="preserve">Mr </w:t>
      </w:r>
      <w:proofErr w:type="spellStart"/>
      <w:r w:rsidRPr="001A60B8">
        <w:rPr>
          <w:rFonts w:ascii="Book Antiqua" w:hAnsi="Book Antiqua" w:cs="Arial"/>
        </w:rPr>
        <w:t>Magennis</w:t>
      </w:r>
      <w:proofErr w:type="spellEnd"/>
      <w:r w:rsidRPr="001A60B8">
        <w:rPr>
          <w:rFonts w:ascii="Book Antiqua" w:hAnsi="Book Antiqua" w:cs="Arial"/>
        </w:rPr>
        <w:t xml:space="preserve"> submitted that the judge had been wrong to expect the appellant to obtain corroboration of his father’s activities as a spy: that was unreasonable (see ground (f)).  Secondly, Mr </w:t>
      </w:r>
      <w:proofErr w:type="spellStart"/>
      <w:r w:rsidRPr="001A60B8">
        <w:rPr>
          <w:rFonts w:ascii="Book Antiqua" w:hAnsi="Book Antiqua" w:cs="Arial"/>
        </w:rPr>
        <w:t>Magennis</w:t>
      </w:r>
      <w:proofErr w:type="spellEnd"/>
      <w:r w:rsidRPr="001A60B8">
        <w:rPr>
          <w:rFonts w:ascii="Book Antiqua" w:hAnsi="Book Antiqua" w:cs="Arial"/>
        </w:rPr>
        <w:t xml:space="preserve"> submitted that the judge had placed too much weight upon the “rank” of the appellant’s father as exposing him to a well-founded risk of persecution.  And that it was implausible that his father would be both a “shepherd” and a “spy” (see grounds (a) and (g)).  Thirdly, the judge had been wrong to conclude that, as the appellant had not experienced persecution in the past, then he had </w:t>
      </w:r>
      <w:r w:rsidR="00CB0A01" w:rsidRPr="001A60B8">
        <w:rPr>
          <w:rFonts w:ascii="Book Antiqua" w:hAnsi="Book Antiqua" w:cs="Arial"/>
        </w:rPr>
        <w:t>not established a well-founded persecution fear in the future (ground (b)).</w:t>
      </w:r>
      <w:r w:rsidR="001A60B8">
        <w:rPr>
          <w:rFonts w:ascii="Book Antiqua" w:hAnsi="Book Antiqua" w:cs="Arial"/>
        </w:rPr>
        <w:t xml:space="preserve"> </w:t>
      </w:r>
      <w:r w:rsidR="00CB0A01" w:rsidRPr="001A60B8">
        <w:rPr>
          <w:rFonts w:ascii="Book Antiqua" w:hAnsi="Book Antiqua" w:cs="Arial"/>
        </w:rPr>
        <w:t xml:space="preserve">Finally, Mr </w:t>
      </w:r>
      <w:proofErr w:type="spellStart"/>
      <w:r w:rsidR="00CB0A01" w:rsidRPr="001A60B8">
        <w:rPr>
          <w:rFonts w:ascii="Book Antiqua" w:hAnsi="Book Antiqua" w:cs="Arial"/>
        </w:rPr>
        <w:t>Magennis</w:t>
      </w:r>
      <w:proofErr w:type="spellEnd"/>
      <w:r w:rsidR="00CB0A01" w:rsidRPr="001A60B8">
        <w:rPr>
          <w:rFonts w:ascii="Book Antiqua" w:hAnsi="Book Antiqua" w:cs="Arial"/>
        </w:rPr>
        <w:t xml:space="preserve"> submitted that the judge had failed to find whether or not he believed that the appellant’s father had disappeared as he claimed in May 2015 which was relevant to the factual matrix giving rise to the claimed risk to the appellant.</w:t>
      </w:r>
    </w:p>
    <w:p w14:paraId="1F391833" w14:textId="77777777" w:rsidR="00151580" w:rsidRDefault="00151580" w:rsidP="008C488C">
      <w:pPr>
        <w:numPr>
          <w:ilvl w:val="0"/>
          <w:numId w:val="1"/>
        </w:numPr>
        <w:tabs>
          <w:tab w:val="clear" w:pos="567"/>
        </w:tabs>
        <w:spacing w:before="240"/>
        <w:jc w:val="both"/>
        <w:rPr>
          <w:rFonts w:ascii="Book Antiqua" w:hAnsi="Book Antiqua" w:cs="Arial"/>
        </w:rPr>
      </w:pPr>
      <w:r>
        <w:rPr>
          <w:rFonts w:ascii="Book Antiqua" w:hAnsi="Book Antiqua" w:cs="Arial"/>
        </w:rPr>
        <w:t>Mr Duffy submitted that the judge gave reasoned findings which were properly open to him.</w:t>
      </w:r>
    </w:p>
    <w:p w14:paraId="111E356A" w14:textId="77777777" w:rsidR="00E33D89" w:rsidRDefault="00151580"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In my judgment, some of Mr </w:t>
      </w:r>
      <w:proofErr w:type="spellStart"/>
      <w:r>
        <w:rPr>
          <w:rFonts w:ascii="Book Antiqua" w:hAnsi="Book Antiqua" w:cs="Arial"/>
        </w:rPr>
        <w:t>Magennis</w:t>
      </w:r>
      <w:proofErr w:type="spellEnd"/>
      <w:r>
        <w:rPr>
          <w:rFonts w:ascii="Book Antiqua" w:hAnsi="Book Antiqua" w:cs="Arial"/>
        </w:rPr>
        <w:t xml:space="preserve">’ points are persuasive whilst others are not.  </w:t>
      </w:r>
    </w:p>
    <w:p w14:paraId="7D995B8C" w14:textId="77777777" w:rsidR="00E33D89" w:rsidRDefault="00151580"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First, the judge was entitled to take into account the vagueness of the appellant’s knowledge about his father’s claimed activities as a spy.  </w:t>
      </w:r>
      <w:r w:rsidR="00C65BD5">
        <w:rPr>
          <w:rFonts w:ascii="Book Antiqua" w:hAnsi="Book Antiqua" w:cs="Arial"/>
        </w:rPr>
        <w:t>It was</w:t>
      </w:r>
      <w:r>
        <w:rPr>
          <w:rFonts w:ascii="Book Antiqua" w:hAnsi="Book Antiqua" w:cs="Arial"/>
        </w:rPr>
        <w:t xml:space="preserve"> not just that his father had not told him but, it would appear, had not shared any information with the appellant’s uncle with whom the appellant lived on his own evidence for some time.  </w:t>
      </w:r>
    </w:p>
    <w:p w14:paraId="3E26A3A1" w14:textId="77777777" w:rsidR="00E33D89" w:rsidRDefault="00151580"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Secondly, I do not accept Mr </w:t>
      </w:r>
      <w:proofErr w:type="spellStart"/>
      <w:r>
        <w:rPr>
          <w:rFonts w:ascii="Book Antiqua" w:hAnsi="Book Antiqua" w:cs="Arial"/>
        </w:rPr>
        <w:t>Magennis</w:t>
      </w:r>
      <w:proofErr w:type="spellEnd"/>
      <w:r>
        <w:rPr>
          <w:rFonts w:ascii="Book Antiqua" w:hAnsi="Book Antiqua" w:cs="Arial"/>
        </w:rPr>
        <w:t xml:space="preserve">’ submission that the judge reasoned that simply because the appellant could not establish any past persecution against himself then he could not establish a real risk of persecution in the future.  The point being made by the judge in para 25(iv) was that those whom the appellant now claimed to fear had not previously threatened or taken any action against him even though they </w:t>
      </w:r>
      <w:r>
        <w:rPr>
          <w:rFonts w:ascii="Book Antiqua" w:hAnsi="Book Antiqua" w:cs="Arial"/>
        </w:rPr>
        <w:lastRenderedPageBreak/>
        <w:t xml:space="preserve">had “ample opportunity” to do so.  That is a perfectly proper factor to take into account – namely whether the claimed persecutors given past opportunity have shown no interest in the appellant – in assessing whether they would show any interest in him in the future.  </w:t>
      </w:r>
    </w:p>
    <w:p w14:paraId="23E62F3D" w14:textId="77777777" w:rsidR="00D76F7A" w:rsidRDefault="00C33228" w:rsidP="008C488C">
      <w:pPr>
        <w:numPr>
          <w:ilvl w:val="0"/>
          <w:numId w:val="1"/>
        </w:numPr>
        <w:tabs>
          <w:tab w:val="clear" w:pos="567"/>
        </w:tabs>
        <w:spacing w:before="240"/>
        <w:jc w:val="both"/>
        <w:rPr>
          <w:rFonts w:ascii="Book Antiqua" w:hAnsi="Book Antiqua" w:cs="Arial"/>
        </w:rPr>
      </w:pPr>
      <w:r>
        <w:rPr>
          <w:rFonts w:ascii="Book Antiqua" w:hAnsi="Book Antiqua" w:cs="Arial"/>
        </w:rPr>
        <w:t xml:space="preserve">Thirdly, however, it is not clear to me on what basis the judge found that it was “implausible” that a “shepherd” would not also be a “spy” as a member of the Ba’ath Party spying on Kurds nearby.  Is that so inherently implausible such that the judge’s reasoning was rationally open to him?  </w:t>
      </w:r>
      <w:r w:rsidR="00BE6AFB">
        <w:rPr>
          <w:rFonts w:ascii="Book Antiqua" w:hAnsi="Book Antiqua" w:cs="Arial"/>
        </w:rPr>
        <w:t xml:space="preserve">A “spy” </w:t>
      </w:r>
      <w:r w:rsidR="00304A73">
        <w:rPr>
          <w:rFonts w:ascii="Book Antiqua" w:hAnsi="Book Antiqua" w:cs="Arial"/>
        </w:rPr>
        <w:t xml:space="preserve">or a person “spying” </w:t>
      </w:r>
      <w:r w:rsidR="00BE6AFB">
        <w:rPr>
          <w:rFonts w:ascii="Book Antiqua" w:hAnsi="Book Antiqua" w:cs="Arial"/>
        </w:rPr>
        <w:t xml:space="preserve">may be </w:t>
      </w:r>
      <w:r w:rsidR="007A7BBD">
        <w:rPr>
          <w:rFonts w:ascii="Book Antiqua" w:hAnsi="Book Antiqua" w:cs="Arial"/>
        </w:rPr>
        <w:t xml:space="preserve">no more than </w:t>
      </w:r>
      <w:r w:rsidR="00BE6AFB">
        <w:rPr>
          <w:rFonts w:ascii="Book Antiqua" w:hAnsi="Book Antiqua" w:cs="Arial"/>
        </w:rPr>
        <w:t xml:space="preserve">an informant </w:t>
      </w:r>
      <w:r w:rsidR="007A7BBD">
        <w:rPr>
          <w:rFonts w:ascii="Book Antiqua" w:hAnsi="Book Antiqua" w:cs="Arial"/>
        </w:rPr>
        <w:t xml:space="preserve">passing on what he learns in his everyday life </w:t>
      </w:r>
      <w:r w:rsidR="00D07A67">
        <w:rPr>
          <w:rFonts w:ascii="Book Antiqua" w:hAnsi="Book Antiqua" w:cs="Arial"/>
        </w:rPr>
        <w:t>without</w:t>
      </w:r>
      <w:r w:rsidR="00BE6AFB">
        <w:rPr>
          <w:rFonts w:ascii="Book Antiqua" w:hAnsi="Book Antiqua" w:cs="Arial"/>
        </w:rPr>
        <w:t xml:space="preserve"> </w:t>
      </w:r>
      <w:r w:rsidR="00304A73">
        <w:rPr>
          <w:rFonts w:ascii="Book Antiqua" w:hAnsi="Book Antiqua" w:cs="Arial"/>
        </w:rPr>
        <w:t>embodying</w:t>
      </w:r>
      <w:r w:rsidR="00BE6AFB">
        <w:rPr>
          <w:rFonts w:ascii="Book Antiqua" w:hAnsi="Book Antiqua" w:cs="Arial"/>
        </w:rPr>
        <w:t xml:space="preserve"> the </w:t>
      </w:r>
      <w:r w:rsidR="00D07A67">
        <w:rPr>
          <w:rFonts w:ascii="Book Antiqua" w:hAnsi="Book Antiqua" w:cs="Arial"/>
        </w:rPr>
        <w:t xml:space="preserve">grandeur of a “spook” or “007” figure.  </w:t>
      </w:r>
      <w:r>
        <w:rPr>
          <w:rFonts w:ascii="Book Antiqua" w:hAnsi="Book Antiqua" w:cs="Arial"/>
        </w:rPr>
        <w:t xml:space="preserve">In the absence of any background evidence, the judge’s reasoning is unsustainable since it does not inexorably follow as a matter of course without evidential support (see </w:t>
      </w:r>
      <w:r w:rsidRPr="00C33228">
        <w:rPr>
          <w:rFonts w:ascii="Book Antiqua" w:hAnsi="Book Antiqua" w:cs="Arial"/>
          <w:u w:val="single"/>
        </w:rPr>
        <w:t>HK v SSHD</w:t>
      </w:r>
      <w:r>
        <w:rPr>
          <w:rFonts w:ascii="Book Antiqua" w:hAnsi="Book Antiqua" w:cs="Arial"/>
        </w:rPr>
        <w:t xml:space="preserve"> [2006] EWCA </w:t>
      </w:r>
      <w:proofErr w:type="spellStart"/>
      <w:r>
        <w:rPr>
          <w:rFonts w:ascii="Book Antiqua" w:hAnsi="Book Antiqua" w:cs="Arial"/>
        </w:rPr>
        <w:t>Civ</w:t>
      </w:r>
      <w:proofErr w:type="spellEnd"/>
      <w:r>
        <w:rPr>
          <w:rFonts w:ascii="Book Antiqua" w:hAnsi="Book Antiqua" w:cs="Arial"/>
        </w:rPr>
        <w:t xml:space="preserve"> 1037).  </w:t>
      </w:r>
    </w:p>
    <w:p w14:paraId="6C621D0A" w14:textId="485C9C54" w:rsidR="00151580" w:rsidRDefault="00C33228" w:rsidP="008C488C">
      <w:pPr>
        <w:numPr>
          <w:ilvl w:val="0"/>
          <w:numId w:val="1"/>
        </w:numPr>
        <w:tabs>
          <w:tab w:val="clear" w:pos="567"/>
        </w:tabs>
        <w:spacing w:before="240"/>
        <w:jc w:val="both"/>
        <w:rPr>
          <w:rFonts w:ascii="Book Antiqua" w:hAnsi="Book Antiqua" w:cs="Arial"/>
        </w:rPr>
      </w:pPr>
      <w:r>
        <w:rPr>
          <w:rFonts w:ascii="Book Antiqua" w:hAnsi="Book Antiqua" w:cs="Arial"/>
        </w:rPr>
        <w:t>Finally, although the judge made no specific finding on whether he accepted that the appellant’s father had disappeared, his findings in paras 23 and 25 when combined to reject the appellant’s account would only be consistent with a rejection of it</w:t>
      </w:r>
      <w:r w:rsidR="00FE6445">
        <w:rPr>
          <w:rFonts w:ascii="Book Antiqua" w:hAnsi="Book Antiqua" w:cs="Arial"/>
        </w:rPr>
        <w:t xml:space="preserve"> looking at the totality of the evidence.  </w:t>
      </w:r>
    </w:p>
    <w:p w14:paraId="0B00F189" w14:textId="2D42E5E4" w:rsidR="00927273" w:rsidRDefault="00927273" w:rsidP="008C488C">
      <w:pPr>
        <w:numPr>
          <w:ilvl w:val="0"/>
          <w:numId w:val="1"/>
        </w:numPr>
        <w:tabs>
          <w:tab w:val="clear" w:pos="567"/>
        </w:tabs>
        <w:spacing w:before="240"/>
        <w:jc w:val="both"/>
        <w:rPr>
          <w:rFonts w:ascii="Book Antiqua" w:hAnsi="Book Antiqua" w:cs="Arial"/>
        </w:rPr>
      </w:pPr>
      <w:r>
        <w:rPr>
          <w:rFonts w:ascii="Book Antiqua" w:hAnsi="Book Antiqua" w:cs="Arial"/>
        </w:rPr>
        <w:t>If the appellant’s challenge to the rejection of his account was limited to a challenge to the judge’</w:t>
      </w:r>
      <w:r w:rsidR="00BB3D05">
        <w:rPr>
          <w:rFonts w:ascii="Book Antiqua" w:hAnsi="Book Antiqua" w:cs="Arial"/>
        </w:rPr>
        <w:t>s reasoning in para</w:t>
      </w:r>
      <w:r>
        <w:rPr>
          <w:rFonts w:ascii="Book Antiqua" w:hAnsi="Book Antiqua" w:cs="Arial"/>
        </w:rPr>
        <w:t xml:space="preserve"> 25, I would not be persuaded that the challenge was sustained.  The reasoning, although not without some difficulty, would not</w:t>
      </w:r>
      <w:r w:rsidR="00155E09">
        <w:rPr>
          <w:rFonts w:ascii="Book Antiqua" w:hAnsi="Book Antiqua" w:cs="Arial"/>
        </w:rPr>
        <w:t>, read as a whole,</w:t>
      </w:r>
      <w:r>
        <w:rPr>
          <w:rFonts w:ascii="Book Antiqua" w:hAnsi="Book Antiqua" w:cs="Arial"/>
        </w:rPr>
        <w:t xml:space="preserve"> be irrational.  However, the judge’</w:t>
      </w:r>
      <w:r w:rsidR="00BB3D05">
        <w:rPr>
          <w:rFonts w:ascii="Book Antiqua" w:hAnsi="Book Antiqua" w:cs="Arial"/>
        </w:rPr>
        <w:t>s reasoning in para</w:t>
      </w:r>
      <w:r>
        <w:rPr>
          <w:rFonts w:ascii="Book Antiqua" w:hAnsi="Book Antiqua" w:cs="Arial"/>
        </w:rPr>
        <w:t xml:space="preserve"> 23 is flawed and I am not persuaded that that reasoning leading to an adverse credibility finding was not material to the judge’s overall rejection of the appellant’s account.  </w:t>
      </w:r>
    </w:p>
    <w:p w14:paraId="3E3ED3A3" w14:textId="77777777" w:rsidR="008C488C" w:rsidRPr="00B82654" w:rsidRDefault="00B82654" w:rsidP="00B82654">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therefore, I also accept that the judge materially erred in law in reaching his adverse factual findings.  </w:t>
      </w:r>
    </w:p>
    <w:p w14:paraId="0B49D6E8" w14:textId="77777777" w:rsidR="00D949B7" w:rsidRPr="00B82654" w:rsidRDefault="00D949B7" w:rsidP="002B0E72">
      <w:pPr>
        <w:keepNext/>
        <w:spacing w:before="240"/>
        <w:jc w:val="both"/>
        <w:rPr>
          <w:rFonts w:ascii="Book Antiqua" w:hAnsi="Book Antiqua" w:cs="Arial"/>
          <w:b/>
          <w:u w:val="single"/>
        </w:rPr>
      </w:pPr>
      <w:r w:rsidRPr="00D949B7">
        <w:rPr>
          <w:rFonts w:ascii="Book Antiqua" w:hAnsi="Book Antiqua" w:cs="Arial"/>
          <w:b/>
          <w:u w:val="single"/>
        </w:rPr>
        <w:t>Decision</w:t>
      </w:r>
    </w:p>
    <w:p w14:paraId="2AC628B9" w14:textId="77777777" w:rsidR="00D949B7" w:rsidRDefault="00B82654" w:rsidP="00B82654">
      <w:pPr>
        <w:numPr>
          <w:ilvl w:val="0"/>
          <w:numId w:val="1"/>
        </w:numPr>
        <w:tabs>
          <w:tab w:val="clear" w:pos="567"/>
        </w:tabs>
        <w:spacing w:before="240"/>
        <w:jc w:val="both"/>
        <w:rPr>
          <w:rFonts w:ascii="Book Antiqua" w:hAnsi="Book Antiqua" w:cs="Arial"/>
        </w:rPr>
      </w:pPr>
      <w:r>
        <w:rPr>
          <w:rFonts w:ascii="Book Antiqua" w:hAnsi="Book Antiqua" w:cs="Arial"/>
        </w:rPr>
        <w:t>For t</w:t>
      </w:r>
      <w:r w:rsidR="00D949B7" w:rsidRPr="00D949B7">
        <w:rPr>
          <w:rFonts w:ascii="Book Antiqua" w:hAnsi="Book Antiqua" w:cs="Arial"/>
        </w:rPr>
        <w:t>he</w:t>
      </w:r>
      <w:r>
        <w:rPr>
          <w:rFonts w:ascii="Book Antiqua" w:hAnsi="Book Antiqua" w:cs="Arial"/>
        </w:rPr>
        <w:t xml:space="preserve"> above reasons, the decision of the First-tier Tribunal to dismiss the appellant’s</w:t>
      </w:r>
      <w:r w:rsidR="00D949B7" w:rsidRPr="00D949B7">
        <w:rPr>
          <w:rFonts w:ascii="Book Antiqua" w:hAnsi="Book Antiqua" w:cs="Arial"/>
        </w:rPr>
        <w:t xml:space="preserve"> appeal </w:t>
      </w:r>
      <w:r>
        <w:rPr>
          <w:rFonts w:ascii="Book Antiqua" w:hAnsi="Book Antiqua" w:cs="Arial"/>
        </w:rPr>
        <w:t>involved the making of a material error of law</w:t>
      </w:r>
      <w:r w:rsidR="009669C6">
        <w:rPr>
          <w:rFonts w:ascii="Book Antiqua" w:hAnsi="Book Antiqua" w:cs="Arial"/>
        </w:rPr>
        <w:t>.</w:t>
      </w:r>
      <w:r>
        <w:rPr>
          <w:rFonts w:ascii="Book Antiqua" w:hAnsi="Book Antiqua" w:cs="Arial"/>
        </w:rPr>
        <w:t xml:space="preserve">  That decision is set aside.  </w:t>
      </w:r>
    </w:p>
    <w:p w14:paraId="0F14FBA8" w14:textId="4D8D0FF5" w:rsidR="00B82654" w:rsidRPr="00D949B7" w:rsidRDefault="00B82654" w:rsidP="00B82654">
      <w:pPr>
        <w:numPr>
          <w:ilvl w:val="0"/>
          <w:numId w:val="1"/>
        </w:numPr>
        <w:tabs>
          <w:tab w:val="clear" w:pos="567"/>
        </w:tabs>
        <w:spacing w:before="240"/>
        <w:jc w:val="both"/>
        <w:rPr>
          <w:rFonts w:ascii="Book Antiqua" w:hAnsi="Book Antiqua" w:cs="Arial"/>
        </w:rPr>
      </w:pPr>
      <w:r>
        <w:rPr>
          <w:rFonts w:ascii="Book Antiqua" w:hAnsi="Book Antiqua" w:cs="Arial"/>
        </w:rPr>
        <w:t xml:space="preserve">Having regard to the nature and extent of fact-finding required, together with </w:t>
      </w:r>
      <w:r w:rsidR="00E63912">
        <w:rPr>
          <w:rFonts w:ascii="Book Antiqua" w:hAnsi="Book Antiqua" w:cs="Arial"/>
        </w:rPr>
        <w:t xml:space="preserve">para </w:t>
      </w:r>
      <w:r>
        <w:rPr>
          <w:rFonts w:ascii="Book Antiqua" w:hAnsi="Book Antiqua" w:cs="Arial"/>
        </w:rPr>
        <w:t xml:space="preserve">7.2 of the Senior President’s Practice Statement, the proper disposal of this appeal is to remit it to the First-tier Tribunal for a </w:t>
      </w:r>
      <w:r w:rsidRPr="00B82654">
        <w:rPr>
          <w:rFonts w:ascii="Book Antiqua" w:hAnsi="Book Antiqua" w:cs="Arial"/>
          <w:i/>
        </w:rPr>
        <w:t>de</w:t>
      </w:r>
      <w:r>
        <w:rPr>
          <w:rFonts w:ascii="Book Antiqua" w:hAnsi="Book Antiqua" w:cs="Arial"/>
        </w:rPr>
        <w:t xml:space="preserve"> </w:t>
      </w:r>
      <w:r w:rsidRPr="00B82654">
        <w:rPr>
          <w:rFonts w:ascii="Book Antiqua" w:hAnsi="Book Antiqua" w:cs="Arial"/>
          <w:i/>
        </w:rPr>
        <w:t>novo</w:t>
      </w:r>
      <w:r>
        <w:rPr>
          <w:rFonts w:ascii="Book Antiqua" w:hAnsi="Book Antiqua" w:cs="Arial"/>
        </w:rPr>
        <w:t xml:space="preserve"> rehearing before a judge other than Judge O’Rourke.</w:t>
      </w:r>
    </w:p>
    <w:p w14:paraId="33070338" w14:textId="77777777" w:rsidR="00D949B7" w:rsidRPr="00D949B7" w:rsidRDefault="00D949B7" w:rsidP="00D949B7">
      <w:pPr>
        <w:jc w:val="both"/>
        <w:rPr>
          <w:rFonts w:ascii="Book Antiqua" w:hAnsi="Book Antiqua" w:cs="Arial"/>
        </w:rPr>
      </w:pPr>
    </w:p>
    <w:p w14:paraId="2F13551C" w14:textId="77777777" w:rsidR="009F5220" w:rsidRPr="009B7433" w:rsidRDefault="009F5220" w:rsidP="000A0743">
      <w:pPr>
        <w:jc w:val="both"/>
        <w:rPr>
          <w:rFonts w:ascii="Book Antiqua" w:hAnsi="Book Antiqua" w:cs="Arial"/>
        </w:rPr>
      </w:pPr>
    </w:p>
    <w:p w14:paraId="7521EBB2" w14:textId="77777777" w:rsidR="00D949B7" w:rsidRDefault="00D949B7" w:rsidP="00D949B7">
      <w:pPr>
        <w:jc w:val="both"/>
        <w:rPr>
          <w:rFonts w:ascii="Book Antiqua" w:hAnsi="Book Antiqua" w:cs="Arial"/>
        </w:rPr>
      </w:pPr>
    </w:p>
    <w:p w14:paraId="315C129C"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123C475D" w14:textId="1A71EB24" w:rsidR="00E63912" w:rsidRPr="002B02F3" w:rsidRDefault="009C6365" w:rsidP="009669C6">
      <w:pPr>
        <w:tabs>
          <w:tab w:val="left" w:pos="2520"/>
        </w:tabs>
        <w:ind w:left="540" w:hanging="540"/>
        <w:jc w:val="right"/>
        <w:rPr>
          <w:rFonts w:ascii="Book Antiqua" w:hAnsi="Book Antiqua" w:cs="Arial"/>
        </w:rPr>
      </w:pPr>
      <w:r>
        <w:rPr>
          <w:noProof/>
        </w:rPr>
        <w:drawing>
          <wp:inline distT="0" distB="0" distL="0" distR="0" wp14:anchorId="7E426DB8" wp14:editId="3A243780">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7D538313"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07D8585B" w14:textId="7A640D13" w:rsidR="009669C6"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6B568F54" w14:textId="77777777" w:rsidR="00E63912" w:rsidRDefault="00E63912" w:rsidP="009669C6">
      <w:pPr>
        <w:jc w:val="right"/>
        <w:rPr>
          <w:rFonts w:ascii="Book Antiqua" w:hAnsi="Book Antiqua" w:cs="Arial"/>
          <w:color w:val="000000"/>
        </w:rPr>
      </w:pPr>
    </w:p>
    <w:p w14:paraId="5AC5D8BA" w14:textId="4FDBA561" w:rsidR="00B95326" w:rsidRPr="009B7433" w:rsidRDefault="0094417A" w:rsidP="00EA5DCB">
      <w:pPr>
        <w:jc w:val="right"/>
        <w:rPr>
          <w:rFonts w:ascii="Book Antiqua" w:hAnsi="Book Antiqua" w:cs="Arial"/>
        </w:rPr>
      </w:pPr>
      <w:r>
        <w:rPr>
          <w:rFonts w:ascii="Book Antiqua" w:hAnsi="Book Antiqua" w:cs="Arial"/>
        </w:rPr>
        <w:t>5, June</w:t>
      </w:r>
      <w:r w:rsidR="00E63912">
        <w:rPr>
          <w:rFonts w:ascii="Book Antiqua" w:hAnsi="Book Antiqua" w:cs="Arial"/>
        </w:rPr>
        <w:t xml:space="preserve"> 2018</w:t>
      </w:r>
    </w:p>
    <w:sectPr w:rsidR="00B95326" w:rsidRPr="009B7433" w:rsidSect="00AA32BC">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CE2F0" w14:textId="77777777" w:rsidR="00F302C0" w:rsidRDefault="00F302C0">
      <w:r>
        <w:separator/>
      </w:r>
    </w:p>
  </w:endnote>
  <w:endnote w:type="continuationSeparator" w:id="0">
    <w:p w14:paraId="52BB580F" w14:textId="77777777" w:rsidR="00F302C0" w:rsidRDefault="00F3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34289" w14:textId="4D0DB8F4" w:rsidR="007721CA" w:rsidRPr="00951E5B" w:rsidRDefault="007721CA" w:rsidP="00593795">
    <w:pPr>
      <w:pStyle w:val="Footer"/>
      <w:jc w:val="center"/>
      <w:rPr>
        <w:rFonts w:ascii="Book Antiqua" w:hAnsi="Book Antiqua" w:cs="Arial"/>
      </w:rPr>
    </w:pPr>
    <w:r w:rsidRPr="00951E5B">
      <w:rPr>
        <w:rStyle w:val="PageNumber"/>
        <w:rFonts w:ascii="Book Antiqua" w:hAnsi="Book Antiqua" w:cs="Arial"/>
      </w:rPr>
      <w:fldChar w:fldCharType="begin"/>
    </w:r>
    <w:r w:rsidRPr="00951E5B">
      <w:rPr>
        <w:rStyle w:val="PageNumber"/>
        <w:rFonts w:ascii="Book Antiqua" w:hAnsi="Book Antiqua" w:cs="Arial"/>
      </w:rPr>
      <w:instrText xml:space="preserve"> PAGE </w:instrText>
    </w:r>
    <w:r w:rsidRPr="00951E5B">
      <w:rPr>
        <w:rStyle w:val="PageNumber"/>
        <w:rFonts w:ascii="Book Antiqua" w:hAnsi="Book Antiqua" w:cs="Arial"/>
      </w:rPr>
      <w:fldChar w:fldCharType="separate"/>
    </w:r>
    <w:r w:rsidR="009D3FEA">
      <w:rPr>
        <w:rStyle w:val="PageNumber"/>
        <w:rFonts w:ascii="Book Antiqua" w:hAnsi="Book Antiqua" w:cs="Arial"/>
        <w:noProof/>
      </w:rPr>
      <w:t>12</w:t>
    </w:r>
    <w:r w:rsidRPr="00951E5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65CC5" w14:textId="77777777" w:rsidR="007721CA" w:rsidRPr="009B7433" w:rsidRDefault="007721C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DFE46" w14:textId="77777777" w:rsidR="00F302C0" w:rsidRDefault="00F302C0">
      <w:r>
        <w:separator/>
      </w:r>
    </w:p>
  </w:footnote>
  <w:footnote w:type="continuationSeparator" w:id="0">
    <w:p w14:paraId="61FDA700" w14:textId="77777777" w:rsidR="00F302C0" w:rsidRDefault="00F30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CA815" w14:textId="6BCA72CE" w:rsidR="007721CA" w:rsidRDefault="007721C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PA/01904/2017</w:t>
    </w:r>
  </w:p>
  <w:p w14:paraId="50A33BB3" w14:textId="77777777" w:rsidR="00951E5B" w:rsidRPr="009B7433" w:rsidRDefault="00951E5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C316" w14:textId="77777777" w:rsidR="007721CA" w:rsidRPr="009B7433" w:rsidRDefault="007721C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364E4D9-F2D6-4A88-91D4-2D2DBA56DA00}"/>
    <w:docVar w:name="dgnword-eventsink" w:val="389102672"/>
  </w:docVars>
  <w:rsids>
    <w:rsidRoot w:val="00A73E83"/>
    <w:rsid w:val="00000621"/>
    <w:rsid w:val="000036C2"/>
    <w:rsid w:val="00016C1A"/>
    <w:rsid w:val="000312CE"/>
    <w:rsid w:val="00033588"/>
    <w:rsid w:val="00033D3D"/>
    <w:rsid w:val="00033F27"/>
    <w:rsid w:val="0004776F"/>
    <w:rsid w:val="00052895"/>
    <w:rsid w:val="00062F02"/>
    <w:rsid w:val="00071A7E"/>
    <w:rsid w:val="000746C0"/>
    <w:rsid w:val="00074D1D"/>
    <w:rsid w:val="000760D7"/>
    <w:rsid w:val="00076DF1"/>
    <w:rsid w:val="000919F4"/>
    <w:rsid w:val="00092580"/>
    <w:rsid w:val="00093D4D"/>
    <w:rsid w:val="000A0743"/>
    <w:rsid w:val="000D5D94"/>
    <w:rsid w:val="000F1A0E"/>
    <w:rsid w:val="001165A7"/>
    <w:rsid w:val="00120A5F"/>
    <w:rsid w:val="00136829"/>
    <w:rsid w:val="00144B48"/>
    <w:rsid w:val="00151580"/>
    <w:rsid w:val="00154F13"/>
    <w:rsid w:val="00155E09"/>
    <w:rsid w:val="0016508E"/>
    <w:rsid w:val="00167D3A"/>
    <w:rsid w:val="00167F92"/>
    <w:rsid w:val="00173F50"/>
    <w:rsid w:val="001757A0"/>
    <w:rsid w:val="00185986"/>
    <w:rsid w:val="001959BC"/>
    <w:rsid w:val="001A3082"/>
    <w:rsid w:val="001A53AD"/>
    <w:rsid w:val="001A60B8"/>
    <w:rsid w:val="001B186A"/>
    <w:rsid w:val="001B2F75"/>
    <w:rsid w:val="001C13D3"/>
    <w:rsid w:val="001C6F5F"/>
    <w:rsid w:val="001D0E97"/>
    <w:rsid w:val="001D355E"/>
    <w:rsid w:val="001D6167"/>
    <w:rsid w:val="001F2716"/>
    <w:rsid w:val="001F3AC0"/>
    <w:rsid w:val="00207617"/>
    <w:rsid w:val="0023134B"/>
    <w:rsid w:val="00235FBE"/>
    <w:rsid w:val="0023672A"/>
    <w:rsid w:val="00242F77"/>
    <w:rsid w:val="00283659"/>
    <w:rsid w:val="002B0E72"/>
    <w:rsid w:val="002C0160"/>
    <w:rsid w:val="002C6BD4"/>
    <w:rsid w:val="002D68BF"/>
    <w:rsid w:val="002E4541"/>
    <w:rsid w:val="002F23D0"/>
    <w:rsid w:val="002F6B98"/>
    <w:rsid w:val="00304A73"/>
    <w:rsid w:val="0031410B"/>
    <w:rsid w:val="00335A31"/>
    <w:rsid w:val="00336CBF"/>
    <w:rsid w:val="00337F90"/>
    <w:rsid w:val="0034325B"/>
    <w:rsid w:val="00343FE3"/>
    <w:rsid w:val="003546C8"/>
    <w:rsid w:val="00367028"/>
    <w:rsid w:val="003704A6"/>
    <w:rsid w:val="00374184"/>
    <w:rsid w:val="003825D4"/>
    <w:rsid w:val="003977D9"/>
    <w:rsid w:val="003A7CF2"/>
    <w:rsid w:val="003B7D6D"/>
    <w:rsid w:val="003C15E0"/>
    <w:rsid w:val="003C5CE5"/>
    <w:rsid w:val="003D6FAD"/>
    <w:rsid w:val="003E267B"/>
    <w:rsid w:val="003E7CD1"/>
    <w:rsid w:val="00402B9E"/>
    <w:rsid w:val="00415E5A"/>
    <w:rsid w:val="004249CB"/>
    <w:rsid w:val="00427A79"/>
    <w:rsid w:val="00436CEF"/>
    <w:rsid w:val="0044127D"/>
    <w:rsid w:val="004448DB"/>
    <w:rsid w:val="00446C9A"/>
    <w:rsid w:val="00450CAF"/>
    <w:rsid w:val="00452F2B"/>
    <w:rsid w:val="004604FE"/>
    <w:rsid w:val="00477193"/>
    <w:rsid w:val="0048000C"/>
    <w:rsid w:val="00492E0F"/>
    <w:rsid w:val="00493CF6"/>
    <w:rsid w:val="004A1848"/>
    <w:rsid w:val="004A2D15"/>
    <w:rsid w:val="004A534C"/>
    <w:rsid w:val="004A6534"/>
    <w:rsid w:val="004A6F4A"/>
    <w:rsid w:val="004B70D7"/>
    <w:rsid w:val="004D6B45"/>
    <w:rsid w:val="004D6DEE"/>
    <w:rsid w:val="004E4717"/>
    <w:rsid w:val="0050000B"/>
    <w:rsid w:val="005035B2"/>
    <w:rsid w:val="005078C7"/>
    <w:rsid w:val="00507FEC"/>
    <w:rsid w:val="00510F0E"/>
    <w:rsid w:val="00542B6C"/>
    <w:rsid w:val="005479E1"/>
    <w:rsid w:val="00553028"/>
    <w:rsid w:val="00553E0A"/>
    <w:rsid w:val="005570FD"/>
    <w:rsid w:val="005575EA"/>
    <w:rsid w:val="00572038"/>
    <w:rsid w:val="0057790C"/>
    <w:rsid w:val="005804BE"/>
    <w:rsid w:val="00583D5C"/>
    <w:rsid w:val="00593795"/>
    <w:rsid w:val="005A75FF"/>
    <w:rsid w:val="005B70A9"/>
    <w:rsid w:val="005C51AF"/>
    <w:rsid w:val="005D10AB"/>
    <w:rsid w:val="005F06A2"/>
    <w:rsid w:val="005F7C92"/>
    <w:rsid w:val="00601D8F"/>
    <w:rsid w:val="0060383F"/>
    <w:rsid w:val="00605582"/>
    <w:rsid w:val="00606A60"/>
    <w:rsid w:val="00611F34"/>
    <w:rsid w:val="00621FE8"/>
    <w:rsid w:val="006434B6"/>
    <w:rsid w:val="00645C65"/>
    <w:rsid w:val="00653E97"/>
    <w:rsid w:val="00657646"/>
    <w:rsid w:val="00665E47"/>
    <w:rsid w:val="006667DB"/>
    <w:rsid w:val="00684A74"/>
    <w:rsid w:val="00684FE7"/>
    <w:rsid w:val="00685B4A"/>
    <w:rsid w:val="0068620A"/>
    <w:rsid w:val="00690B8A"/>
    <w:rsid w:val="006A1C6D"/>
    <w:rsid w:val="006A5166"/>
    <w:rsid w:val="006D040A"/>
    <w:rsid w:val="006D4E21"/>
    <w:rsid w:val="006E20BC"/>
    <w:rsid w:val="006F103C"/>
    <w:rsid w:val="006F2CF1"/>
    <w:rsid w:val="007038ED"/>
    <w:rsid w:val="00703BC3"/>
    <w:rsid w:val="00704B61"/>
    <w:rsid w:val="00715A64"/>
    <w:rsid w:val="007353D7"/>
    <w:rsid w:val="00740A4A"/>
    <w:rsid w:val="00740C1F"/>
    <w:rsid w:val="00753B1F"/>
    <w:rsid w:val="007552A9"/>
    <w:rsid w:val="0075658A"/>
    <w:rsid w:val="00761858"/>
    <w:rsid w:val="00767D59"/>
    <w:rsid w:val="007721CA"/>
    <w:rsid w:val="00776C06"/>
    <w:rsid w:val="00776E97"/>
    <w:rsid w:val="00780F86"/>
    <w:rsid w:val="007912AD"/>
    <w:rsid w:val="007A5D6E"/>
    <w:rsid w:val="007A7BBD"/>
    <w:rsid w:val="007B0824"/>
    <w:rsid w:val="007B5D3C"/>
    <w:rsid w:val="007D47FD"/>
    <w:rsid w:val="007E2845"/>
    <w:rsid w:val="007E6651"/>
    <w:rsid w:val="008138BA"/>
    <w:rsid w:val="00815011"/>
    <w:rsid w:val="00821B72"/>
    <w:rsid w:val="00822C7C"/>
    <w:rsid w:val="00823EF2"/>
    <w:rsid w:val="008303B8"/>
    <w:rsid w:val="00833DCE"/>
    <w:rsid w:val="00833E86"/>
    <w:rsid w:val="00837D1A"/>
    <w:rsid w:val="00854909"/>
    <w:rsid w:val="00855131"/>
    <w:rsid w:val="0086386B"/>
    <w:rsid w:val="00871D34"/>
    <w:rsid w:val="00875040"/>
    <w:rsid w:val="008929B5"/>
    <w:rsid w:val="00895357"/>
    <w:rsid w:val="008A0F0D"/>
    <w:rsid w:val="008A25EC"/>
    <w:rsid w:val="008A6059"/>
    <w:rsid w:val="008A70EC"/>
    <w:rsid w:val="008B270C"/>
    <w:rsid w:val="008B5078"/>
    <w:rsid w:val="008B6231"/>
    <w:rsid w:val="008C1A5D"/>
    <w:rsid w:val="008C214D"/>
    <w:rsid w:val="008C3D3D"/>
    <w:rsid w:val="008C488C"/>
    <w:rsid w:val="008D4131"/>
    <w:rsid w:val="008D5871"/>
    <w:rsid w:val="008D6408"/>
    <w:rsid w:val="008F1932"/>
    <w:rsid w:val="008F49A5"/>
    <w:rsid w:val="0090151B"/>
    <w:rsid w:val="009042A9"/>
    <w:rsid w:val="00907EBD"/>
    <w:rsid w:val="00921062"/>
    <w:rsid w:val="00927273"/>
    <w:rsid w:val="0094417A"/>
    <w:rsid w:val="00951E5B"/>
    <w:rsid w:val="00962524"/>
    <w:rsid w:val="009669C6"/>
    <w:rsid w:val="009722BC"/>
    <w:rsid w:val="009727A3"/>
    <w:rsid w:val="00987774"/>
    <w:rsid w:val="00995E0F"/>
    <w:rsid w:val="009A11E8"/>
    <w:rsid w:val="009B7433"/>
    <w:rsid w:val="009C1046"/>
    <w:rsid w:val="009C57C8"/>
    <w:rsid w:val="009C6365"/>
    <w:rsid w:val="009D3FEA"/>
    <w:rsid w:val="009E7317"/>
    <w:rsid w:val="009F5220"/>
    <w:rsid w:val="00A05DBF"/>
    <w:rsid w:val="00A07919"/>
    <w:rsid w:val="00A15234"/>
    <w:rsid w:val="00A172F5"/>
    <w:rsid w:val="00A201AB"/>
    <w:rsid w:val="00A246A6"/>
    <w:rsid w:val="00A31C8B"/>
    <w:rsid w:val="00A509FA"/>
    <w:rsid w:val="00A64DA5"/>
    <w:rsid w:val="00A70BFF"/>
    <w:rsid w:val="00A73E83"/>
    <w:rsid w:val="00A81206"/>
    <w:rsid w:val="00A845DC"/>
    <w:rsid w:val="00AA32BC"/>
    <w:rsid w:val="00AA4F35"/>
    <w:rsid w:val="00AE6FC5"/>
    <w:rsid w:val="00B26AA2"/>
    <w:rsid w:val="00B34BD2"/>
    <w:rsid w:val="00B3524D"/>
    <w:rsid w:val="00B35BDA"/>
    <w:rsid w:val="00B40F69"/>
    <w:rsid w:val="00B459E2"/>
    <w:rsid w:val="00B46616"/>
    <w:rsid w:val="00B47B0C"/>
    <w:rsid w:val="00B51CD0"/>
    <w:rsid w:val="00B528BB"/>
    <w:rsid w:val="00B528F2"/>
    <w:rsid w:val="00B5476B"/>
    <w:rsid w:val="00B60910"/>
    <w:rsid w:val="00B66768"/>
    <w:rsid w:val="00B7040A"/>
    <w:rsid w:val="00B82654"/>
    <w:rsid w:val="00B83391"/>
    <w:rsid w:val="00B90A76"/>
    <w:rsid w:val="00B95326"/>
    <w:rsid w:val="00BB3D05"/>
    <w:rsid w:val="00BD4196"/>
    <w:rsid w:val="00BE6AFB"/>
    <w:rsid w:val="00BF22CA"/>
    <w:rsid w:val="00BF23BB"/>
    <w:rsid w:val="00C23DFC"/>
    <w:rsid w:val="00C24D41"/>
    <w:rsid w:val="00C26032"/>
    <w:rsid w:val="00C31F18"/>
    <w:rsid w:val="00C33228"/>
    <w:rsid w:val="00C345E1"/>
    <w:rsid w:val="00C348C6"/>
    <w:rsid w:val="00C43572"/>
    <w:rsid w:val="00C43BFD"/>
    <w:rsid w:val="00C6048A"/>
    <w:rsid w:val="00C639F0"/>
    <w:rsid w:val="00C6412E"/>
    <w:rsid w:val="00C649D0"/>
    <w:rsid w:val="00C65BD5"/>
    <w:rsid w:val="00C74065"/>
    <w:rsid w:val="00C77DB6"/>
    <w:rsid w:val="00CA2F56"/>
    <w:rsid w:val="00CB0A01"/>
    <w:rsid w:val="00CB6E35"/>
    <w:rsid w:val="00CC457D"/>
    <w:rsid w:val="00CD13C0"/>
    <w:rsid w:val="00CE09B1"/>
    <w:rsid w:val="00CE1A46"/>
    <w:rsid w:val="00D05EA6"/>
    <w:rsid w:val="00D07A67"/>
    <w:rsid w:val="00D15920"/>
    <w:rsid w:val="00D20524"/>
    <w:rsid w:val="00D20757"/>
    <w:rsid w:val="00D22636"/>
    <w:rsid w:val="00D40FD9"/>
    <w:rsid w:val="00D53769"/>
    <w:rsid w:val="00D606FA"/>
    <w:rsid w:val="00D6602D"/>
    <w:rsid w:val="00D73A36"/>
    <w:rsid w:val="00D76F7A"/>
    <w:rsid w:val="00D82C59"/>
    <w:rsid w:val="00D85C13"/>
    <w:rsid w:val="00D9111A"/>
    <w:rsid w:val="00D91BE3"/>
    <w:rsid w:val="00D949B7"/>
    <w:rsid w:val="00D94AFC"/>
    <w:rsid w:val="00DB142D"/>
    <w:rsid w:val="00DB6162"/>
    <w:rsid w:val="00DB70AE"/>
    <w:rsid w:val="00DC2BB7"/>
    <w:rsid w:val="00DD5071"/>
    <w:rsid w:val="00DD5C39"/>
    <w:rsid w:val="00DE3E03"/>
    <w:rsid w:val="00DE5CD4"/>
    <w:rsid w:val="00DE7872"/>
    <w:rsid w:val="00DE7DB7"/>
    <w:rsid w:val="00DF0FBC"/>
    <w:rsid w:val="00E00A0A"/>
    <w:rsid w:val="00E066DE"/>
    <w:rsid w:val="00E07D8C"/>
    <w:rsid w:val="00E07F57"/>
    <w:rsid w:val="00E24BA4"/>
    <w:rsid w:val="00E30683"/>
    <w:rsid w:val="00E33D89"/>
    <w:rsid w:val="00E403E4"/>
    <w:rsid w:val="00E42107"/>
    <w:rsid w:val="00E453D8"/>
    <w:rsid w:val="00E50BCE"/>
    <w:rsid w:val="00E574BF"/>
    <w:rsid w:val="00E61292"/>
    <w:rsid w:val="00E63912"/>
    <w:rsid w:val="00E77C4D"/>
    <w:rsid w:val="00E81D01"/>
    <w:rsid w:val="00E974BB"/>
    <w:rsid w:val="00EA20DA"/>
    <w:rsid w:val="00EA5DCB"/>
    <w:rsid w:val="00EA79AF"/>
    <w:rsid w:val="00EB485A"/>
    <w:rsid w:val="00EC0007"/>
    <w:rsid w:val="00EC6F23"/>
    <w:rsid w:val="00ED7B89"/>
    <w:rsid w:val="00EE43E0"/>
    <w:rsid w:val="00EE45D8"/>
    <w:rsid w:val="00F15EB1"/>
    <w:rsid w:val="00F21A4D"/>
    <w:rsid w:val="00F22E50"/>
    <w:rsid w:val="00F22EDA"/>
    <w:rsid w:val="00F302C0"/>
    <w:rsid w:val="00F406F9"/>
    <w:rsid w:val="00F42448"/>
    <w:rsid w:val="00F470D6"/>
    <w:rsid w:val="00F514B4"/>
    <w:rsid w:val="00F5589A"/>
    <w:rsid w:val="00F600B9"/>
    <w:rsid w:val="00F70770"/>
    <w:rsid w:val="00FA00F6"/>
    <w:rsid w:val="00FC40FA"/>
    <w:rsid w:val="00FE3A78"/>
    <w:rsid w:val="00FE6445"/>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8549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5870</Words>
  <Characters>28368</Characters>
  <Application>Microsoft Office Word</Application>
  <DocSecurity>0</DocSecurity>
  <Lines>236</Lines>
  <Paragraphs>68</Paragraphs>
  <ScaleCrop>false</ScaleCrop>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2018-06-28T15:41:00Z</dcterms:created>
  <dcterms:modified xsi:type="dcterms:W3CDTF">2018-06-28T15:41:00Z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