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33EC9" w:rsidRDefault="00A33EC9" w:rsidP="00A33EC9">
      <w:pPr>
        <w:jc w:val="center"/>
        <w:rPr>
          <w:rFonts w:ascii="Sylfaen" w:hAnsi="Sylfaen" w:cs="Arial"/>
          <w:color w:val="000000"/>
          <w:sz w:val="16"/>
          <w:szCs w:val="16"/>
        </w:rPr>
      </w:pPr>
      <w:r w:rsidRPr="00A33EC9">
        <w:rPr>
          <w:rFonts w:ascii="Sylfaen" w:hAnsi="Sylfaen"/>
          <w:noProof/>
          <w:sz w:val="16"/>
          <w:szCs w:val="16"/>
        </w:rPr>
        <w:drawing>
          <wp:inline distT="0" distB="0" distL="0" distR="0" wp14:anchorId="0E0A4D34" wp14:editId="3C408B5F">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A33EC9" w:rsidRDefault="00F97703" w:rsidP="00A33EC9">
      <w:pPr>
        <w:jc w:val="center"/>
        <w:rPr>
          <w:rFonts w:ascii="Sylfaen" w:hAnsi="Sylfaen" w:cs="Arial"/>
          <w:color w:val="000000"/>
          <w:sz w:val="16"/>
          <w:szCs w:val="16"/>
        </w:rPr>
      </w:pPr>
    </w:p>
    <w:p w:rsidR="00F97703" w:rsidRPr="00A544A8" w:rsidRDefault="00611011" w:rsidP="00A33EC9">
      <w:pPr>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A33EC9">
      <w:pPr>
        <w:tabs>
          <w:tab w:val="right" w:pos="9638"/>
        </w:tabs>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A46DB4">
        <w:rPr>
          <w:rFonts w:ascii="Sylfaen" w:hAnsi="Sylfaen" w:cs="Arial"/>
          <w:b/>
          <w:caps/>
          <w:color w:val="000000"/>
        </w:rPr>
        <w:t>PA/02032/20</w:t>
      </w:r>
      <w:r w:rsidR="00461338">
        <w:rPr>
          <w:rFonts w:ascii="Sylfaen" w:hAnsi="Sylfaen" w:cs="Arial"/>
          <w:b/>
          <w:caps/>
          <w:color w:val="000000"/>
        </w:rPr>
        <w:t>18</w:t>
      </w:r>
    </w:p>
    <w:p w:rsidR="00C345E1" w:rsidRPr="00A544A8" w:rsidRDefault="00C345E1" w:rsidP="00A33EC9">
      <w:pPr>
        <w:jc w:val="center"/>
        <w:rPr>
          <w:rFonts w:ascii="Sylfaen" w:hAnsi="Sylfaen" w:cs="Arial"/>
          <w:color w:val="000000"/>
        </w:rPr>
      </w:pPr>
    </w:p>
    <w:p w:rsidR="00C345E1" w:rsidRPr="00A544A8" w:rsidRDefault="00C345E1" w:rsidP="00A33EC9">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544A8" w:rsidRDefault="00C345E1" w:rsidP="00A33EC9">
      <w:pPr>
        <w:jc w:val="center"/>
        <w:rPr>
          <w:rFonts w:ascii="Sylfaen" w:hAnsi="Sylfaen"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22636" w:rsidRPr="00A33EC9" w:rsidTr="00A33EC9">
        <w:tc>
          <w:tcPr>
            <w:tcW w:w="2500" w:type="pct"/>
          </w:tcPr>
          <w:p w:rsidR="00D22636" w:rsidRPr="00A33EC9" w:rsidRDefault="00BD3A9C" w:rsidP="00A33EC9">
            <w:pPr>
              <w:jc w:val="both"/>
              <w:rPr>
                <w:rFonts w:ascii="Sylfaen" w:hAnsi="Sylfaen" w:cs="Arial"/>
                <w:b/>
              </w:rPr>
            </w:pPr>
            <w:r w:rsidRPr="00A33EC9">
              <w:rPr>
                <w:rFonts w:ascii="Sylfaen" w:hAnsi="Sylfaen" w:cs="Arial"/>
                <w:b/>
              </w:rPr>
              <w:t xml:space="preserve">At    </w:t>
            </w:r>
            <w:bookmarkStart w:id="0" w:name="Dropdown5"/>
            <w:r w:rsidR="00206F6B" w:rsidRPr="00A33EC9">
              <w:rPr>
                <w:rFonts w:ascii="Sylfaen" w:hAnsi="Sylfaen" w:cs="Arial"/>
                <w:b/>
              </w:rPr>
              <w:fldChar w:fldCharType="begin">
                <w:ffData>
                  <w:name w:val="Dropdown5"/>
                  <w:enabled/>
                  <w:calcOnExit w:val="0"/>
                  <w:ddList>
                    <w:listEntry w:val="Field House"/>
                    <w:listEntry w:val="Newport"/>
                    <w:listEntry w:val="Harmondsworth"/>
                    <w:listEntry w:val="Royal Courts of Justice"/>
                  </w:ddList>
                </w:ffData>
              </w:fldChar>
            </w:r>
            <w:r w:rsidR="00206F6B" w:rsidRPr="00A33EC9">
              <w:rPr>
                <w:rFonts w:ascii="Sylfaen" w:hAnsi="Sylfaen" w:cs="Arial"/>
                <w:b/>
              </w:rPr>
              <w:instrText xml:space="preserve"> FORMDROPDOWN </w:instrText>
            </w:r>
            <w:r w:rsidR="0001578A" w:rsidRPr="00A33EC9">
              <w:rPr>
                <w:rFonts w:ascii="Sylfaen" w:hAnsi="Sylfaen" w:cs="Arial"/>
                <w:b/>
              </w:rPr>
            </w:r>
            <w:r w:rsidR="0001578A" w:rsidRPr="00A33EC9">
              <w:rPr>
                <w:rFonts w:ascii="Sylfaen" w:hAnsi="Sylfaen" w:cs="Arial"/>
                <w:b/>
              </w:rPr>
              <w:fldChar w:fldCharType="separate"/>
            </w:r>
            <w:r w:rsidR="00206F6B" w:rsidRPr="00A33EC9">
              <w:rPr>
                <w:rFonts w:ascii="Sylfaen" w:hAnsi="Sylfaen" w:cs="Arial"/>
                <w:b/>
              </w:rPr>
              <w:fldChar w:fldCharType="end"/>
            </w:r>
            <w:bookmarkEnd w:id="0"/>
          </w:p>
        </w:tc>
        <w:tc>
          <w:tcPr>
            <w:tcW w:w="2500" w:type="pct"/>
          </w:tcPr>
          <w:p w:rsidR="00D22636" w:rsidRPr="00A33EC9" w:rsidRDefault="00A46DB4" w:rsidP="00A33EC9">
            <w:pPr>
              <w:jc w:val="right"/>
              <w:rPr>
                <w:rFonts w:ascii="Sylfaen" w:hAnsi="Sylfaen" w:cs="Arial"/>
                <w:b/>
              </w:rPr>
            </w:pPr>
            <w:r w:rsidRPr="00A33EC9">
              <w:rPr>
                <w:rFonts w:ascii="Sylfaen" w:hAnsi="Sylfaen" w:cs="Arial"/>
                <w:b/>
              </w:rPr>
              <w:t>Decision and Reasons Promulgated</w:t>
            </w:r>
          </w:p>
        </w:tc>
      </w:tr>
      <w:tr w:rsidR="00D22636" w:rsidRPr="00A33EC9" w:rsidTr="00A33EC9">
        <w:tc>
          <w:tcPr>
            <w:tcW w:w="2500" w:type="pct"/>
          </w:tcPr>
          <w:p w:rsidR="00D22636" w:rsidRPr="00A33EC9" w:rsidRDefault="00A46DB4" w:rsidP="00A33EC9">
            <w:pPr>
              <w:jc w:val="both"/>
              <w:rPr>
                <w:rFonts w:ascii="Sylfaen" w:hAnsi="Sylfaen" w:cs="Arial"/>
                <w:b/>
              </w:rPr>
            </w:pPr>
            <w:r w:rsidRPr="00A33EC9">
              <w:rPr>
                <w:rFonts w:ascii="Sylfaen" w:hAnsi="Sylfaen" w:cs="Arial"/>
                <w:b/>
              </w:rPr>
              <w:t>O</w:t>
            </w:r>
            <w:r w:rsidR="00BD3A9C" w:rsidRPr="00A33EC9">
              <w:rPr>
                <w:rFonts w:ascii="Sylfaen" w:hAnsi="Sylfaen" w:cs="Arial"/>
                <w:b/>
              </w:rPr>
              <w:t xml:space="preserve">n    </w:t>
            </w:r>
            <w:r w:rsidR="00461338" w:rsidRPr="00A33EC9">
              <w:rPr>
                <w:rFonts w:ascii="Sylfaen" w:hAnsi="Sylfaen" w:cs="Arial"/>
                <w:b/>
              </w:rPr>
              <w:t>17.09.2018</w:t>
            </w:r>
          </w:p>
        </w:tc>
        <w:tc>
          <w:tcPr>
            <w:tcW w:w="2500" w:type="pct"/>
          </w:tcPr>
          <w:p w:rsidR="00D22636" w:rsidRPr="00A33EC9" w:rsidRDefault="00A46DB4" w:rsidP="00A33EC9">
            <w:pPr>
              <w:jc w:val="right"/>
              <w:rPr>
                <w:rFonts w:ascii="Sylfaen" w:hAnsi="Sylfaen" w:cs="Arial"/>
                <w:b/>
              </w:rPr>
            </w:pPr>
            <w:r w:rsidRPr="00A33EC9">
              <w:rPr>
                <w:rFonts w:ascii="Sylfaen" w:hAnsi="Sylfaen" w:cs="Arial"/>
                <w:b/>
              </w:rPr>
              <w:t>On 18.09.2018</w:t>
            </w:r>
          </w:p>
        </w:tc>
      </w:tr>
    </w:tbl>
    <w:p w:rsidR="00F07170" w:rsidRDefault="00F07170" w:rsidP="00A33EC9">
      <w:pPr>
        <w:jc w:val="center"/>
        <w:rPr>
          <w:rFonts w:ascii="Sylfaen" w:hAnsi="Sylfaen" w:cs="Arial"/>
          <w:b/>
        </w:rPr>
      </w:pPr>
    </w:p>
    <w:p w:rsidR="00A33EC9" w:rsidRDefault="00A33EC9" w:rsidP="00A33EC9">
      <w:pPr>
        <w:jc w:val="center"/>
        <w:rPr>
          <w:rFonts w:ascii="Sylfaen" w:hAnsi="Sylfaen" w:cs="Arial"/>
          <w:b/>
        </w:rPr>
      </w:pPr>
    </w:p>
    <w:p w:rsidR="00A15234" w:rsidRDefault="00207617" w:rsidP="00A33EC9">
      <w:pPr>
        <w:jc w:val="cente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A33EC9" w:rsidRPr="003860CF" w:rsidRDefault="00A33EC9" w:rsidP="00A33EC9">
      <w:pPr>
        <w:jc w:val="center"/>
        <w:rPr>
          <w:rFonts w:ascii="Sylfaen" w:hAnsi="Sylfaen" w:cs="Arial"/>
        </w:rPr>
      </w:pPr>
    </w:p>
    <w:p w:rsidR="00D20757" w:rsidRPr="003860CF" w:rsidRDefault="00BA334F" w:rsidP="00A33EC9">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dge</w:t>
      </w:r>
    </w:p>
    <w:p w:rsidR="00A544A8" w:rsidRPr="00A544A8" w:rsidRDefault="00A544A8" w:rsidP="00A33EC9">
      <w:pPr>
        <w:jc w:val="center"/>
        <w:rPr>
          <w:rFonts w:ascii="Sylfaen" w:hAnsi="Sylfaen" w:cs="Arial"/>
          <w:b/>
          <w:color w:val="000000"/>
        </w:rPr>
      </w:pPr>
      <w:r w:rsidRPr="00A544A8">
        <w:rPr>
          <w:rFonts w:ascii="Sylfaen" w:hAnsi="Sylfaen" w:cs="Arial"/>
          <w:b/>
          <w:color w:val="000000"/>
        </w:rPr>
        <w:t>John FREEMAN</w:t>
      </w:r>
    </w:p>
    <w:p w:rsidR="00A33EC9" w:rsidRDefault="00A33EC9" w:rsidP="00A33EC9">
      <w:pPr>
        <w:jc w:val="center"/>
        <w:rPr>
          <w:rFonts w:ascii="Sylfaen" w:hAnsi="Sylfaen" w:cs="Arial"/>
        </w:rPr>
      </w:pPr>
    </w:p>
    <w:p w:rsidR="00A33EC9" w:rsidRDefault="00A33EC9" w:rsidP="00A33EC9">
      <w:pPr>
        <w:jc w:val="center"/>
        <w:rPr>
          <w:rFonts w:ascii="Sylfaen" w:hAnsi="Sylfaen" w:cs="Arial"/>
        </w:rPr>
      </w:pPr>
    </w:p>
    <w:p w:rsidR="00A845DC" w:rsidRDefault="00A845DC" w:rsidP="00A33EC9">
      <w:pPr>
        <w:jc w:val="center"/>
        <w:rPr>
          <w:rFonts w:ascii="Sylfaen" w:hAnsi="Sylfaen" w:cs="Arial"/>
        </w:rPr>
      </w:pPr>
      <w:r w:rsidRPr="003860CF">
        <w:rPr>
          <w:rFonts w:ascii="Sylfaen" w:hAnsi="Sylfaen" w:cs="Arial"/>
        </w:rPr>
        <w:t>Between</w:t>
      </w:r>
      <w:r w:rsidR="00BD3A9C" w:rsidRPr="003860CF">
        <w:rPr>
          <w:rFonts w:ascii="Sylfaen" w:hAnsi="Sylfaen" w:cs="Arial"/>
        </w:rPr>
        <w:t>:</w:t>
      </w:r>
    </w:p>
    <w:p w:rsidR="00A33EC9" w:rsidRPr="003860CF" w:rsidRDefault="00A33EC9" w:rsidP="00A33EC9">
      <w:pPr>
        <w:jc w:val="center"/>
        <w:rPr>
          <w:rFonts w:ascii="Sylfaen" w:hAnsi="Sylfaen" w:cs="Arial"/>
        </w:rPr>
      </w:pPr>
    </w:p>
    <w:p w:rsidR="00704B61" w:rsidRPr="00A544A8" w:rsidRDefault="00A33EC9" w:rsidP="00A33EC9">
      <w:pPr>
        <w:jc w:val="center"/>
        <w:rPr>
          <w:rFonts w:ascii="Sylfaen" w:hAnsi="Sylfaen" w:cs="Arial"/>
          <w:b/>
        </w:rPr>
      </w:pPr>
      <w:r>
        <w:rPr>
          <w:rFonts w:ascii="Sylfaen" w:hAnsi="Sylfaen" w:cs="Arial"/>
          <w:b/>
        </w:rPr>
        <w:t>[</w:t>
      </w:r>
      <w:r w:rsidR="00461338">
        <w:rPr>
          <w:rFonts w:ascii="Sylfaen" w:hAnsi="Sylfaen" w:cs="Arial"/>
          <w:b/>
        </w:rPr>
        <w:t>R</w:t>
      </w:r>
      <w:r>
        <w:rPr>
          <w:rFonts w:ascii="Sylfaen" w:hAnsi="Sylfaen" w:cs="Arial"/>
          <w:b/>
        </w:rPr>
        <w:t xml:space="preserve"> </w:t>
      </w:r>
      <w:r w:rsidR="00461338">
        <w:rPr>
          <w:rFonts w:ascii="Sylfaen" w:hAnsi="Sylfaen" w:cs="Arial"/>
          <w:b/>
        </w:rPr>
        <w:t>O</w:t>
      </w:r>
      <w:r>
        <w:rPr>
          <w:rFonts w:ascii="Sylfaen" w:hAnsi="Sylfaen" w:cs="Arial"/>
          <w:b/>
        </w:rPr>
        <w:t>]</w:t>
      </w:r>
    </w:p>
    <w:p w:rsidR="00704B61" w:rsidRPr="003860CF" w:rsidRDefault="00BD3A9C" w:rsidP="00A33EC9">
      <w:pPr>
        <w:jc w:val="right"/>
        <w:rPr>
          <w:rFonts w:ascii="Sylfaen" w:hAnsi="Sylfaen" w:cs="Arial"/>
        </w:rPr>
      </w:pPr>
      <w:r w:rsidRPr="003860CF">
        <w:rPr>
          <w:rFonts w:ascii="Sylfaen" w:hAnsi="Sylfaen" w:cs="Arial"/>
        </w:rPr>
        <w:t>appellant</w:t>
      </w:r>
    </w:p>
    <w:p w:rsidR="00704B61" w:rsidRPr="00A544A8" w:rsidRDefault="00DD5071" w:rsidP="00A33EC9">
      <w:pPr>
        <w:jc w:val="center"/>
        <w:rPr>
          <w:rFonts w:ascii="Sylfaen" w:hAnsi="Sylfaen" w:cs="Arial"/>
          <w:b/>
        </w:rPr>
      </w:pPr>
      <w:r w:rsidRPr="00A544A8">
        <w:rPr>
          <w:rFonts w:ascii="Sylfaen" w:hAnsi="Sylfaen" w:cs="Arial"/>
          <w:b/>
        </w:rPr>
        <w:t>and</w:t>
      </w:r>
    </w:p>
    <w:p w:rsidR="00DD5071" w:rsidRPr="00A544A8" w:rsidRDefault="00DD5071" w:rsidP="00A33EC9">
      <w:pPr>
        <w:jc w:val="center"/>
        <w:rPr>
          <w:rFonts w:ascii="Sylfaen" w:hAnsi="Sylfaen" w:cs="Arial"/>
          <w:b/>
        </w:rPr>
      </w:pPr>
    </w:p>
    <w:bookmarkStart w:id="1" w:name="Dropdown1"/>
    <w:p w:rsidR="00DD5071" w:rsidRPr="00A544A8" w:rsidRDefault="00A544A8" w:rsidP="00A33EC9">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01578A">
        <w:rPr>
          <w:rFonts w:ascii="Sylfaen" w:hAnsi="Sylfaen" w:cs="Arial"/>
          <w:b/>
        </w:rPr>
      </w:r>
      <w:r w:rsidR="0001578A">
        <w:rPr>
          <w:rFonts w:ascii="Sylfaen" w:hAnsi="Sylfaen" w:cs="Arial"/>
          <w:b/>
        </w:rPr>
        <w:fldChar w:fldCharType="separate"/>
      </w:r>
      <w:r w:rsidRPr="00A544A8">
        <w:rPr>
          <w:rFonts w:ascii="Sylfaen" w:hAnsi="Sylfaen" w:cs="Arial"/>
          <w:b/>
        </w:rPr>
        <w:fldChar w:fldCharType="end"/>
      </w:r>
      <w:bookmarkEnd w:id="1"/>
    </w:p>
    <w:p w:rsidR="00DD5071" w:rsidRPr="003860CF" w:rsidRDefault="00BD3A9C" w:rsidP="00A33EC9">
      <w:pPr>
        <w:jc w:val="right"/>
        <w:rPr>
          <w:rFonts w:ascii="Sylfaen" w:hAnsi="Sylfaen" w:cs="Arial"/>
        </w:rPr>
      </w:pPr>
      <w:r w:rsidRPr="003860CF">
        <w:rPr>
          <w:rFonts w:ascii="Sylfaen" w:hAnsi="Sylfaen" w:cs="Arial"/>
        </w:rPr>
        <w:t>respondent</w:t>
      </w:r>
    </w:p>
    <w:p w:rsidR="00A33EC9" w:rsidRDefault="00A33EC9" w:rsidP="00A33EC9">
      <w:pPr>
        <w:rPr>
          <w:rFonts w:ascii="Sylfaen" w:hAnsi="Sylfaen" w:cs="Arial"/>
          <w:u w:val="single"/>
        </w:rPr>
      </w:pPr>
    </w:p>
    <w:p w:rsidR="00A33EC9" w:rsidRDefault="00A33EC9" w:rsidP="00A33EC9">
      <w:pPr>
        <w:rPr>
          <w:rFonts w:ascii="Sylfaen" w:hAnsi="Sylfaen" w:cs="Arial"/>
          <w:u w:val="single"/>
        </w:rPr>
      </w:pPr>
    </w:p>
    <w:p w:rsidR="00DD5071" w:rsidRPr="003860CF" w:rsidRDefault="00DE7DB7" w:rsidP="00A33EC9">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461338" w:rsidRDefault="00DE7DB7" w:rsidP="00A33EC9">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461338">
        <w:rPr>
          <w:rFonts w:ascii="Sylfaen" w:hAnsi="Sylfaen" w:cs="Arial"/>
          <w:i/>
        </w:rPr>
        <w:t xml:space="preserve">Gilda </w:t>
      </w:r>
      <w:proofErr w:type="spellStart"/>
      <w:r w:rsidR="00461338">
        <w:rPr>
          <w:rFonts w:ascii="Sylfaen" w:hAnsi="Sylfaen" w:cs="Arial"/>
          <w:i/>
        </w:rPr>
        <w:t>Kiai</w:t>
      </w:r>
      <w:proofErr w:type="spellEnd"/>
      <w:r w:rsidR="00461338">
        <w:rPr>
          <w:rFonts w:ascii="Sylfaen" w:hAnsi="Sylfaen" w:cs="Arial"/>
          <w:i/>
        </w:rPr>
        <w:t xml:space="preserve"> </w:t>
      </w:r>
      <w:r w:rsidR="00461338">
        <w:rPr>
          <w:rFonts w:ascii="Sylfaen" w:hAnsi="Sylfaen" w:cs="Arial"/>
        </w:rPr>
        <w:t>(counsel instructed by Elder Rahimi)</w:t>
      </w:r>
    </w:p>
    <w:p w:rsidR="00DE7DB7" w:rsidRPr="00A544A8" w:rsidRDefault="00DE7DB7" w:rsidP="00A33EC9">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461338">
        <w:rPr>
          <w:rFonts w:ascii="Sylfaen" w:hAnsi="Sylfaen" w:cs="Arial"/>
        </w:rPr>
        <w:t>Mr D Lindsay</w:t>
      </w:r>
    </w:p>
    <w:p w:rsidR="00DE7DB7" w:rsidRPr="00A544A8" w:rsidRDefault="00DE7DB7" w:rsidP="00A33EC9">
      <w:pPr>
        <w:tabs>
          <w:tab w:val="left" w:pos="2520"/>
        </w:tabs>
        <w:jc w:val="center"/>
        <w:rPr>
          <w:rFonts w:ascii="Sylfaen" w:hAnsi="Sylfaen" w:cs="Arial"/>
        </w:rPr>
      </w:pPr>
    </w:p>
    <w:p w:rsidR="00DE7DB7" w:rsidRPr="00A544A8" w:rsidRDefault="001401BB" w:rsidP="00A33EC9">
      <w:pPr>
        <w:tabs>
          <w:tab w:val="left" w:pos="2520"/>
        </w:tabs>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BF23BB" w:rsidRPr="00A544A8" w:rsidRDefault="00FE4D99" w:rsidP="00A33EC9">
      <w:pPr>
        <w:spacing w:before="120" w:after="120"/>
        <w:ind w:left="567"/>
        <w:jc w:val="both"/>
        <w:rPr>
          <w:rFonts w:ascii="Sylfaen" w:hAnsi="Sylfaen" w:cs="Arial"/>
        </w:rPr>
      </w:pPr>
      <w:r>
        <w:rPr>
          <w:rFonts w:ascii="Sylfaen" w:hAnsi="Sylfaen" w:cs="Arial"/>
        </w:rPr>
        <w:t>This is an appeal</w:t>
      </w:r>
      <w:r w:rsidR="00DF392C">
        <w:rPr>
          <w:rFonts w:ascii="Sylfaen" w:hAnsi="Sylfaen" w:cs="Arial"/>
        </w:rPr>
        <w:t>,</w:t>
      </w:r>
      <w:r>
        <w:rPr>
          <w:rFonts w:ascii="Sylfaen" w:hAnsi="Sylfaen" w:cs="Arial"/>
        </w:rPr>
        <w:t xml:space="preserve"> by</w:t>
      </w:r>
      <w:r w:rsidR="00DE20CE">
        <w:rPr>
          <w:rFonts w:ascii="Sylfaen" w:hAnsi="Sylfaen" w:cs="Arial"/>
        </w:rPr>
        <w:t xml:space="preserve"> the </w:t>
      </w:r>
      <w:bookmarkStart w:id="2" w:name="Dropdown4"/>
      <w:r w:rsidR="00461338">
        <w:rPr>
          <w:rFonts w:ascii="Sylfaen" w:hAnsi="Sylfaen" w:cs="Arial"/>
        </w:rPr>
        <w:fldChar w:fldCharType="begin">
          <w:ffData>
            <w:name w:val="Dropdown4"/>
            <w:enabled/>
            <w:calcOnExit w:val="0"/>
            <w:ddList>
              <w:listEntry w:val="respondent to the original appeal"/>
              <w:listEntry w:val="appellant"/>
              <w:listEntry w:val="appellants"/>
            </w:ddList>
          </w:ffData>
        </w:fldChar>
      </w:r>
      <w:r w:rsidR="00461338">
        <w:rPr>
          <w:rFonts w:ascii="Sylfaen" w:hAnsi="Sylfaen" w:cs="Arial"/>
        </w:rPr>
        <w:instrText xml:space="preserve"> FORMDROPDOWN </w:instrText>
      </w:r>
      <w:r w:rsidR="0001578A">
        <w:rPr>
          <w:rFonts w:ascii="Sylfaen" w:hAnsi="Sylfaen" w:cs="Arial"/>
        </w:rPr>
      </w:r>
      <w:r w:rsidR="0001578A">
        <w:rPr>
          <w:rFonts w:ascii="Sylfaen" w:hAnsi="Sylfaen" w:cs="Arial"/>
        </w:rPr>
        <w:fldChar w:fldCharType="separate"/>
      </w:r>
      <w:r w:rsidR="00461338">
        <w:rPr>
          <w:rFonts w:ascii="Sylfaen" w:hAnsi="Sylfaen" w:cs="Arial"/>
        </w:rPr>
        <w:fldChar w:fldCharType="end"/>
      </w:r>
      <w:bookmarkEnd w:id="2"/>
      <w:r w:rsidR="00DF392C">
        <w:rPr>
          <w:rFonts w:ascii="Sylfaen" w:hAnsi="Sylfaen" w:cs="Arial"/>
        </w:rPr>
        <w:t>,</w:t>
      </w:r>
      <w:r>
        <w:rPr>
          <w:rFonts w:ascii="Sylfaen" w:hAnsi="Sylfaen" w:cs="Arial"/>
        </w:rPr>
        <w:t xml:space="preserve"> against the decision of </w:t>
      </w:r>
      <w:r w:rsidR="00194E6E">
        <w:rPr>
          <w:rFonts w:ascii="Sylfaen" w:hAnsi="Sylfaen" w:cs="Arial"/>
        </w:rPr>
        <w:t>the First-tier Tribunal</w:t>
      </w:r>
      <w:r>
        <w:rPr>
          <w:rFonts w:ascii="Sylfaen" w:hAnsi="Sylfaen" w:cs="Arial"/>
        </w:rPr>
        <w:t xml:space="preserve"> </w:t>
      </w:r>
      <w:r w:rsidR="00194E6E">
        <w:rPr>
          <w:rFonts w:ascii="Sylfaen" w:hAnsi="Sylfaen" w:cs="Arial"/>
        </w:rPr>
        <w:t>(</w:t>
      </w:r>
      <w:r>
        <w:rPr>
          <w:rFonts w:ascii="Sylfaen" w:hAnsi="Sylfaen" w:cs="Arial"/>
        </w:rPr>
        <w:t xml:space="preserve">Judge </w:t>
      </w:r>
      <w:r w:rsidR="00461338">
        <w:rPr>
          <w:rFonts w:ascii="Sylfaen" w:hAnsi="Sylfaen" w:cs="Arial"/>
        </w:rPr>
        <w:t>Esme Martins</w:t>
      </w:r>
      <w:r w:rsidR="00194E6E">
        <w:rPr>
          <w:rFonts w:ascii="Sylfaen" w:hAnsi="Sylfaen" w:cs="Arial"/>
        </w:rPr>
        <w:t>)</w:t>
      </w:r>
      <w:r>
        <w:rPr>
          <w:rFonts w:ascii="Sylfaen" w:hAnsi="Sylfaen" w:cs="Arial"/>
        </w:rPr>
        <w:t xml:space="preserve">, sitting at </w:t>
      </w:r>
      <w:r w:rsidR="00461338">
        <w:rPr>
          <w:rFonts w:ascii="Sylfaen" w:hAnsi="Sylfaen" w:cs="Arial"/>
        </w:rPr>
        <w:t>Hatton Cross</w:t>
      </w:r>
      <w:r>
        <w:rPr>
          <w:rFonts w:ascii="Sylfaen" w:hAnsi="Sylfaen" w:cs="Arial"/>
        </w:rPr>
        <w:t xml:space="preserve"> on </w:t>
      </w:r>
      <w:r w:rsidR="00461338">
        <w:rPr>
          <w:rFonts w:ascii="Sylfaen" w:hAnsi="Sylfaen" w:cs="Arial"/>
        </w:rPr>
        <w:t>13 March</w:t>
      </w:r>
      <w:r>
        <w:rPr>
          <w:rFonts w:ascii="Sylfaen" w:hAnsi="Sylfaen" w:cs="Arial"/>
        </w:rPr>
        <w:t xml:space="preserve">, to </w:t>
      </w:r>
      <w:bookmarkStart w:id="3" w:name="Dropdown2"/>
      <w:r w:rsidR="00461338">
        <w:rPr>
          <w:rFonts w:ascii="Sylfaen" w:hAnsi="Sylfaen" w:cs="Arial"/>
        </w:rPr>
        <w:fldChar w:fldCharType="begin">
          <w:ffData>
            <w:name w:val="Dropdown2"/>
            <w:enabled/>
            <w:calcOnExit w:val="0"/>
            <w:ddList>
              <w:listEntry w:val="allow"/>
              <w:listEntry w:val="dismiss"/>
            </w:ddList>
          </w:ffData>
        </w:fldChar>
      </w:r>
      <w:r w:rsidR="00461338">
        <w:rPr>
          <w:rFonts w:ascii="Sylfaen" w:hAnsi="Sylfaen" w:cs="Arial"/>
        </w:rPr>
        <w:instrText xml:space="preserve"> FORMDROPDOWN </w:instrText>
      </w:r>
      <w:r w:rsidR="0001578A">
        <w:rPr>
          <w:rFonts w:ascii="Sylfaen" w:hAnsi="Sylfaen" w:cs="Arial"/>
        </w:rPr>
      </w:r>
      <w:r w:rsidR="0001578A">
        <w:rPr>
          <w:rFonts w:ascii="Sylfaen" w:hAnsi="Sylfaen" w:cs="Arial"/>
        </w:rPr>
        <w:fldChar w:fldCharType="separate"/>
      </w:r>
      <w:r w:rsidR="00461338">
        <w:rPr>
          <w:rFonts w:ascii="Sylfaen" w:hAnsi="Sylfaen" w:cs="Arial"/>
        </w:rPr>
        <w:fldChar w:fldCharType="end"/>
      </w:r>
      <w:bookmarkEnd w:id="3"/>
      <w:r>
        <w:rPr>
          <w:rFonts w:ascii="Sylfaen" w:hAnsi="Sylfaen" w:cs="Arial"/>
        </w:rPr>
        <w:t xml:space="preserve"> </w:t>
      </w:r>
      <w:r w:rsidR="00461338">
        <w:rPr>
          <w:rFonts w:ascii="Sylfaen" w:hAnsi="Sylfaen" w:cs="Arial"/>
        </w:rPr>
        <w:t>an asylum and human rights</w:t>
      </w:r>
      <w:r>
        <w:rPr>
          <w:rFonts w:ascii="Sylfaen" w:hAnsi="Sylfaen" w:cs="Arial"/>
        </w:rPr>
        <w:t xml:space="preserve"> appeal by a citizen of </w:t>
      </w:r>
      <w:r w:rsidR="00461338">
        <w:rPr>
          <w:rFonts w:ascii="Sylfaen" w:hAnsi="Sylfaen" w:cs="Arial"/>
        </w:rPr>
        <w:t>Nigeria</w:t>
      </w:r>
      <w:r w:rsidR="00102EBC">
        <w:rPr>
          <w:rFonts w:ascii="Sylfaen" w:hAnsi="Sylfaen" w:cs="Arial"/>
        </w:rPr>
        <w:t xml:space="preserve">, born </w:t>
      </w:r>
      <w:r w:rsidR="00461338">
        <w:rPr>
          <w:rFonts w:ascii="Sylfaen" w:hAnsi="Sylfaen" w:cs="Arial"/>
        </w:rPr>
        <w:t>1990</w:t>
      </w:r>
      <w:r>
        <w:rPr>
          <w:rFonts w:ascii="Sylfaen" w:hAnsi="Sylfaen" w:cs="Arial"/>
        </w:rPr>
        <w:t>.</w:t>
      </w:r>
    </w:p>
    <w:p w:rsidR="003F4AC4" w:rsidRDefault="00461338" w:rsidP="00A33EC9">
      <w:pPr>
        <w:numPr>
          <w:ilvl w:val="0"/>
          <w:numId w:val="1"/>
        </w:numPr>
        <w:tabs>
          <w:tab w:val="clear" w:pos="757"/>
        </w:tabs>
        <w:spacing w:before="120" w:after="120"/>
        <w:ind w:left="567" w:hanging="567"/>
        <w:jc w:val="both"/>
        <w:rPr>
          <w:rFonts w:ascii="Sylfaen" w:hAnsi="Sylfaen" w:cs="Arial"/>
        </w:rPr>
      </w:pPr>
      <w:r>
        <w:rPr>
          <w:rFonts w:ascii="Sylfaen" w:hAnsi="Sylfaen" w:cs="Arial"/>
        </w:rPr>
        <w:t xml:space="preserve">This is a reasons challenge: a great deal has been said in various authorities about the duty to provide them, but, as everyone agrees, the main requirement is to let the losing party </w:t>
      </w:r>
      <w:r>
        <w:rPr>
          <w:rFonts w:ascii="Sylfaen" w:hAnsi="Sylfaen" w:cs="Arial"/>
        </w:rPr>
        <w:lastRenderedPageBreak/>
        <w:t xml:space="preserve">know exactly why they lost. This appellant had come here on a visit visa in 2011, and been given leave to remain as a domestic worker till 2015; but in 2014 she complained that she had been the victim of trafficking, and was given six months’ discretionary leave. In 2017 she claimed asylum, but was refused after interview on 30 January 2018. The refusal letter was exceptionally detailed: it was accepted that the appellant had been a victim of trafficking, but not that she was at any current risk, both because there was sufficient protection available to her in Nigeria </w:t>
      </w:r>
      <w:r w:rsidR="003F4AC4">
        <w:rPr>
          <w:rFonts w:ascii="Sylfaen" w:hAnsi="Sylfaen" w:cs="Arial"/>
        </w:rPr>
        <w:t>(paragraphs 79 – 110), and because internal relocation would be open to her (111 – 121).</w:t>
      </w:r>
    </w:p>
    <w:p w:rsidR="004617F0" w:rsidRDefault="003F4AC4" w:rsidP="00A33EC9">
      <w:pPr>
        <w:numPr>
          <w:ilvl w:val="0"/>
          <w:numId w:val="1"/>
        </w:numPr>
        <w:tabs>
          <w:tab w:val="clear" w:pos="757"/>
        </w:tabs>
        <w:spacing w:before="120" w:after="120"/>
        <w:ind w:left="567" w:hanging="567"/>
        <w:jc w:val="both"/>
        <w:rPr>
          <w:rFonts w:ascii="Sylfaen" w:hAnsi="Sylfaen" w:cs="Arial"/>
        </w:rPr>
      </w:pPr>
      <w:r>
        <w:rPr>
          <w:rFonts w:ascii="Sylfaen" w:hAnsi="Sylfaen" w:cs="Arial"/>
        </w:rPr>
        <w:t xml:space="preserve">The appellant did not give </w:t>
      </w:r>
      <w:r w:rsidRPr="003F4AC4">
        <w:rPr>
          <w:rFonts w:ascii="Sylfaen" w:hAnsi="Sylfaen" w:cs="Arial"/>
        </w:rPr>
        <w:t>oral evidence</w:t>
      </w:r>
      <w:r>
        <w:rPr>
          <w:rFonts w:ascii="Sylfaen" w:hAnsi="Sylfaen" w:cs="Arial"/>
        </w:rPr>
        <w:t xml:space="preserve"> before the judge, who had a large volume of documentary evidence before her, including a report from a ‘country expert’ (</w:t>
      </w:r>
      <w:proofErr w:type="spellStart"/>
      <w:r>
        <w:rPr>
          <w:rFonts w:ascii="Sylfaen" w:hAnsi="Sylfaen" w:cs="Arial"/>
        </w:rPr>
        <w:t>Adaobi</w:t>
      </w:r>
      <w:proofErr w:type="spellEnd"/>
      <w:r>
        <w:rPr>
          <w:rFonts w:ascii="Sylfaen" w:hAnsi="Sylfaen" w:cs="Arial"/>
        </w:rPr>
        <w:t xml:space="preserve"> </w:t>
      </w:r>
      <w:proofErr w:type="spellStart"/>
      <w:r>
        <w:rPr>
          <w:rFonts w:ascii="Sylfaen" w:hAnsi="Sylfaen" w:cs="Arial"/>
        </w:rPr>
        <w:t>Nkeokelonye</w:t>
      </w:r>
      <w:proofErr w:type="spellEnd"/>
      <w:r>
        <w:rPr>
          <w:rFonts w:ascii="Sylfaen" w:hAnsi="Sylfaen" w:cs="Arial"/>
        </w:rPr>
        <w:t>). This was dated 12 March; so clearly the</w:t>
      </w:r>
      <w:r w:rsidR="00EF6EFD">
        <w:rPr>
          <w:rFonts w:ascii="Sylfaen" w:hAnsi="Sylfaen" w:cs="Arial"/>
        </w:rPr>
        <w:t xml:space="preserve"> respondent</w:t>
      </w:r>
      <w:r>
        <w:rPr>
          <w:rFonts w:ascii="Sylfaen" w:hAnsi="Sylfaen" w:cs="Arial"/>
        </w:rPr>
        <w:t xml:space="preserve"> had had no opportunity to consider it before the date of the hearing. The judge set out the background in some detail, and gave what </w:t>
      </w:r>
      <w:r w:rsidRPr="003F4AC4">
        <w:rPr>
          <w:rFonts w:ascii="Sylfaen" w:hAnsi="Sylfaen" w:cs="Arial"/>
        </w:rPr>
        <w:t>Mr Lindsay</w:t>
      </w:r>
      <w:r>
        <w:rPr>
          <w:rFonts w:ascii="Sylfaen" w:hAnsi="Sylfaen" w:cs="Arial"/>
        </w:rPr>
        <w:t xml:space="preserve"> agrees was a short, but fair summary of the presenting officer’s arguments at 48 – 50. </w:t>
      </w:r>
    </w:p>
    <w:p w:rsidR="003F4AC4" w:rsidRDefault="003F4AC4" w:rsidP="00A33EC9">
      <w:pPr>
        <w:numPr>
          <w:ilvl w:val="0"/>
          <w:numId w:val="1"/>
        </w:numPr>
        <w:tabs>
          <w:tab w:val="clear" w:pos="757"/>
        </w:tabs>
        <w:spacing w:before="120" w:after="120"/>
        <w:ind w:left="567" w:hanging="567"/>
        <w:jc w:val="both"/>
        <w:rPr>
          <w:rFonts w:ascii="Sylfaen" w:hAnsi="Sylfaen" w:cs="Arial"/>
        </w:rPr>
      </w:pPr>
      <w:r>
        <w:rPr>
          <w:rFonts w:ascii="Sylfaen" w:hAnsi="Sylfaen" w:cs="Arial"/>
        </w:rPr>
        <w:t xml:space="preserve">The judge had already dealt with Miss </w:t>
      </w:r>
      <w:proofErr w:type="spellStart"/>
      <w:r>
        <w:rPr>
          <w:rFonts w:ascii="Sylfaen" w:hAnsi="Sylfaen" w:cs="Arial"/>
        </w:rPr>
        <w:t>Kiai’s</w:t>
      </w:r>
      <w:proofErr w:type="spellEnd"/>
      <w:r>
        <w:rPr>
          <w:rFonts w:ascii="Sylfaen" w:hAnsi="Sylfaen" w:cs="Arial"/>
        </w:rPr>
        <w:t xml:space="preserve"> submissions, in rather more detail, at 41 – 47. She set out the relevant law at 52 – 56, and went on at 57 to say this: </w:t>
      </w:r>
    </w:p>
    <w:p w:rsidR="003F4AC4" w:rsidRPr="003F4AC4" w:rsidRDefault="00A33EC9" w:rsidP="00A33EC9">
      <w:pPr>
        <w:spacing w:before="120" w:after="120"/>
        <w:ind w:left="1134"/>
        <w:jc w:val="both"/>
        <w:rPr>
          <w:rFonts w:ascii="Sylfaen" w:hAnsi="Sylfaen" w:cs="Arial"/>
          <w:sz w:val="22"/>
          <w:szCs w:val="22"/>
        </w:rPr>
      </w:pPr>
      <w:r>
        <w:rPr>
          <w:rFonts w:ascii="Sylfaen" w:hAnsi="Sylfaen" w:cs="Arial"/>
          <w:sz w:val="22"/>
          <w:szCs w:val="22"/>
        </w:rPr>
        <w:t>“</w:t>
      </w:r>
      <w:r w:rsidR="003F4AC4">
        <w:rPr>
          <w:rFonts w:ascii="Sylfaen" w:hAnsi="Sylfaen" w:cs="Arial"/>
          <w:sz w:val="22"/>
          <w:szCs w:val="22"/>
        </w:rPr>
        <w:t>I agree with M</w:t>
      </w:r>
      <w:r w:rsidR="003F4AC4" w:rsidRPr="003F4AC4">
        <w:rPr>
          <w:rFonts w:ascii="Sylfaen" w:hAnsi="Sylfaen" w:cs="Arial"/>
          <w:sz w:val="22"/>
          <w:szCs w:val="22"/>
        </w:rPr>
        <w:t xml:space="preserve">s </w:t>
      </w:r>
      <w:proofErr w:type="spellStart"/>
      <w:r w:rsidR="003F4AC4" w:rsidRPr="003F4AC4">
        <w:rPr>
          <w:rFonts w:ascii="Sylfaen" w:hAnsi="Sylfaen" w:cs="Arial"/>
          <w:sz w:val="22"/>
          <w:szCs w:val="22"/>
        </w:rPr>
        <w:t>Kiai</w:t>
      </w:r>
      <w:r w:rsidR="003F4AC4">
        <w:rPr>
          <w:rFonts w:ascii="Sylfaen" w:hAnsi="Sylfaen" w:cs="Arial"/>
          <w:sz w:val="22"/>
          <w:szCs w:val="22"/>
        </w:rPr>
        <w:t>’s</w:t>
      </w:r>
      <w:proofErr w:type="spellEnd"/>
      <w:r w:rsidR="003F4AC4">
        <w:rPr>
          <w:rFonts w:ascii="Sylfaen" w:hAnsi="Sylfaen" w:cs="Arial"/>
          <w:sz w:val="22"/>
          <w:szCs w:val="22"/>
        </w:rPr>
        <w:t xml:space="preserve"> submissions and find that the appellant has established to the lower standard that she faces a real risk of serious harm on return to Nigeria, as a member of a particular social group, and that for the same reason, she is at risk of a breach of her rights under Article 3 of the ECHR; and Article 8 of the </w:t>
      </w:r>
      <w:r w:rsidR="00F54ABB">
        <w:rPr>
          <w:rFonts w:ascii="Sylfaen" w:hAnsi="Sylfaen" w:cs="Arial"/>
          <w:sz w:val="22"/>
          <w:szCs w:val="22"/>
        </w:rPr>
        <w:t>European Convention on Human Rights, on the basis of her private life. I find that there are very significant obstacles</w:t>
      </w:r>
      <w:r w:rsidR="003F4AC4">
        <w:rPr>
          <w:rFonts w:ascii="Sylfaen" w:hAnsi="Sylfaen" w:cs="Arial"/>
          <w:sz w:val="22"/>
          <w:szCs w:val="22"/>
        </w:rPr>
        <w:t xml:space="preserve"> </w:t>
      </w:r>
      <w:r w:rsidR="00F54ABB">
        <w:rPr>
          <w:rFonts w:ascii="Sylfaen" w:hAnsi="Sylfaen" w:cs="Arial"/>
          <w:sz w:val="22"/>
          <w:szCs w:val="22"/>
        </w:rPr>
        <w:t xml:space="preserve">to the appellant’s </w:t>
      </w:r>
      <w:r w:rsidR="00F54ABB" w:rsidRPr="00F54ABB">
        <w:rPr>
          <w:rFonts w:ascii="Sylfaen" w:hAnsi="Sylfaen" w:cs="Arial"/>
          <w:sz w:val="22"/>
          <w:szCs w:val="22"/>
        </w:rPr>
        <w:t>reintegration</w:t>
      </w:r>
      <w:r w:rsidR="00F54ABB">
        <w:rPr>
          <w:rFonts w:ascii="Sylfaen" w:hAnsi="Sylfaen" w:cs="Arial"/>
          <w:sz w:val="22"/>
          <w:szCs w:val="22"/>
        </w:rPr>
        <w:t xml:space="preserve"> into Nigeria for the reasons given in M</w:t>
      </w:r>
      <w:r w:rsidR="00F54ABB" w:rsidRPr="003F4AC4">
        <w:rPr>
          <w:rFonts w:ascii="Sylfaen" w:hAnsi="Sylfaen" w:cs="Arial"/>
          <w:sz w:val="22"/>
          <w:szCs w:val="22"/>
        </w:rPr>
        <w:t xml:space="preserve">s </w:t>
      </w:r>
      <w:proofErr w:type="spellStart"/>
      <w:r w:rsidR="00F54ABB" w:rsidRPr="003F4AC4">
        <w:rPr>
          <w:rFonts w:ascii="Sylfaen" w:hAnsi="Sylfaen" w:cs="Arial"/>
          <w:sz w:val="22"/>
          <w:szCs w:val="22"/>
        </w:rPr>
        <w:t>Kiai</w:t>
      </w:r>
      <w:r w:rsidR="00F54ABB">
        <w:rPr>
          <w:rFonts w:ascii="Sylfaen" w:hAnsi="Sylfaen" w:cs="Arial"/>
          <w:sz w:val="22"/>
          <w:szCs w:val="22"/>
        </w:rPr>
        <w:t>’s</w:t>
      </w:r>
      <w:proofErr w:type="spellEnd"/>
      <w:r w:rsidR="00F54ABB">
        <w:rPr>
          <w:rFonts w:ascii="Sylfaen" w:hAnsi="Sylfaen" w:cs="Arial"/>
          <w:sz w:val="22"/>
          <w:szCs w:val="22"/>
        </w:rPr>
        <w:t xml:space="preserve"> skeleton argument with which I agree; and particularly in the light of the evidence of the various agencies that have been involved with the appellant and the expert report.</w:t>
      </w:r>
      <w:r>
        <w:rPr>
          <w:rFonts w:ascii="Sylfaen" w:hAnsi="Sylfaen" w:cs="Arial"/>
          <w:sz w:val="22"/>
          <w:szCs w:val="22"/>
        </w:rPr>
        <w:t>”</w:t>
      </w:r>
      <w:bookmarkStart w:id="4" w:name="_GoBack"/>
      <w:bookmarkEnd w:id="4"/>
    </w:p>
    <w:p w:rsidR="003F4AC4" w:rsidRDefault="00F54ABB" w:rsidP="00A33EC9">
      <w:pPr>
        <w:numPr>
          <w:ilvl w:val="0"/>
          <w:numId w:val="1"/>
        </w:numPr>
        <w:tabs>
          <w:tab w:val="clear" w:pos="757"/>
        </w:tabs>
        <w:spacing w:before="120" w:after="120"/>
        <w:ind w:left="567" w:hanging="567"/>
        <w:jc w:val="both"/>
        <w:rPr>
          <w:rFonts w:ascii="Sylfaen" w:hAnsi="Sylfaen" w:cs="Arial"/>
        </w:rPr>
      </w:pPr>
      <w:r>
        <w:rPr>
          <w:rFonts w:ascii="Sylfaen" w:hAnsi="Sylfaen" w:cs="Arial"/>
        </w:rPr>
        <w:t>That might have been a fair summary of conclusions reached after reasoned discussion; but, standing alone as it does, it reads rather more as if the judge was delegating her decision-making powers to counsel, the ‘country expert’, and the (</w:t>
      </w:r>
      <w:r w:rsidRPr="00F54ABB">
        <w:rPr>
          <w:rFonts w:ascii="Sylfaen" w:hAnsi="Sylfaen" w:cs="Arial"/>
        </w:rPr>
        <w:t>unspecified</w:t>
      </w:r>
      <w:r>
        <w:rPr>
          <w:rFonts w:ascii="Sylfaen" w:hAnsi="Sylfaen" w:cs="Arial"/>
        </w:rPr>
        <w:t>) ‘various agencies’. In my view some indication of the judge’s own reasons for agreeing with them, however short, was required.</w:t>
      </w:r>
    </w:p>
    <w:p w:rsidR="00F54ABB" w:rsidRDefault="00F54ABB" w:rsidP="00A33EC9">
      <w:pPr>
        <w:numPr>
          <w:ilvl w:val="0"/>
          <w:numId w:val="1"/>
        </w:numPr>
        <w:tabs>
          <w:tab w:val="clear" w:pos="757"/>
        </w:tabs>
        <w:spacing w:before="120" w:after="120"/>
        <w:ind w:left="567" w:hanging="567"/>
        <w:jc w:val="both"/>
        <w:rPr>
          <w:rFonts w:ascii="Sylfaen" w:hAnsi="Sylfaen" w:cs="Arial"/>
        </w:rPr>
      </w:pPr>
      <w:r>
        <w:rPr>
          <w:rFonts w:ascii="Sylfaen" w:hAnsi="Sylfaen" w:cs="Arial"/>
        </w:rPr>
        <w:t xml:space="preserve">That is not however the most </w:t>
      </w:r>
      <w:r w:rsidRPr="00F54ABB">
        <w:rPr>
          <w:rFonts w:ascii="Sylfaen" w:hAnsi="Sylfaen" w:cs="Arial"/>
        </w:rPr>
        <w:t>significant</w:t>
      </w:r>
      <w:r>
        <w:rPr>
          <w:rFonts w:ascii="Sylfaen" w:hAnsi="Sylfaen" w:cs="Arial"/>
        </w:rPr>
        <w:t xml:space="preserve"> point in this case, which is that the judge did not deal with the Home Office’s arguments at all. </w:t>
      </w:r>
      <w:r w:rsidRPr="00F54ABB">
        <w:rPr>
          <w:rFonts w:ascii="Sylfaen" w:hAnsi="Sylfaen" w:cs="Arial"/>
        </w:rPr>
        <w:t xml:space="preserve">Miss </w:t>
      </w:r>
      <w:proofErr w:type="spellStart"/>
      <w:r w:rsidRPr="00F54ABB">
        <w:rPr>
          <w:rFonts w:ascii="Sylfaen" w:hAnsi="Sylfaen" w:cs="Arial"/>
        </w:rPr>
        <w:t>Kiai</w:t>
      </w:r>
      <w:proofErr w:type="spellEnd"/>
      <w:r>
        <w:rPr>
          <w:rFonts w:ascii="Sylfaen" w:hAnsi="Sylfaen" w:cs="Arial"/>
        </w:rPr>
        <w:t xml:space="preserve"> urged me to take the view that, since the ‘country expert’ had dealt with them in detail in their report, it was enough to refer to that. I disagree: </w:t>
      </w:r>
      <w:proofErr w:type="gramStart"/>
      <w:r>
        <w:rPr>
          <w:rFonts w:ascii="Sylfaen" w:hAnsi="Sylfaen" w:cs="Arial"/>
        </w:rPr>
        <w:t>again</w:t>
      </w:r>
      <w:proofErr w:type="gramEnd"/>
      <w:r>
        <w:rPr>
          <w:rFonts w:ascii="Sylfaen" w:hAnsi="Sylfaen" w:cs="Arial"/>
        </w:rPr>
        <w:t xml:space="preserve"> the losing party, in this case the</w:t>
      </w:r>
      <w:r w:rsidR="00EF6EFD">
        <w:rPr>
          <w:rFonts w:ascii="Sylfaen" w:hAnsi="Sylfaen" w:cs="Arial"/>
        </w:rPr>
        <w:t xml:space="preserve"> respondent</w:t>
      </w:r>
      <w:r>
        <w:rPr>
          <w:rFonts w:ascii="Sylfaen" w:hAnsi="Sylfaen" w:cs="Arial"/>
        </w:rPr>
        <w:t xml:space="preserve">, </w:t>
      </w:r>
      <w:r w:rsidR="00EF6EFD">
        <w:rPr>
          <w:rFonts w:ascii="Sylfaen" w:hAnsi="Sylfaen" w:cs="Arial"/>
        </w:rPr>
        <w:t>was</w:t>
      </w:r>
      <w:r>
        <w:rPr>
          <w:rFonts w:ascii="Sylfaen" w:hAnsi="Sylfaen" w:cs="Arial"/>
        </w:rPr>
        <w:t xml:space="preserve"> entitled to know what the judge herself thought about the main issues they had raised, and why. If the judge agreed with the ‘country expert’, rather than the writer of the refusal letter, then it was for her to explain, however briefly, why that was.</w:t>
      </w:r>
      <w:r w:rsidR="00EF6EFD">
        <w:rPr>
          <w:rFonts w:ascii="Sylfaen" w:hAnsi="Sylfaen" w:cs="Arial"/>
        </w:rPr>
        <w:t xml:space="preserve"> This was particularly necessary when the ‘country expert’s report had been filed at such a late stage.</w:t>
      </w:r>
    </w:p>
    <w:p w:rsidR="00F54ABB" w:rsidRDefault="00F54ABB" w:rsidP="00A33EC9">
      <w:pPr>
        <w:numPr>
          <w:ilvl w:val="0"/>
          <w:numId w:val="1"/>
        </w:numPr>
        <w:tabs>
          <w:tab w:val="clear" w:pos="757"/>
        </w:tabs>
        <w:spacing w:before="120" w:after="120"/>
        <w:ind w:left="567" w:hanging="567"/>
        <w:jc w:val="both"/>
        <w:rPr>
          <w:rFonts w:ascii="Sylfaen" w:hAnsi="Sylfaen" w:cs="Arial"/>
        </w:rPr>
      </w:pPr>
      <w:r w:rsidRPr="00F54ABB">
        <w:rPr>
          <w:rFonts w:ascii="Sylfaen" w:hAnsi="Sylfaen" w:cs="Arial"/>
        </w:rPr>
        <w:t xml:space="preserve">Miss </w:t>
      </w:r>
      <w:proofErr w:type="spellStart"/>
      <w:r w:rsidRPr="00F54ABB">
        <w:rPr>
          <w:rFonts w:ascii="Sylfaen" w:hAnsi="Sylfaen" w:cs="Arial"/>
        </w:rPr>
        <w:t>Kiai</w:t>
      </w:r>
      <w:proofErr w:type="spellEnd"/>
      <w:r>
        <w:rPr>
          <w:rFonts w:ascii="Sylfaen" w:hAnsi="Sylfaen" w:cs="Arial"/>
        </w:rPr>
        <w:t xml:space="preserve"> also suggested that any error by the judge in failing to provide such an explanation was immaterial, since she had reached a conclusion to which she was entitled on article 8. </w:t>
      </w:r>
      <w:r w:rsidRPr="00F54ABB">
        <w:rPr>
          <w:rFonts w:ascii="Sylfaen" w:hAnsi="Sylfaen" w:cs="Arial"/>
        </w:rPr>
        <w:t>Mr Lindsay</w:t>
      </w:r>
      <w:r>
        <w:rPr>
          <w:rFonts w:ascii="Sylfaen" w:hAnsi="Sylfaen" w:cs="Arial"/>
        </w:rPr>
        <w:t xml:space="preserve"> pointed out that the </w:t>
      </w:r>
      <w:r w:rsidR="00EF6EFD">
        <w:rPr>
          <w:rFonts w:ascii="Sylfaen" w:hAnsi="Sylfaen" w:cs="Arial"/>
        </w:rPr>
        <w:t>respondent’s</w:t>
      </w:r>
      <w:r>
        <w:rPr>
          <w:rFonts w:ascii="Sylfaen" w:hAnsi="Sylfaen" w:cs="Arial"/>
        </w:rPr>
        <w:t xml:space="preserve"> arguments on protection and internal relocation would also apply to </w:t>
      </w:r>
      <w:r w:rsidR="00EF6EFD">
        <w:rPr>
          <w:rFonts w:ascii="Sylfaen" w:hAnsi="Sylfaen" w:cs="Arial"/>
        </w:rPr>
        <w:t xml:space="preserve">article 3, and to </w:t>
      </w:r>
      <w:r>
        <w:rPr>
          <w:rFonts w:ascii="Sylfaen" w:hAnsi="Sylfaen" w:cs="Arial"/>
        </w:rPr>
        <w:t>the ‘very significant obstacles’ point</w:t>
      </w:r>
      <w:r w:rsidR="00EF6EFD">
        <w:rPr>
          <w:rFonts w:ascii="Sylfaen" w:hAnsi="Sylfaen" w:cs="Arial"/>
        </w:rPr>
        <w:t xml:space="preserve">, which in my view is right. There is also the point that, by allowing the appeal on asylum grounds, </w:t>
      </w:r>
      <w:r w:rsidR="00EF6EFD">
        <w:rPr>
          <w:rFonts w:ascii="Sylfaen" w:hAnsi="Sylfaen" w:cs="Arial"/>
        </w:rPr>
        <w:lastRenderedPageBreak/>
        <w:t xml:space="preserve">the judge’s decision effectively made sure she was </w:t>
      </w:r>
      <w:r w:rsidR="00EF6EFD" w:rsidRPr="00EF6EFD">
        <w:rPr>
          <w:rFonts w:ascii="Sylfaen" w:hAnsi="Sylfaen" w:cs="Arial"/>
        </w:rPr>
        <w:t>recognized</w:t>
      </w:r>
      <w:r w:rsidR="00EF6EFD">
        <w:rPr>
          <w:rFonts w:ascii="Sylfaen" w:hAnsi="Sylfaen" w:cs="Arial"/>
        </w:rPr>
        <w:t xml:space="preserve"> as a refugee, a status to which she would not be entitled by succeeding on article 8, or even article 3.</w:t>
      </w:r>
    </w:p>
    <w:p w:rsidR="00F54ABB" w:rsidRDefault="00F54ABB" w:rsidP="00A33EC9">
      <w:pPr>
        <w:numPr>
          <w:ilvl w:val="0"/>
          <w:numId w:val="1"/>
        </w:numPr>
        <w:tabs>
          <w:tab w:val="clear" w:pos="757"/>
        </w:tabs>
        <w:spacing w:before="120" w:after="120"/>
        <w:ind w:left="567" w:hanging="567"/>
        <w:jc w:val="both"/>
        <w:rPr>
          <w:rFonts w:ascii="Sylfaen" w:hAnsi="Sylfaen" w:cs="Arial"/>
        </w:rPr>
      </w:pPr>
      <w:r>
        <w:rPr>
          <w:rFonts w:ascii="Sylfaen" w:hAnsi="Sylfaen" w:cs="Arial"/>
        </w:rPr>
        <w:t>For those reasons I take the view that the ju</w:t>
      </w:r>
      <w:r w:rsidR="00EF6EFD">
        <w:rPr>
          <w:rFonts w:ascii="Sylfaen" w:hAnsi="Sylfaen" w:cs="Arial"/>
        </w:rPr>
        <w:t xml:space="preserve">dge’s decision was wrong in law, for lack of the necessary reasons. I have considerable sympathy for the very </w:t>
      </w:r>
      <w:r w:rsidR="00EF6EFD" w:rsidRPr="00EF6EFD">
        <w:rPr>
          <w:rFonts w:ascii="Sylfaen" w:hAnsi="Sylfaen" w:cs="Arial"/>
        </w:rPr>
        <w:t xml:space="preserve">experienced </w:t>
      </w:r>
      <w:r w:rsidR="00EF6EFD">
        <w:rPr>
          <w:rFonts w:ascii="Sylfaen" w:hAnsi="Sylfaen" w:cs="Arial"/>
        </w:rPr>
        <w:t>judge, faced as she was with such a volume of documentary material on both sides; but I have no doubt that she will be well capable of providing the necessary explanation of why, if she does so once more, she accepts the appellant’s case, and rejects the respondent’s.</w:t>
      </w:r>
    </w:p>
    <w:p w:rsidR="009F5220" w:rsidRPr="00A544A8" w:rsidRDefault="00EF6EFD" w:rsidP="00A33EC9">
      <w:pPr>
        <w:numPr>
          <w:ilvl w:val="0"/>
          <w:numId w:val="1"/>
        </w:numPr>
        <w:tabs>
          <w:tab w:val="clear" w:pos="757"/>
        </w:tabs>
        <w:spacing w:before="120" w:after="120"/>
        <w:ind w:left="567" w:hanging="567"/>
        <w:jc w:val="both"/>
        <w:rPr>
          <w:rFonts w:ascii="Sylfaen" w:hAnsi="Sylfaen" w:cs="Arial"/>
        </w:rPr>
      </w:pPr>
      <w:r>
        <w:rPr>
          <w:rFonts w:ascii="Sylfaen" w:hAnsi="Sylfaen" w:cs="Arial"/>
        </w:rPr>
        <w:t xml:space="preserve">The result will be a further hearing before Judge Martins, so that she can do that. Both parties will be entitled to appear and put forward their arguments; but it is not expected that there will be any </w:t>
      </w:r>
      <w:r w:rsidRPr="00EF6EFD">
        <w:rPr>
          <w:rFonts w:ascii="Sylfaen" w:hAnsi="Sylfaen" w:cs="Arial"/>
        </w:rPr>
        <w:t>oral evidence</w:t>
      </w:r>
      <w:r>
        <w:rPr>
          <w:rFonts w:ascii="Sylfaen" w:hAnsi="Sylfaen" w:cs="Arial"/>
        </w:rPr>
        <w:t xml:space="preserve"> from the appellant.</w:t>
      </w:r>
    </w:p>
    <w:p w:rsidR="009F5220" w:rsidRDefault="008F23F4" w:rsidP="00A33EC9">
      <w:pPr>
        <w:spacing w:before="120" w:after="120"/>
        <w:jc w:val="both"/>
        <w:rPr>
          <w:rFonts w:ascii="Sylfaen" w:hAnsi="Sylfaen" w:cs="Arial"/>
          <w:b/>
        </w:rPr>
      </w:pPr>
      <w:r>
        <w:rPr>
          <w:rFonts w:ascii="Sylfaen" w:hAnsi="Sylfaen" w:cs="Arial"/>
          <w:b/>
        </w:rPr>
        <w:t xml:space="preserve">Appeal </w:t>
      </w:r>
      <w:bookmarkStart w:id="5" w:name="Dropdown3"/>
      <w:r w:rsidR="00EF6EFD">
        <w:rPr>
          <w:rFonts w:ascii="Sylfaen" w:hAnsi="Sylfaen" w:cs="Arial"/>
          <w:b/>
        </w:rPr>
        <w:fldChar w:fldCharType="begin">
          <w:ffData>
            <w:name w:val="Dropdown3"/>
            <w:enabled/>
            <w:calcOnExit w:val="0"/>
            <w:ddList>
              <w:listEntry w:val="allowed"/>
              <w:listEntry w:val="dismissed"/>
            </w:ddList>
          </w:ffData>
        </w:fldChar>
      </w:r>
      <w:r w:rsidR="00EF6EFD">
        <w:rPr>
          <w:rFonts w:ascii="Sylfaen" w:hAnsi="Sylfaen" w:cs="Arial"/>
          <w:b/>
        </w:rPr>
        <w:instrText xml:space="preserve"> FORMDROPDOWN </w:instrText>
      </w:r>
      <w:r w:rsidR="0001578A">
        <w:rPr>
          <w:rFonts w:ascii="Sylfaen" w:hAnsi="Sylfaen" w:cs="Arial"/>
          <w:b/>
        </w:rPr>
      </w:r>
      <w:r w:rsidR="0001578A">
        <w:rPr>
          <w:rFonts w:ascii="Sylfaen" w:hAnsi="Sylfaen" w:cs="Arial"/>
          <w:b/>
        </w:rPr>
        <w:fldChar w:fldCharType="separate"/>
      </w:r>
      <w:r w:rsidR="00EF6EFD">
        <w:rPr>
          <w:rFonts w:ascii="Sylfaen" w:hAnsi="Sylfaen" w:cs="Arial"/>
          <w:b/>
        </w:rPr>
        <w:fldChar w:fldCharType="end"/>
      </w:r>
      <w:bookmarkEnd w:id="5"/>
      <w:r w:rsidR="00EF6EFD">
        <w:rPr>
          <w:rFonts w:ascii="Sylfaen" w:hAnsi="Sylfaen" w:cs="Arial"/>
          <w:b/>
        </w:rPr>
        <w:t>: first-tier decision set aside</w:t>
      </w:r>
    </w:p>
    <w:p w:rsidR="00EF6EFD" w:rsidRPr="008F23F4" w:rsidRDefault="00EF6EFD" w:rsidP="00A33EC9">
      <w:pPr>
        <w:spacing w:before="120" w:after="120"/>
        <w:jc w:val="both"/>
        <w:rPr>
          <w:rFonts w:ascii="Sylfaen" w:hAnsi="Sylfaen" w:cs="Arial"/>
          <w:b/>
        </w:rPr>
      </w:pPr>
      <w:r>
        <w:rPr>
          <w:rFonts w:ascii="Sylfaen" w:hAnsi="Sylfaen" w:cs="Arial"/>
          <w:b/>
        </w:rPr>
        <w:t xml:space="preserve">Further hearing before </w:t>
      </w:r>
      <w:r w:rsidRPr="00EF6EFD">
        <w:rPr>
          <w:rFonts w:ascii="Sylfaen" w:hAnsi="Sylfaen" w:cs="Arial"/>
          <w:b/>
        </w:rPr>
        <w:t>Judge Martins</w:t>
      </w:r>
      <w:r>
        <w:rPr>
          <w:rFonts w:ascii="Sylfaen" w:hAnsi="Sylfaen" w:cs="Arial"/>
          <w:b/>
        </w:rPr>
        <w:t xml:space="preserve"> at Hatton Cross.</w:t>
      </w:r>
    </w:p>
    <w:p w:rsidR="00B95326" w:rsidRPr="00A544A8" w:rsidRDefault="002E7F65" w:rsidP="00F07170">
      <w:pPr>
        <w:ind w:left="4508" w:hanging="539"/>
        <w:rPr>
          <w:rFonts w:ascii="Sylfaen" w:hAnsi="Sylfaen" w:cs="Arial"/>
          <w:color w:val="000000"/>
        </w:rPr>
      </w:pPr>
      <w:r w:rsidRPr="00A544A8">
        <w:rPr>
          <w:rFonts w:ascii="Sylfaen" w:hAnsi="Sylfaen" w:cs="Arial"/>
          <w:b/>
          <w:noProof/>
        </w:rPr>
        <w:drawing>
          <wp:inline distT="0" distB="0" distL="0" distR="0">
            <wp:extent cx="214122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sectPr w:rsidR="00B95326" w:rsidRPr="00A544A8"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258" w:rsidRDefault="00361258">
      <w:r>
        <w:separator/>
      </w:r>
    </w:p>
  </w:endnote>
  <w:endnote w:type="continuationSeparator" w:id="0">
    <w:p w:rsidR="00361258" w:rsidRDefault="0036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981" w:rsidRPr="006B058B" w:rsidRDefault="0037498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01578A">
      <w:rPr>
        <w:rStyle w:val="PageNumber"/>
        <w:rFonts w:ascii="Sylfaen" w:hAnsi="Sylfaen" w:cs="Arial"/>
        <w:noProof/>
        <w:sz w:val="22"/>
        <w:szCs w:val="22"/>
      </w:rPr>
      <w:t>3</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A92B4D" w:rsidRDefault="00A92B4D" w:rsidP="00090CF9">
    <w:pPr>
      <w:jc w:val="center"/>
      <w:rPr>
        <w:rFonts w:ascii="Sylfaen" w:hAnsi="Sylfaen" w:cs="Arial"/>
        <w:b/>
        <w:spacing w:val="-6"/>
        <w:sz w:val="22"/>
        <w:szCs w:val="22"/>
      </w:rPr>
    </w:pPr>
  </w:p>
  <w:p w:rsidR="00374981" w:rsidRPr="00A46DB4" w:rsidRDefault="00374981" w:rsidP="00090CF9">
    <w:pPr>
      <w:jc w:val="center"/>
      <w:rPr>
        <w:rFonts w:ascii="Sylfaen" w:hAnsi="Sylfaen" w:cs="Arial"/>
        <w:b/>
        <w:sz w:val="22"/>
        <w:szCs w:val="22"/>
      </w:rPr>
    </w:pPr>
    <w:r w:rsidRPr="00A46DB4">
      <w:rPr>
        <w:rFonts w:ascii="Sylfaen" w:hAnsi="Sylfaen" w:cs="Arial"/>
        <w:b/>
        <w:spacing w:val="-6"/>
        <w:sz w:val="22"/>
        <w:szCs w:val="22"/>
      </w:rPr>
      <w:t>©</w:t>
    </w:r>
    <w:r w:rsidRPr="00A46DB4">
      <w:rPr>
        <w:rFonts w:ascii="Sylfaen" w:hAnsi="Sylfaen" w:cs="Arial"/>
        <w:b/>
        <w:sz w:val="22"/>
        <w:szCs w:val="22"/>
      </w:rPr>
      <w:t xml:space="preserve"> CROWN COPYRIGHT 201</w:t>
    </w:r>
    <w:r w:rsidR="00057E2B" w:rsidRPr="00A46DB4">
      <w:rPr>
        <w:rFonts w:ascii="Sylfaen" w:hAnsi="Sylfaen" w:cs="Arial"/>
        <w:b/>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258" w:rsidRDefault="00361258">
      <w:r>
        <w:separator/>
      </w:r>
    </w:p>
  </w:footnote>
  <w:footnote w:type="continuationSeparator" w:id="0">
    <w:p w:rsidR="00361258" w:rsidRDefault="00361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DB4" w:rsidRPr="00A46DB4" w:rsidRDefault="00A46DB4" w:rsidP="00A46DB4">
    <w:pPr>
      <w:pStyle w:val="Header"/>
      <w:jc w:val="right"/>
      <w:rPr>
        <w:sz w:val="16"/>
        <w:szCs w:val="16"/>
      </w:rPr>
    </w:pPr>
    <w:r>
      <w:tab/>
    </w:r>
    <w:r>
      <w:tab/>
    </w:r>
    <w:r w:rsidRPr="00A46DB4">
      <w:rPr>
        <w:rFonts w:ascii="Sylfaen" w:hAnsi="Sylfaen" w:cs="Arial"/>
        <w:color w:val="000000"/>
        <w:sz w:val="16"/>
        <w:szCs w:val="16"/>
      </w:rPr>
      <w:t xml:space="preserve">Appeal no: </w:t>
    </w:r>
    <w:r w:rsidRPr="00A46DB4">
      <w:rPr>
        <w:rFonts w:ascii="Sylfaen" w:hAnsi="Sylfaen" w:cs="Arial"/>
        <w:b/>
        <w:caps/>
        <w:color w:val="000000"/>
        <w:sz w:val="16"/>
        <w:szCs w:val="16"/>
      </w:rPr>
      <w:t>PA/02032/2018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38"/>
    <w:rsid w:val="00000621"/>
    <w:rsid w:val="000036C2"/>
    <w:rsid w:val="0001578A"/>
    <w:rsid w:val="00033D3D"/>
    <w:rsid w:val="00057601"/>
    <w:rsid w:val="00057E2B"/>
    <w:rsid w:val="00062F02"/>
    <w:rsid w:val="00071A7E"/>
    <w:rsid w:val="000746C0"/>
    <w:rsid w:val="00074D1D"/>
    <w:rsid w:val="000857AF"/>
    <w:rsid w:val="00090CF9"/>
    <w:rsid w:val="00092580"/>
    <w:rsid w:val="00093D4D"/>
    <w:rsid w:val="000A1210"/>
    <w:rsid w:val="000B2183"/>
    <w:rsid w:val="000D5D94"/>
    <w:rsid w:val="000F1A0E"/>
    <w:rsid w:val="00102EBC"/>
    <w:rsid w:val="001165A7"/>
    <w:rsid w:val="00117FD8"/>
    <w:rsid w:val="001401BB"/>
    <w:rsid w:val="001435AF"/>
    <w:rsid w:val="00167D3A"/>
    <w:rsid w:val="00194E6E"/>
    <w:rsid w:val="001A3082"/>
    <w:rsid w:val="001A5D86"/>
    <w:rsid w:val="001B186A"/>
    <w:rsid w:val="001B2F75"/>
    <w:rsid w:val="001E6DE8"/>
    <w:rsid w:val="001F114E"/>
    <w:rsid w:val="001F2716"/>
    <w:rsid w:val="00206F6B"/>
    <w:rsid w:val="00207617"/>
    <w:rsid w:val="0023134B"/>
    <w:rsid w:val="0026015E"/>
    <w:rsid w:val="002667BE"/>
    <w:rsid w:val="00270E13"/>
    <w:rsid w:val="00283659"/>
    <w:rsid w:val="002B5149"/>
    <w:rsid w:val="002C6BD4"/>
    <w:rsid w:val="002D68BF"/>
    <w:rsid w:val="002E7F65"/>
    <w:rsid w:val="002F6B98"/>
    <w:rsid w:val="00310B90"/>
    <w:rsid w:val="00336CBF"/>
    <w:rsid w:val="00343FE3"/>
    <w:rsid w:val="003546C8"/>
    <w:rsid w:val="00361258"/>
    <w:rsid w:val="00374981"/>
    <w:rsid w:val="003860CF"/>
    <w:rsid w:val="003A3DA7"/>
    <w:rsid w:val="003A7CF2"/>
    <w:rsid w:val="003C5CE5"/>
    <w:rsid w:val="003E267B"/>
    <w:rsid w:val="003E5773"/>
    <w:rsid w:val="003E7CD1"/>
    <w:rsid w:val="003F2E3F"/>
    <w:rsid w:val="003F4AC4"/>
    <w:rsid w:val="00402B9E"/>
    <w:rsid w:val="00420643"/>
    <w:rsid w:val="004249CB"/>
    <w:rsid w:val="0044127D"/>
    <w:rsid w:val="004448DB"/>
    <w:rsid w:val="00446C9A"/>
    <w:rsid w:val="00452F2B"/>
    <w:rsid w:val="00461338"/>
    <w:rsid w:val="004617F0"/>
    <w:rsid w:val="00473EEA"/>
    <w:rsid w:val="00477193"/>
    <w:rsid w:val="00480D87"/>
    <w:rsid w:val="004A1848"/>
    <w:rsid w:val="004A6F4A"/>
    <w:rsid w:val="004C5C63"/>
    <w:rsid w:val="004E4717"/>
    <w:rsid w:val="005035E7"/>
    <w:rsid w:val="00507FEC"/>
    <w:rsid w:val="00510F0E"/>
    <w:rsid w:val="0053038B"/>
    <w:rsid w:val="00531929"/>
    <w:rsid w:val="005479E1"/>
    <w:rsid w:val="00553E0A"/>
    <w:rsid w:val="005570FD"/>
    <w:rsid w:val="005575EA"/>
    <w:rsid w:val="00574E42"/>
    <w:rsid w:val="0057790C"/>
    <w:rsid w:val="005829AB"/>
    <w:rsid w:val="00593795"/>
    <w:rsid w:val="00593821"/>
    <w:rsid w:val="00597008"/>
    <w:rsid w:val="005A549B"/>
    <w:rsid w:val="005A75FF"/>
    <w:rsid w:val="005D10AB"/>
    <w:rsid w:val="005D721A"/>
    <w:rsid w:val="005F1F19"/>
    <w:rsid w:val="00601D8F"/>
    <w:rsid w:val="00611011"/>
    <w:rsid w:val="00653E97"/>
    <w:rsid w:val="00655341"/>
    <w:rsid w:val="00676204"/>
    <w:rsid w:val="00684A74"/>
    <w:rsid w:val="00686C0C"/>
    <w:rsid w:val="00690B8A"/>
    <w:rsid w:val="0069160E"/>
    <w:rsid w:val="00696018"/>
    <w:rsid w:val="00696D3B"/>
    <w:rsid w:val="006B058B"/>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A37E8"/>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F0697"/>
    <w:rsid w:val="008F1932"/>
    <w:rsid w:val="008F23F4"/>
    <w:rsid w:val="00921062"/>
    <w:rsid w:val="00923B15"/>
    <w:rsid w:val="00925AB2"/>
    <w:rsid w:val="009722BC"/>
    <w:rsid w:val="009727A3"/>
    <w:rsid w:val="00977EB3"/>
    <w:rsid w:val="00987774"/>
    <w:rsid w:val="00996FBB"/>
    <w:rsid w:val="009A11E8"/>
    <w:rsid w:val="009C5F92"/>
    <w:rsid w:val="009E30EE"/>
    <w:rsid w:val="009F3381"/>
    <w:rsid w:val="009F5220"/>
    <w:rsid w:val="00A11F19"/>
    <w:rsid w:val="00A15234"/>
    <w:rsid w:val="00A201AB"/>
    <w:rsid w:val="00A240AA"/>
    <w:rsid w:val="00A253BF"/>
    <w:rsid w:val="00A31C8B"/>
    <w:rsid w:val="00A33EC9"/>
    <w:rsid w:val="00A46DB4"/>
    <w:rsid w:val="00A509FA"/>
    <w:rsid w:val="00A544A8"/>
    <w:rsid w:val="00A845DC"/>
    <w:rsid w:val="00A8721C"/>
    <w:rsid w:val="00A92B4D"/>
    <w:rsid w:val="00AE226C"/>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B6E35"/>
    <w:rsid w:val="00CC0CC9"/>
    <w:rsid w:val="00CE1A46"/>
    <w:rsid w:val="00D20757"/>
    <w:rsid w:val="00D22636"/>
    <w:rsid w:val="00D40FD9"/>
    <w:rsid w:val="00D50A21"/>
    <w:rsid w:val="00D53769"/>
    <w:rsid w:val="00D85C13"/>
    <w:rsid w:val="00D9111A"/>
    <w:rsid w:val="00D91BE3"/>
    <w:rsid w:val="00D94AFC"/>
    <w:rsid w:val="00DB1EA9"/>
    <w:rsid w:val="00DB70AE"/>
    <w:rsid w:val="00DD5071"/>
    <w:rsid w:val="00DD5C39"/>
    <w:rsid w:val="00DD6918"/>
    <w:rsid w:val="00DE20CE"/>
    <w:rsid w:val="00DE65C8"/>
    <w:rsid w:val="00DE7DB7"/>
    <w:rsid w:val="00DF2161"/>
    <w:rsid w:val="00DF392C"/>
    <w:rsid w:val="00E00A0A"/>
    <w:rsid w:val="00E024EB"/>
    <w:rsid w:val="00E066DE"/>
    <w:rsid w:val="00E07F57"/>
    <w:rsid w:val="00E30683"/>
    <w:rsid w:val="00E418CE"/>
    <w:rsid w:val="00E453D8"/>
    <w:rsid w:val="00E50BCE"/>
    <w:rsid w:val="00E574BF"/>
    <w:rsid w:val="00E61292"/>
    <w:rsid w:val="00E74B5A"/>
    <w:rsid w:val="00E77294"/>
    <w:rsid w:val="00E77C4D"/>
    <w:rsid w:val="00E80AD9"/>
    <w:rsid w:val="00E81D01"/>
    <w:rsid w:val="00E862ED"/>
    <w:rsid w:val="00EE43F3"/>
    <w:rsid w:val="00EE45D8"/>
    <w:rsid w:val="00EF6EFD"/>
    <w:rsid w:val="00F07170"/>
    <w:rsid w:val="00F07345"/>
    <w:rsid w:val="00F118C6"/>
    <w:rsid w:val="00F22EDA"/>
    <w:rsid w:val="00F54ABB"/>
    <w:rsid w:val="00F556F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BC2A6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4482</Characters>
  <Application>Microsoft Office Word</Application>
  <DocSecurity>0</DocSecurity>
  <Lines>37</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2018-10-05T13:41:00Z</dcterms:created>
  <dcterms:modified xsi:type="dcterms:W3CDTF">2018-10-05T13:41:00Z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