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515768" w:rsidRDefault="00BA0858" w:rsidP="00F97703">
      <w:pPr>
        <w:jc w:val="center"/>
        <w:rPr>
          <w:rFonts w:ascii="Sylfaen" w:hAnsi="Sylfaen" w:cs="Arial"/>
          <w:color w:val="000000"/>
          <w:sz w:val="16"/>
          <w:szCs w:val="16"/>
        </w:rPr>
      </w:pPr>
      <w:r w:rsidRPr="00515768">
        <w:rPr>
          <w:rFonts w:ascii="Sylfaen" w:hAnsi="Sylfaen"/>
          <w:noProof/>
          <w:sz w:val="16"/>
          <w:szCs w:val="16"/>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515768" w:rsidRPr="00515768" w:rsidRDefault="00515768" w:rsidP="00515768">
      <w:pPr>
        <w:rPr>
          <w:rFonts w:ascii="Sylfaen" w:hAnsi="Sylfaen" w:cs="Arial"/>
          <w:color w:val="000000"/>
          <w:sz w:val="16"/>
          <w:szCs w:val="16"/>
        </w:rPr>
      </w:pPr>
    </w:p>
    <w:p w:rsidR="00F97703" w:rsidRPr="00A544A8" w:rsidRDefault="00611011" w:rsidP="00780F86">
      <w:pPr>
        <w:tabs>
          <w:tab w:val="right" w:pos="9720"/>
        </w:tabs>
        <w:ind w:right="-82"/>
        <w:rPr>
          <w:rFonts w:ascii="Sylfaen" w:hAnsi="Sylfaen" w:cs="Arial"/>
          <w:b/>
          <w:color w:val="000000"/>
        </w:rPr>
      </w:pPr>
      <w:r w:rsidRPr="00A544A8">
        <w:rPr>
          <w:rFonts w:ascii="Sylfaen" w:hAnsi="Sylfaen" w:cs="Arial"/>
          <w:b/>
          <w:color w:val="000000"/>
        </w:rPr>
        <w:t>Upper</w:t>
      </w:r>
      <w:r w:rsidR="00F97703" w:rsidRPr="00A544A8">
        <w:rPr>
          <w:rFonts w:ascii="Sylfaen" w:hAnsi="Sylfaen" w:cs="Arial"/>
          <w:b/>
          <w:color w:val="000000"/>
        </w:rPr>
        <w:t xml:space="preserve"> Tribunal </w:t>
      </w:r>
    </w:p>
    <w:p w:rsidR="007B0824" w:rsidRPr="00A544A8" w:rsidRDefault="00F97703" w:rsidP="00780F86">
      <w:pPr>
        <w:tabs>
          <w:tab w:val="right" w:pos="9720"/>
        </w:tabs>
        <w:ind w:right="-82"/>
        <w:rPr>
          <w:rFonts w:ascii="Sylfaen" w:hAnsi="Sylfaen" w:cs="Arial"/>
          <w:color w:val="000000"/>
        </w:rPr>
      </w:pPr>
      <w:r w:rsidRPr="00A544A8">
        <w:rPr>
          <w:rFonts w:ascii="Sylfaen" w:hAnsi="Sylfaen" w:cs="Arial"/>
          <w:b/>
          <w:color w:val="000000"/>
        </w:rPr>
        <w:t>(Immigration and Asylum Chamber)</w:t>
      </w:r>
      <w:r w:rsidR="00DB70AE" w:rsidRPr="00A544A8">
        <w:rPr>
          <w:rFonts w:ascii="Sylfaen" w:hAnsi="Sylfaen" w:cs="Arial"/>
          <w:b/>
          <w:color w:val="000000"/>
        </w:rPr>
        <w:tab/>
      </w:r>
      <w:bookmarkStart w:id="0" w:name="_Hlk522779786"/>
      <w:r w:rsidR="00B3524D" w:rsidRPr="00A544A8">
        <w:rPr>
          <w:rFonts w:ascii="Sylfaen" w:hAnsi="Sylfaen" w:cs="Arial"/>
          <w:color w:val="000000"/>
        </w:rPr>
        <w:t>Appeal</w:t>
      </w:r>
      <w:r w:rsidR="00BD3A9C">
        <w:rPr>
          <w:rFonts w:ascii="Sylfaen" w:hAnsi="Sylfaen" w:cs="Arial"/>
          <w:color w:val="000000"/>
        </w:rPr>
        <w:t xml:space="preserve"> no</w:t>
      </w:r>
      <w:r w:rsidR="00D53769" w:rsidRPr="00A544A8">
        <w:rPr>
          <w:rFonts w:ascii="Sylfaen" w:hAnsi="Sylfaen" w:cs="Arial"/>
          <w:color w:val="000000"/>
        </w:rPr>
        <w:t>:</w:t>
      </w:r>
      <w:r w:rsidR="00B3524D" w:rsidRPr="00A544A8">
        <w:rPr>
          <w:rFonts w:ascii="Sylfaen" w:hAnsi="Sylfaen" w:cs="Arial"/>
          <w:color w:val="000000"/>
        </w:rPr>
        <w:t xml:space="preserve"> </w:t>
      </w:r>
      <w:bookmarkEnd w:id="0"/>
      <w:r w:rsidR="008D2C2F" w:rsidRPr="008D2C2F">
        <w:rPr>
          <w:rFonts w:ascii="Sylfaen" w:hAnsi="Sylfaen" w:cs="Arial"/>
          <w:b/>
          <w:caps/>
          <w:color w:val="000000"/>
        </w:rPr>
        <w:t>PA/02117/2017</w:t>
      </w:r>
      <w:bookmarkStart w:id="1" w:name="_GoBack"/>
      <w:bookmarkEnd w:id="1"/>
    </w:p>
    <w:p w:rsidR="00C345E1" w:rsidRPr="00A544A8" w:rsidRDefault="00C345E1" w:rsidP="00C345E1">
      <w:pPr>
        <w:jc w:val="center"/>
        <w:rPr>
          <w:rFonts w:ascii="Sylfaen" w:hAnsi="Sylfaen" w:cs="Arial"/>
          <w:color w:val="000000"/>
        </w:rPr>
      </w:pPr>
    </w:p>
    <w:p w:rsidR="00515768" w:rsidRDefault="00515768" w:rsidP="00C345E1">
      <w:pPr>
        <w:jc w:val="center"/>
        <w:rPr>
          <w:rFonts w:ascii="Sylfaen" w:hAnsi="Sylfaen" w:cs="Arial"/>
          <w:b/>
          <w:color w:val="000000"/>
          <w:u w:val="single"/>
        </w:rPr>
      </w:pPr>
    </w:p>
    <w:p w:rsidR="00C345E1" w:rsidRDefault="00C345E1" w:rsidP="00C345E1">
      <w:pPr>
        <w:jc w:val="center"/>
        <w:rPr>
          <w:rFonts w:ascii="Sylfaen" w:hAnsi="Sylfaen" w:cs="Arial"/>
          <w:b/>
          <w:color w:val="000000"/>
          <w:u w:val="single"/>
        </w:rPr>
      </w:pPr>
      <w:r w:rsidRPr="00A544A8">
        <w:rPr>
          <w:rFonts w:ascii="Sylfaen" w:hAnsi="Sylfaen" w:cs="Arial"/>
          <w:b/>
          <w:color w:val="000000"/>
          <w:u w:val="single"/>
        </w:rPr>
        <w:t>THE IMMIGRATION ACTS</w:t>
      </w:r>
    </w:p>
    <w:p w:rsidR="00515768" w:rsidRPr="00A544A8" w:rsidRDefault="00515768" w:rsidP="00C345E1">
      <w:pPr>
        <w:jc w:val="center"/>
        <w:rPr>
          <w:rFonts w:ascii="Sylfaen" w:hAnsi="Sylfaen" w:cs="Arial"/>
          <w:b/>
          <w:color w:val="000000"/>
          <w:u w:val="single"/>
        </w:rPr>
      </w:pPr>
    </w:p>
    <w:p w:rsidR="00C345E1" w:rsidRPr="00A544A8" w:rsidRDefault="00C345E1" w:rsidP="00C345E1">
      <w:pPr>
        <w:jc w:val="center"/>
        <w:rPr>
          <w:rFonts w:ascii="Sylfaen" w:hAnsi="Sylfaen" w:cs="Arial"/>
          <w:b/>
          <w:u w:val="single"/>
        </w:rPr>
      </w:pPr>
    </w:p>
    <w:tbl>
      <w:tblPr>
        <w:tblW w:w="0" w:type="auto"/>
        <w:tblLook w:val="01E0" w:firstRow="1" w:lastRow="1" w:firstColumn="1" w:lastColumn="1" w:noHBand="0" w:noVBand="0"/>
      </w:tblPr>
      <w:tblGrid>
        <w:gridCol w:w="5873"/>
        <w:gridCol w:w="3765"/>
      </w:tblGrid>
      <w:tr w:rsidR="00D22636" w:rsidRPr="007A7CEE" w:rsidTr="007A7CEE">
        <w:tc>
          <w:tcPr>
            <w:tcW w:w="6048" w:type="dxa"/>
            <w:shd w:val="clear" w:color="auto" w:fill="auto"/>
          </w:tcPr>
          <w:p w:rsidR="00D22636" w:rsidRPr="007A7CEE" w:rsidRDefault="007B1F7A" w:rsidP="007A7CEE">
            <w:pPr>
              <w:ind w:left="540" w:hanging="540"/>
              <w:jc w:val="both"/>
              <w:rPr>
                <w:rFonts w:ascii="Sylfaen" w:hAnsi="Sylfaen" w:cs="Arial"/>
                <w:b/>
              </w:rPr>
            </w:pPr>
            <w:r>
              <w:rPr>
                <w:rFonts w:ascii="Sylfaen" w:hAnsi="Sylfaen" w:cs="Arial"/>
              </w:rPr>
              <w:t xml:space="preserve"> </w:t>
            </w:r>
            <w:r w:rsidRPr="007B1F7A">
              <w:rPr>
                <w:rFonts w:ascii="Sylfaen" w:hAnsi="Sylfaen" w:cs="Arial"/>
                <w:b/>
              </w:rPr>
              <w:t>Heard at</w:t>
            </w:r>
            <w:r w:rsidRPr="007A7CEE">
              <w:rPr>
                <w:rFonts w:ascii="Sylfaen" w:hAnsi="Sylfaen" w:cs="Arial"/>
                <w:b/>
              </w:rPr>
              <w:t xml:space="preserve"> Royal</w:t>
            </w:r>
            <w:r w:rsidR="00DE6805">
              <w:rPr>
                <w:rFonts w:ascii="Sylfaen" w:hAnsi="Sylfaen" w:cs="Arial"/>
                <w:b/>
              </w:rPr>
              <w:t xml:space="preserve"> Courts of Justice, </w:t>
            </w:r>
            <w:r w:rsidR="00282496" w:rsidRPr="00282496">
              <w:rPr>
                <w:rFonts w:ascii="Sylfaen" w:hAnsi="Sylfaen" w:cs="Arial"/>
                <w:b/>
              </w:rPr>
              <w:t>Belfast</w:t>
            </w:r>
          </w:p>
        </w:tc>
        <w:tc>
          <w:tcPr>
            <w:tcW w:w="3780" w:type="dxa"/>
            <w:shd w:val="clear" w:color="auto" w:fill="auto"/>
          </w:tcPr>
          <w:p w:rsidR="00D22636" w:rsidRPr="007B1F7A" w:rsidRDefault="00A544A8" w:rsidP="007A7CEE">
            <w:pPr>
              <w:ind w:left="1872" w:hanging="1872"/>
              <w:jc w:val="both"/>
              <w:rPr>
                <w:rFonts w:ascii="Sylfaen" w:hAnsi="Sylfaen" w:cs="Arial"/>
                <w:b/>
                <w:color w:val="000000"/>
              </w:rPr>
            </w:pPr>
            <w:r w:rsidRPr="007B1F7A">
              <w:rPr>
                <w:rFonts w:ascii="Sylfaen" w:hAnsi="Sylfaen" w:cs="Arial"/>
                <w:b/>
                <w:color w:val="000000"/>
              </w:rPr>
              <w:t xml:space="preserve">Decision </w:t>
            </w:r>
            <w:r w:rsidR="007B1F7A" w:rsidRPr="007B1F7A">
              <w:rPr>
                <w:rFonts w:ascii="Sylfaen" w:hAnsi="Sylfaen" w:cs="Arial"/>
                <w:b/>
                <w:color w:val="000000"/>
              </w:rPr>
              <w:t xml:space="preserve">and Reasons Promulgated </w:t>
            </w:r>
          </w:p>
        </w:tc>
      </w:tr>
      <w:tr w:rsidR="00D22636" w:rsidRPr="007A7CEE" w:rsidTr="007A7CEE">
        <w:tc>
          <w:tcPr>
            <w:tcW w:w="6048" w:type="dxa"/>
            <w:shd w:val="clear" w:color="auto" w:fill="auto"/>
          </w:tcPr>
          <w:p w:rsidR="00D22636" w:rsidRPr="007A7CEE" w:rsidRDefault="007B1F7A" w:rsidP="007A7CEE">
            <w:pPr>
              <w:jc w:val="both"/>
              <w:rPr>
                <w:rFonts w:ascii="Sylfaen" w:hAnsi="Sylfaen" w:cs="Arial"/>
                <w:b/>
              </w:rPr>
            </w:pPr>
            <w:r>
              <w:rPr>
                <w:rFonts w:ascii="Sylfaen" w:hAnsi="Sylfaen" w:cs="Arial"/>
                <w:b/>
              </w:rPr>
              <w:t xml:space="preserve"> </w:t>
            </w:r>
            <w:r w:rsidRPr="007B1F7A">
              <w:rPr>
                <w:rFonts w:ascii="Sylfaen" w:hAnsi="Sylfaen" w:cs="Arial"/>
                <w:b/>
              </w:rPr>
              <w:t>O</w:t>
            </w:r>
            <w:r w:rsidR="00BD3A9C" w:rsidRPr="007B1F7A">
              <w:rPr>
                <w:rFonts w:ascii="Sylfaen" w:hAnsi="Sylfaen" w:cs="Arial"/>
                <w:b/>
              </w:rPr>
              <w:t>n</w:t>
            </w:r>
            <w:r w:rsidR="00BD3A9C" w:rsidRPr="007A7CEE">
              <w:rPr>
                <w:rFonts w:ascii="Sylfaen" w:hAnsi="Sylfaen" w:cs="Arial"/>
                <w:b/>
              </w:rPr>
              <w:t xml:space="preserve"> </w:t>
            </w:r>
            <w:r w:rsidR="00CF4DBC">
              <w:rPr>
                <w:rFonts w:ascii="Sylfaen" w:hAnsi="Sylfaen" w:cs="Arial"/>
                <w:b/>
              </w:rPr>
              <w:t>23.07.2018</w:t>
            </w:r>
          </w:p>
        </w:tc>
        <w:tc>
          <w:tcPr>
            <w:tcW w:w="3780" w:type="dxa"/>
            <w:shd w:val="clear" w:color="auto" w:fill="auto"/>
          </w:tcPr>
          <w:p w:rsidR="00D22636" w:rsidRPr="007B1F7A" w:rsidRDefault="007B1F7A" w:rsidP="007A7CEE">
            <w:pPr>
              <w:ind w:left="1872" w:hanging="1872"/>
              <w:jc w:val="both"/>
              <w:rPr>
                <w:rFonts w:ascii="Sylfaen" w:hAnsi="Sylfaen" w:cs="Arial"/>
                <w:b/>
              </w:rPr>
            </w:pPr>
            <w:r w:rsidRPr="007B1F7A">
              <w:rPr>
                <w:rFonts w:ascii="Sylfaen" w:hAnsi="Sylfaen" w:cs="Arial"/>
                <w:b/>
                <w:color w:val="000000"/>
              </w:rPr>
              <w:t>On 23</w:t>
            </w:r>
            <w:r>
              <w:rPr>
                <w:rFonts w:ascii="Sylfaen" w:hAnsi="Sylfaen" w:cs="Arial"/>
                <w:b/>
                <w:color w:val="000000"/>
              </w:rPr>
              <w:t xml:space="preserve">.08.2018 </w:t>
            </w:r>
          </w:p>
        </w:tc>
      </w:tr>
    </w:tbl>
    <w:p w:rsidR="00F07170" w:rsidRDefault="00F07170" w:rsidP="00BD3A9C">
      <w:pPr>
        <w:rPr>
          <w:rFonts w:ascii="Sylfaen" w:hAnsi="Sylfaen" w:cs="Arial"/>
          <w:b/>
        </w:rPr>
      </w:pPr>
    </w:p>
    <w:p w:rsidR="00515768" w:rsidRDefault="00515768" w:rsidP="00BD3A9C">
      <w:pPr>
        <w:rPr>
          <w:rFonts w:ascii="Sylfaen" w:hAnsi="Sylfaen" w:cs="Arial"/>
        </w:rPr>
      </w:pPr>
    </w:p>
    <w:p w:rsidR="00A15234" w:rsidRPr="003860CF" w:rsidRDefault="00207617" w:rsidP="00BD3A9C">
      <w:pPr>
        <w:rPr>
          <w:rFonts w:ascii="Sylfaen" w:hAnsi="Sylfaen" w:cs="Arial"/>
        </w:rPr>
      </w:pPr>
      <w:r w:rsidRPr="003860CF">
        <w:rPr>
          <w:rFonts w:ascii="Sylfaen" w:hAnsi="Sylfaen" w:cs="Arial"/>
        </w:rPr>
        <w:t>Befo</w:t>
      </w:r>
      <w:r w:rsidR="00A15234" w:rsidRPr="003860CF">
        <w:rPr>
          <w:rFonts w:ascii="Sylfaen" w:hAnsi="Sylfaen" w:cs="Arial"/>
        </w:rPr>
        <w:t>re</w:t>
      </w:r>
      <w:r w:rsidR="00BD3A9C" w:rsidRPr="003860CF">
        <w:rPr>
          <w:rFonts w:ascii="Sylfaen" w:hAnsi="Sylfaen" w:cs="Arial"/>
        </w:rPr>
        <w:t>:</w:t>
      </w:r>
    </w:p>
    <w:p w:rsidR="00D20757" w:rsidRPr="003860CF" w:rsidRDefault="00BA334F" w:rsidP="00A15234">
      <w:pPr>
        <w:jc w:val="center"/>
        <w:rPr>
          <w:rFonts w:ascii="Sylfaen" w:hAnsi="Sylfaen" w:cs="Arial"/>
          <w:color w:val="000000"/>
        </w:rPr>
      </w:pPr>
      <w:r>
        <w:rPr>
          <w:rFonts w:ascii="Sylfaen" w:hAnsi="Sylfaen" w:cs="Arial"/>
          <w:color w:val="000000"/>
        </w:rPr>
        <w:t>Upper Tribunal Ju</w:t>
      </w:r>
      <w:r w:rsidRPr="003860CF">
        <w:rPr>
          <w:rFonts w:ascii="Sylfaen" w:hAnsi="Sylfaen" w:cs="Arial"/>
          <w:color w:val="000000"/>
        </w:rPr>
        <w:t xml:space="preserve">dge </w:t>
      </w:r>
    </w:p>
    <w:p w:rsidR="00A544A8" w:rsidRPr="00A544A8" w:rsidRDefault="00A544A8" w:rsidP="00A544A8">
      <w:pPr>
        <w:jc w:val="center"/>
        <w:rPr>
          <w:rFonts w:ascii="Sylfaen" w:hAnsi="Sylfaen" w:cs="Arial"/>
          <w:b/>
          <w:color w:val="000000"/>
        </w:rPr>
      </w:pPr>
      <w:r w:rsidRPr="00A544A8">
        <w:rPr>
          <w:rFonts w:ascii="Sylfaen" w:hAnsi="Sylfaen" w:cs="Arial"/>
          <w:b/>
          <w:color w:val="000000"/>
        </w:rPr>
        <w:t>John FREEMAN</w:t>
      </w:r>
    </w:p>
    <w:p w:rsidR="00515768" w:rsidRDefault="00515768" w:rsidP="00BD3A9C">
      <w:pPr>
        <w:rPr>
          <w:rFonts w:ascii="Sylfaen" w:hAnsi="Sylfaen" w:cs="Arial"/>
        </w:rPr>
      </w:pPr>
    </w:p>
    <w:p w:rsidR="00A845DC" w:rsidRPr="003860CF" w:rsidRDefault="00A845DC" w:rsidP="00BD3A9C">
      <w:pPr>
        <w:rPr>
          <w:rFonts w:ascii="Sylfaen" w:hAnsi="Sylfaen" w:cs="Arial"/>
        </w:rPr>
      </w:pPr>
      <w:r w:rsidRPr="003860CF">
        <w:rPr>
          <w:rFonts w:ascii="Sylfaen" w:hAnsi="Sylfaen" w:cs="Arial"/>
        </w:rPr>
        <w:t>Between</w:t>
      </w:r>
      <w:r w:rsidR="00BD3A9C" w:rsidRPr="003860CF">
        <w:rPr>
          <w:rFonts w:ascii="Sylfaen" w:hAnsi="Sylfaen" w:cs="Arial"/>
        </w:rPr>
        <w:t>:</w:t>
      </w:r>
    </w:p>
    <w:p w:rsidR="00704B61" w:rsidRDefault="00CF4DBC" w:rsidP="00A15234">
      <w:pPr>
        <w:jc w:val="center"/>
        <w:rPr>
          <w:rFonts w:ascii="Sylfaen" w:hAnsi="Sylfaen" w:cs="Arial"/>
          <w:b/>
          <w:caps/>
        </w:rPr>
      </w:pPr>
      <w:r>
        <w:rPr>
          <w:rFonts w:ascii="Sylfaen" w:hAnsi="Sylfaen" w:cs="Arial"/>
          <w:b/>
          <w:caps/>
        </w:rPr>
        <w:t>KANU LAL</w:t>
      </w:r>
    </w:p>
    <w:p w:rsidR="007B1F7A" w:rsidRPr="00A544A8" w:rsidRDefault="007B1F7A" w:rsidP="00A15234">
      <w:pPr>
        <w:jc w:val="center"/>
        <w:rPr>
          <w:rFonts w:ascii="Sylfaen" w:hAnsi="Sylfaen" w:cs="Arial"/>
          <w:b/>
        </w:rPr>
      </w:pPr>
      <w:r>
        <w:rPr>
          <w:rFonts w:ascii="Sylfaen" w:hAnsi="Sylfaen" w:cs="Arial"/>
          <w:b/>
          <w:caps/>
        </w:rPr>
        <w:t xml:space="preserve">(anonymity direction not made) </w:t>
      </w:r>
    </w:p>
    <w:p w:rsidR="00704B61" w:rsidRPr="003860CF" w:rsidRDefault="00BD3A9C" w:rsidP="00704B61">
      <w:pPr>
        <w:jc w:val="right"/>
        <w:rPr>
          <w:rFonts w:ascii="Sylfaen" w:hAnsi="Sylfaen" w:cs="Arial"/>
        </w:rPr>
      </w:pPr>
      <w:r w:rsidRPr="003860CF">
        <w:rPr>
          <w:rFonts w:ascii="Sylfaen" w:hAnsi="Sylfaen" w:cs="Arial"/>
        </w:rPr>
        <w:t>appellant</w:t>
      </w:r>
    </w:p>
    <w:p w:rsidR="00704B61" w:rsidRPr="00A544A8" w:rsidRDefault="00DD5071" w:rsidP="00704B61">
      <w:pPr>
        <w:jc w:val="center"/>
        <w:rPr>
          <w:rFonts w:ascii="Sylfaen" w:hAnsi="Sylfaen" w:cs="Arial"/>
          <w:b/>
        </w:rPr>
      </w:pPr>
      <w:r w:rsidRPr="00A544A8">
        <w:rPr>
          <w:rFonts w:ascii="Sylfaen" w:hAnsi="Sylfaen" w:cs="Arial"/>
          <w:b/>
        </w:rPr>
        <w:t>and</w:t>
      </w:r>
    </w:p>
    <w:p w:rsidR="00DD5071" w:rsidRPr="00A544A8" w:rsidRDefault="00DD5071" w:rsidP="00704B61">
      <w:pPr>
        <w:jc w:val="center"/>
        <w:rPr>
          <w:rFonts w:ascii="Sylfaen" w:hAnsi="Sylfaen" w:cs="Arial"/>
          <w:b/>
        </w:rPr>
      </w:pPr>
    </w:p>
    <w:bookmarkStart w:id="2" w:name="Dropdown1"/>
    <w:p w:rsidR="00DD5071" w:rsidRPr="00A544A8" w:rsidRDefault="00A544A8" w:rsidP="00704B61">
      <w:pPr>
        <w:jc w:val="center"/>
        <w:rPr>
          <w:rFonts w:ascii="Sylfaen" w:hAnsi="Sylfaen" w:cs="Arial"/>
          <w:b/>
        </w:rPr>
      </w:pPr>
      <w:r w:rsidRPr="00A544A8">
        <w:rPr>
          <w:rFonts w:ascii="Sylfaen" w:hAnsi="Sylfaen" w:cs="Arial"/>
          <w:b/>
        </w:rPr>
        <w:fldChar w:fldCharType="begin">
          <w:ffData>
            <w:name w:val="Dropdown1"/>
            <w:enabled/>
            <w:calcOnExit w:val="0"/>
            <w:ddList>
              <w:listEntry w:val="Secretary of State for the Home Department"/>
              <w:listEntry w:val="Entry Clearance Officer,"/>
              <w:listEntry w:val="Immigration Officer, "/>
            </w:ddList>
          </w:ffData>
        </w:fldChar>
      </w:r>
      <w:r w:rsidRPr="00A544A8">
        <w:rPr>
          <w:rFonts w:ascii="Sylfaen" w:hAnsi="Sylfaen" w:cs="Arial"/>
          <w:b/>
        </w:rPr>
        <w:instrText xml:space="preserve"> FORMDROPDOWN </w:instrText>
      </w:r>
      <w:r w:rsidR="00AD42B8">
        <w:rPr>
          <w:rFonts w:ascii="Sylfaen" w:hAnsi="Sylfaen" w:cs="Arial"/>
          <w:b/>
        </w:rPr>
      </w:r>
      <w:r w:rsidR="00AD42B8">
        <w:rPr>
          <w:rFonts w:ascii="Sylfaen" w:hAnsi="Sylfaen" w:cs="Arial"/>
          <w:b/>
        </w:rPr>
        <w:fldChar w:fldCharType="separate"/>
      </w:r>
      <w:r w:rsidRPr="00A544A8">
        <w:rPr>
          <w:rFonts w:ascii="Sylfaen" w:hAnsi="Sylfaen" w:cs="Arial"/>
          <w:b/>
        </w:rPr>
        <w:fldChar w:fldCharType="end"/>
      </w:r>
      <w:bookmarkEnd w:id="2"/>
      <w:r w:rsidR="009E30EE">
        <w:rPr>
          <w:rFonts w:ascii="Sylfaen" w:hAnsi="Sylfaen" w:cs="Arial"/>
          <w:b/>
        </w:rPr>
        <w:t xml:space="preserve"> </w:t>
      </w:r>
      <w:r w:rsidR="009E30EE">
        <w:rPr>
          <w:rFonts w:ascii="Sylfaen" w:hAnsi="Sylfaen" w:cs="Arial"/>
          <w:b/>
        </w:rPr>
        <w:fldChar w:fldCharType="begin">
          <w:ffData>
            <w:name w:val="Text34"/>
            <w:enabled/>
            <w:calcOnExit w:val="0"/>
            <w:textInput/>
          </w:ffData>
        </w:fldChar>
      </w:r>
      <w:bookmarkStart w:id="3" w:name="Text34"/>
      <w:r w:rsidR="009E30EE">
        <w:rPr>
          <w:rFonts w:ascii="Sylfaen" w:hAnsi="Sylfaen" w:cs="Arial"/>
          <w:b/>
        </w:rPr>
        <w:instrText xml:space="preserve"> FORMTEXT </w:instrText>
      </w:r>
      <w:r w:rsidR="009E30EE">
        <w:rPr>
          <w:rFonts w:ascii="Sylfaen" w:hAnsi="Sylfaen" w:cs="Arial"/>
          <w:b/>
        </w:rPr>
      </w:r>
      <w:r w:rsidR="009E30EE">
        <w:rPr>
          <w:rFonts w:ascii="Sylfaen" w:hAnsi="Sylfaen" w:cs="Arial"/>
          <w:b/>
        </w:rPr>
        <w:fldChar w:fldCharType="separate"/>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9E30EE">
        <w:rPr>
          <w:rFonts w:ascii="Sylfaen" w:hAnsi="Sylfaen" w:cs="Arial"/>
          <w:b/>
        </w:rPr>
        <w:fldChar w:fldCharType="end"/>
      </w:r>
      <w:bookmarkEnd w:id="3"/>
    </w:p>
    <w:p w:rsidR="00DD5071" w:rsidRPr="003860CF" w:rsidRDefault="00BD3A9C" w:rsidP="00DD5071">
      <w:pPr>
        <w:jc w:val="right"/>
        <w:rPr>
          <w:rFonts w:ascii="Sylfaen" w:hAnsi="Sylfaen" w:cs="Arial"/>
        </w:rPr>
      </w:pPr>
      <w:r w:rsidRPr="003860CF">
        <w:rPr>
          <w:rFonts w:ascii="Sylfaen" w:hAnsi="Sylfaen" w:cs="Arial"/>
        </w:rPr>
        <w:t>respondent</w:t>
      </w:r>
    </w:p>
    <w:p w:rsidR="00515768" w:rsidRDefault="00515768" w:rsidP="00DD5071">
      <w:pPr>
        <w:rPr>
          <w:rFonts w:ascii="Sylfaen" w:hAnsi="Sylfaen" w:cs="Arial"/>
          <w:u w:val="single"/>
        </w:rPr>
      </w:pPr>
    </w:p>
    <w:p w:rsidR="00DD5071" w:rsidRPr="003860CF" w:rsidRDefault="00DE7DB7" w:rsidP="00DD5071">
      <w:pPr>
        <w:rPr>
          <w:rFonts w:ascii="Sylfaen" w:hAnsi="Sylfaen" w:cs="Arial"/>
        </w:rPr>
      </w:pPr>
      <w:r w:rsidRPr="003860CF">
        <w:rPr>
          <w:rFonts w:ascii="Sylfaen" w:hAnsi="Sylfaen" w:cs="Arial"/>
          <w:u w:val="single"/>
        </w:rPr>
        <w:t>Representation</w:t>
      </w:r>
      <w:r w:rsidRPr="003860CF">
        <w:rPr>
          <w:rFonts w:ascii="Sylfaen" w:hAnsi="Sylfaen" w:cs="Arial"/>
        </w:rPr>
        <w:t>:</w:t>
      </w:r>
    </w:p>
    <w:p w:rsidR="00DE7DB7" w:rsidRPr="00282496"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appellant</w:t>
      </w:r>
      <w:r w:rsidRPr="00A544A8">
        <w:rPr>
          <w:rFonts w:ascii="Sylfaen" w:hAnsi="Sylfaen" w:cs="Arial"/>
        </w:rPr>
        <w:t>:</w:t>
      </w:r>
      <w:r w:rsidRPr="00A544A8">
        <w:rPr>
          <w:rFonts w:ascii="Sylfaen" w:hAnsi="Sylfaen" w:cs="Arial"/>
        </w:rPr>
        <w:tab/>
      </w:r>
      <w:r w:rsidR="00282496">
        <w:rPr>
          <w:rFonts w:ascii="Sylfaen" w:hAnsi="Sylfaen" w:cs="Arial"/>
          <w:i/>
        </w:rPr>
        <w:t xml:space="preserve">Andrew </w:t>
      </w:r>
      <w:proofErr w:type="spellStart"/>
      <w:r w:rsidR="00282496">
        <w:rPr>
          <w:rFonts w:ascii="Sylfaen" w:hAnsi="Sylfaen" w:cs="Arial"/>
          <w:i/>
        </w:rPr>
        <w:t>Lungley</w:t>
      </w:r>
      <w:proofErr w:type="spellEnd"/>
      <w:r w:rsidR="00282496">
        <w:rPr>
          <w:rFonts w:ascii="Sylfaen" w:hAnsi="Sylfaen" w:cs="Arial"/>
          <w:i/>
        </w:rPr>
        <w:t xml:space="preserve"> </w:t>
      </w:r>
      <w:r w:rsidR="00A45B76">
        <w:rPr>
          <w:rFonts w:ascii="Sylfaen" w:hAnsi="Sylfaen" w:cs="Arial"/>
        </w:rPr>
        <w:t>(counsel instructed by Times PBS Ltd, London)</w:t>
      </w:r>
    </w:p>
    <w:p w:rsidR="00DE7DB7" w:rsidRPr="00A544A8"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respondent</w:t>
      </w:r>
      <w:r w:rsidRPr="00A544A8">
        <w:rPr>
          <w:rFonts w:ascii="Sylfaen" w:hAnsi="Sylfaen" w:cs="Arial"/>
        </w:rPr>
        <w:t>:</w:t>
      </w:r>
      <w:r w:rsidRPr="00A544A8">
        <w:rPr>
          <w:rFonts w:ascii="Sylfaen" w:hAnsi="Sylfaen" w:cs="Arial"/>
        </w:rPr>
        <w:tab/>
      </w:r>
      <w:r w:rsidR="00A45B76">
        <w:rPr>
          <w:rFonts w:ascii="Sylfaen" w:hAnsi="Sylfaen" w:cs="Arial"/>
        </w:rPr>
        <w:t>Mr A Govan</w:t>
      </w:r>
    </w:p>
    <w:p w:rsidR="00DE7DB7" w:rsidRPr="00A544A8" w:rsidRDefault="00DE7DB7" w:rsidP="00402B9E">
      <w:pPr>
        <w:tabs>
          <w:tab w:val="left" w:pos="2520"/>
        </w:tabs>
        <w:jc w:val="center"/>
        <w:rPr>
          <w:rFonts w:ascii="Sylfaen" w:hAnsi="Sylfaen" w:cs="Arial"/>
        </w:rPr>
      </w:pPr>
    </w:p>
    <w:p w:rsidR="00DE7DB7" w:rsidRPr="00A544A8" w:rsidRDefault="00402B9E" w:rsidP="00BD3A9C">
      <w:pPr>
        <w:tabs>
          <w:tab w:val="left" w:pos="2520"/>
        </w:tabs>
        <w:spacing w:after="120"/>
        <w:jc w:val="center"/>
        <w:rPr>
          <w:rFonts w:ascii="Sylfaen" w:hAnsi="Sylfaen" w:cs="Arial"/>
        </w:rPr>
      </w:pPr>
      <w:r w:rsidRPr="00A544A8">
        <w:rPr>
          <w:rFonts w:ascii="Sylfaen" w:hAnsi="Sylfaen" w:cs="Arial"/>
          <w:b/>
          <w:u w:val="single"/>
        </w:rPr>
        <w:t>DETERMINATION AND REASONS</w:t>
      </w:r>
    </w:p>
    <w:p w:rsidR="00BF23BB" w:rsidRPr="00A544A8" w:rsidRDefault="00402B9E" w:rsidP="00BD3A9C">
      <w:pPr>
        <w:tabs>
          <w:tab w:val="left" w:pos="567"/>
        </w:tabs>
        <w:spacing w:after="120"/>
        <w:ind w:left="567" w:hanging="567"/>
        <w:jc w:val="both"/>
        <w:rPr>
          <w:rFonts w:ascii="Sylfaen" w:hAnsi="Sylfaen" w:cs="Arial"/>
        </w:rPr>
      </w:pPr>
      <w:r w:rsidRPr="00A544A8">
        <w:rPr>
          <w:rFonts w:ascii="Sylfaen" w:hAnsi="Sylfaen" w:cs="Arial"/>
        </w:rPr>
        <w:tab/>
      </w:r>
      <w:r w:rsidR="00FE4D99">
        <w:rPr>
          <w:rFonts w:ascii="Sylfaen" w:hAnsi="Sylfaen" w:cs="Arial"/>
        </w:rPr>
        <w:t>This is an appeal</w:t>
      </w:r>
      <w:r w:rsidR="00DF392C">
        <w:rPr>
          <w:rFonts w:ascii="Sylfaen" w:hAnsi="Sylfaen" w:cs="Arial"/>
        </w:rPr>
        <w:t>,</w:t>
      </w:r>
      <w:r w:rsidR="00FE4D99">
        <w:rPr>
          <w:rFonts w:ascii="Sylfaen" w:hAnsi="Sylfaen" w:cs="Arial"/>
        </w:rPr>
        <w:t xml:space="preserve"> by</w:t>
      </w:r>
      <w:r w:rsidR="00DE20CE">
        <w:rPr>
          <w:rFonts w:ascii="Sylfaen" w:hAnsi="Sylfaen" w:cs="Arial"/>
        </w:rPr>
        <w:t xml:space="preserve"> the </w:t>
      </w:r>
      <w:bookmarkStart w:id="4" w:name="Dropdown4"/>
      <w:r w:rsidR="00DE20CE">
        <w:rPr>
          <w:rFonts w:ascii="Sylfaen" w:hAnsi="Sylfaen" w:cs="Arial"/>
        </w:rPr>
        <w:fldChar w:fldCharType="begin">
          <w:ffData>
            <w:name w:val="Dropdown4"/>
            <w:enabled/>
            <w:calcOnExit w:val="0"/>
            <w:ddList>
              <w:listEntry w:val="appellant"/>
              <w:listEntry w:val="appellants"/>
              <w:listEntry w:val="respondent to the original appeal"/>
            </w:ddList>
          </w:ffData>
        </w:fldChar>
      </w:r>
      <w:r w:rsidR="00DE20CE">
        <w:rPr>
          <w:rFonts w:ascii="Sylfaen" w:hAnsi="Sylfaen" w:cs="Arial"/>
        </w:rPr>
        <w:instrText xml:space="preserve"> FORMDROPDOWN </w:instrText>
      </w:r>
      <w:r w:rsidR="00AD42B8">
        <w:rPr>
          <w:rFonts w:ascii="Sylfaen" w:hAnsi="Sylfaen" w:cs="Arial"/>
        </w:rPr>
      </w:r>
      <w:r w:rsidR="00AD42B8">
        <w:rPr>
          <w:rFonts w:ascii="Sylfaen" w:hAnsi="Sylfaen" w:cs="Arial"/>
        </w:rPr>
        <w:fldChar w:fldCharType="separate"/>
      </w:r>
      <w:r w:rsidR="00DE20CE">
        <w:rPr>
          <w:rFonts w:ascii="Sylfaen" w:hAnsi="Sylfaen" w:cs="Arial"/>
        </w:rPr>
        <w:fldChar w:fldCharType="end"/>
      </w:r>
      <w:bookmarkEnd w:id="4"/>
      <w:r w:rsidR="00DF392C">
        <w:rPr>
          <w:rFonts w:ascii="Sylfaen" w:hAnsi="Sylfaen" w:cs="Arial"/>
        </w:rPr>
        <w:t>,</w:t>
      </w:r>
      <w:r w:rsidR="00FE4D99">
        <w:rPr>
          <w:rFonts w:ascii="Sylfaen" w:hAnsi="Sylfaen" w:cs="Arial"/>
        </w:rPr>
        <w:t xml:space="preserve"> against the decision of </w:t>
      </w:r>
      <w:r w:rsidR="00194E6E">
        <w:rPr>
          <w:rFonts w:ascii="Sylfaen" w:hAnsi="Sylfaen" w:cs="Arial"/>
        </w:rPr>
        <w:t>the First-tier Tribunal</w:t>
      </w:r>
      <w:r w:rsidR="00FE4D99">
        <w:rPr>
          <w:rFonts w:ascii="Sylfaen" w:hAnsi="Sylfaen" w:cs="Arial"/>
        </w:rPr>
        <w:t xml:space="preserve"> </w:t>
      </w:r>
      <w:r w:rsidR="00194E6E">
        <w:rPr>
          <w:rFonts w:ascii="Sylfaen" w:hAnsi="Sylfaen" w:cs="Arial"/>
        </w:rPr>
        <w:t>(</w:t>
      </w:r>
      <w:r w:rsidR="00FE4D99">
        <w:rPr>
          <w:rFonts w:ascii="Sylfaen" w:hAnsi="Sylfaen" w:cs="Arial"/>
        </w:rPr>
        <w:t xml:space="preserve">Judge </w:t>
      </w:r>
      <w:r w:rsidR="00A45B76">
        <w:rPr>
          <w:rFonts w:ascii="Sylfaen" w:hAnsi="Sylfaen" w:cs="Arial"/>
        </w:rPr>
        <w:t>Stephen Gillespie</w:t>
      </w:r>
      <w:r w:rsidR="00194E6E">
        <w:rPr>
          <w:rFonts w:ascii="Sylfaen" w:hAnsi="Sylfaen" w:cs="Arial"/>
        </w:rPr>
        <w:t>)</w:t>
      </w:r>
      <w:r w:rsidR="00FE4D99">
        <w:rPr>
          <w:rFonts w:ascii="Sylfaen" w:hAnsi="Sylfaen" w:cs="Arial"/>
        </w:rPr>
        <w:t xml:space="preserve">, sitting at </w:t>
      </w:r>
      <w:r w:rsidR="00A45B76">
        <w:rPr>
          <w:rFonts w:ascii="Sylfaen" w:hAnsi="Sylfaen" w:cs="Arial"/>
        </w:rPr>
        <w:t>Belfast</w:t>
      </w:r>
      <w:r w:rsidR="00FE4D99">
        <w:rPr>
          <w:rFonts w:ascii="Sylfaen" w:hAnsi="Sylfaen" w:cs="Arial"/>
        </w:rPr>
        <w:t xml:space="preserve"> on </w:t>
      </w:r>
      <w:r w:rsidR="00A45B76">
        <w:rPr>
          <w:rFonts w:ascii="Sylfaen" w:hAnsi="Sylfaen" w:cs="Arial"/>
        </w:rPr>
        <w:t>3 August 2017</w:t>
      </w:r>
      <w:r w:rsidR="00FE4D99">
        <w:rPr>
          <w:rFonts w:ascii="Sylfaen" w:hAnsi="Sylfaen" w:cs="Arial"/>
        </w:rPr>
        <w:t xml:space="preserve">, to </w:t>
      </w:r>
      <w:bookmarkStart w:id="5" w:name="Dropdown2"/>
      <w:r w:rsidR="004617F0">
        <w:rPr>
          <w:rFonts w:ascii="Sylfaen" w:hAnsi="Sylfaen" w:cs="Arial"/>
        </w:rPr>
        <w:fldChar w:fldCharType="begin">
          <w:ffData>
            <w:name w:val="Dropdown2"/>
            <w:enabled/>
            <w:calcOnExit w:val="0"/>
            <w:ddList>
              <w:listEntry w:val="dismiss"/>
              <w:listEntry w:val="allow"/>
            </w:ddList>
          </w:ffData>
        </w:fldChar>
      </w:r>
      <w:r w:rsidR="004617F0">
        <w:rPr>
          <w:rFonts w:ascii="Sylfaen" w:hAnsi="Sylfaen" w:cs="Arial"/>
        </w:rPr>
        <w:instrText xml:space="preserve"> FORMDROPDOWN </w:instrText>
      </w:r>
      <w:r w:rsidR="00AD42B8">
        <w:rPr>
          <w:rFonts w:ascii="Sylfaen" w:hAnsi="Sylfaen" w:cs="Arial"/>
        </w:rPr>
      </w:r>
      <w:r w:rsidR="00AD42B8">
        <w:rPr>
          <w:rFonts w:ascii="Sylfaen" w:hAnsi="Sylfaen" w:cs="Arial"/>
        </w:rPr>
        <w:fldChar w:fldCharType="separate"/>
      </w:r>
      <w:r w:rsidR="004617F0">
        <w:rPr>
          <w:rFonts w:ascii="Sylfaen" w:hAnsi="Sylfaen" w:cs="Arial"/>
        </w:rPr>
        <w:fldChar w:fldCharType="end"/>
      </w:r>
      <w:bookmarkEnd w:id="5"/>
      <w:r w:rsidR="00FE4D99">
        <w:rPr>
          <w:rFonts w:ascii="Sylfaen" w:hAnsi="Sylfaen" w:cs="Arial"/>
        </w:rPr>
        <w:t xml:space="preserve"> </w:t>
      </w:r>
      <w:r w:rsidR="00A45B76">
        <w:rPr>
          <w:rFonts w:ascii="Sylfaen" w:hAnsi="Sylfaen" w:cs="Arial"/>
        </w:rPr>
        <w:t>an asylum and human rights</w:t>
      </w:r>
      <w:r w:rsidR="00FE4D99">
        <w:rPr>
          <w:rFonts w:ascii="Sylfaen" w:hAnsi="Sylfaen" w:cs="Arial"/>
        </w:rPr>
        <w:t xml:space="preserve"> appeal by a </w:t>
      </w:r>
      <w:r w:rsidR="00A45B76">
        <w:rPr>
          <w:rFonts w:ascii="Sylfaen" w:hAnsi="Sylfaen" w:cs="Arial"/>
        </w:rPr>
        <w:t xml:space="preserve">Sikh </w:t>
      </w:r>
      <w:r w:rsidR="00FE4D99">
        <w:rPr>
          <w:rFonts w:ascii="Sylfaen" w:hAnsi="Sylfaen" w:cs="Arial"/>
        </w:rPr>
        <w:t xml:space="preserve">citizen of </w:t>
      </w:r>
      <w:r w:rsidR="00A45B76">
        <w:rPr>
          <w:rFonts w:ascii="Sylfaen" w:hAnsi="Sylfaen" w:cs="Arial"/>
        </w:rPr>
        <w:t>Afghanistan</w:t>
      </w:r>
      <w:r w:rsidR="00102EBC">
        <w:rPr>
          <w:rFonts w:ascii="Sylfaen" w:hAnsi="Sylfaen" w:cs="Arial"/>
        </w:rPr>
        <w:t xml:space="preserve">, born </w:t>
      </w:r>
      <w:r w:rsidR="00A45B76">
        <w:rPr>
          <w:rFonts w:ascii="Sylfaen" w:hAnsi="Sylfaen" w:cs="Arial"/>
        </w:rPr>
        <w:t>1968</w:t>
      </w:r>
      <w:r w:rsidR="00FE4D99">
        <w:rPr>
          <w:rFonts w:ascii="Sylfaen" w:hAnsi="Sylfaen" w:cs="Arial"/>
        </w:rPr>
        <w:t>.</w:t>
      </w:r>
    </w:p>
    <w:p w:rsidR="004617F0" w:rsidRDefault="00A45B76"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appellant had the advantage of being represented before the judge by Mr </w:t>
      </w:r>
      <w:proofErr w:type="spellStart"/>
      <w:r>
        <w:rPr>
          <w:rFonts w:ascii="Sylfaen" w:hAnsi="Sylfaen" w:cs="Arial"/>
        </w:rPr>
        <w:t>Lungley</w:t>
      </w:r>
      <w:proofErr w:type="spellEnd"/>
      <w:r>
        <w:rPr>
          <w:rFonts w:ascii="Sylfaen" w:hAnsi="Sylfaen" w:cs="Arial"/>
        </w:rPr>
        <w:t xml:space="preserve">, of the </w:t>
      </w:r>
      <w:r w:rsidRPr="00A45B76">
        <w:rPr>
          <w:rFonts w:ascii="Sylfaen" w:hAnsi="Sylfaen" w:cs="Arial"/>
          <w:color w:val="000000"/>
          <w:szCs w:val="28"/>
        </w:rPr>
        <w:t>Northern Ireland</w:t>
      </w:r>
      <w:r>
        <w:rPr>
          <w:rFonts w:ascii="Sylfaen" w:hAnsi="Sylfaen" w:cs="Arial"/>
        </w:rPr>
        <w:t xml:space="preserve"> Bar. It is a pity that his solicitors chose to have the grounds of appeal drafted by English counsel, with no previous connexion with the case. </w:t>
      </w:r>
      <w:r w:rsidR="00FF0FAC">
        <w:rPr>
          <w:rFonts w:ascii="Sylfaen" w:hAnsi="Sylfaen" w:cs="Arial"/>
        </w:rPr>
        <w:t xml:space="preserve">They were quite </w:t>
      </w:r>
      <w:r w:rsidR="00FF0FAC" w:rsidRPr="00FF0FAC">
        <w:rPr>
          <w:rFonts w:ascii="Sylfaen" w:hAnsi="Sylfaen" w:cs="Arial"/>
        </w:rPr>
        <w:lastRenderedPageBreak/>
        <w:t>unnecessarily</w:t>
      </w:r>
      <w:r w:rsidR="00FF0FAC">
        <w:rPr>
          <w:rFonts w:ascii="Sylfaen" w:hAnsi="Sylfaen" w:cs="Arial"/>
        </w:rPr>
        <w:t xml:space="preserve"> lengthy at 7 pages, and not surprisingly, resulted in a grant of permission which failed to highlight the real issue.</w:t>
      </w:r>
    </w:p>
    <w:p w:rsidR="00CA0748" w:rsidRDefault="00FF0FAC"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This was on the appellant’s travel history. According to him, some Taleban had come to </w:t>
      </w:r>
      <w:r w:rsidR="00CA0748">
        <w:rPr>
          <w:rFonts w:ascii="Sylfaen" w:hAnsi="Sylfaen" w:cs="Arial"/>
        </w:rPr>
        <w:t xml:space="preserve">him on his way home from </w:t>
      </w:r>
      <w:r>
        <w:rPr>
          <w:rFonts w:ascii="Sylfaen" w:hAnsi="Sylfaen" w:cs="Arial"/>
        </w:rPr>
        <w:t xml:space="preserve">his shop in the city of </w:t>
      </w:r>
      <w:proofErr w:type="spellStart"/>
      <w:r>
        <w:rPr>
          <w:rFonts w:ascii="Sylfaen" w:hAnsi="Sylfaen" w:cs="Arial"/>
        </w:rPr>
        <w:t>Khost</w:t>
      </w:r>
      <w:proofErr w:type="spellEnd"/>
      <w:r>
        <w:rPr>
          <w:rFonts w:ascii="Sylfaen" w:hAnsi="Sylfaen" w:cs="Arial"/>
        </w:rPr>
        <w:t xml:space="preserve"> </w:t>
      </w:r>
      <w:r w:rsidR="00CA0748">
        <w:rPr>
          <w:rFonts w:ascii="Sylfaen" w:hAnsi="Sylfaen" w:cs="Arial"/>
        </w:rPr>
        <w:t>on 10 July 2016, and threatened him and his wife with death, and his two sons, now 19 and 17, with being turned into suicide bombers, if he would not sto</w:t>
      </w:r>
      <w:r w:rsidR="00CF4DBC">
        <w:rPr>
          <w:rFonts w:ascii="Sylfaen" w:hAnsi="Sylfaen" w:cs="Arial"/>
        </w:rPr>
        <w:t xml:space="preserve">re arms and ammunition for them. He refused, at which point his wife and sons came out, and told him to come </w:t>
      </w:r>
      <w:r w:rsidR="00BA0858">
        <w:rPr>
          <w:rFonts w:ascii="Sylfaen" w:hAnsi="Sylfaen" w:cs="Arial"/>
        </w:rPr>
        <w:t xml:space="preserve">home; </w:t>
      </w:r>
      <w:r w:rsidR="00CA0748">
        <w:rPr>
          <w:rFonts w:ascii="Sylfaen" w:hAnsi="Sylfaen" w:cs="Arial"/>
        </w:rPr>
        <w:t>but the</w:t>
      </w:r>
      <w:r w:rsidR="00CF4DBC">
        <w:rPr>
          <w:rFonts w:ascii="Sylfaen" w:hAnsi="Sylfaen" w:cs="Arial"/>
        </w:rPr>
        <w:t xml:space="preserve"> Taleban </w:t>
      </w:r>
      <w:r w:rsidR="00CA0748">
        <w:rPr>
          <w:rFonts w:ascii="Sylfaen" w:hAnsi="Sylfaen" w:cs="Arial"/>
        </w:rPr>
        <w:t>gave him eight days to think about it.</w:t>
      </w:r>
    </w:p>
    <w:p w:rsidR="00FF0FAC" w:rsidRDefault="00CA0748"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After six days the appellant left </w:t>
      </w:r>
      <w:r w:rsidR="00FF0FAC">
        <w:rPr>
          <w:rFonts w:ascii="Sylfaen" w:hAnsi="Sylfaen" w:cs="Arial"/>
        </w:rPr>
        <w:t>with his wife and</w:t>
      </w:r>
      <w:r>
        <w:rPr>
          <w:rFonts w:ascii="Sylfaen" w:hAnsi="Sylfaen" w:cs="Arial"/>
        </w:rPr>
        <w:t xml:space="preserve"> sons</w:t>
      </w:r>
      <w:r w:rsidR="00FF0FAC">
        <w:rPr>
          <w:rFonts w:ascii="Sylfaen" w:hAnsi="Sylfaen" w:cs="Arial"/>
        </w:rPr>
        <w:t>, overland for Iraq</w:t>
      </w:r>
      <w:r w:rsidR="00135C24">
        <w:rPr>
          <w:rFonts w:ascii="Sylfaen" w:hAnsi="Sylfaen" w:cs="Arial"/>
        </w:rPr>
        <w:t>. A Hindu friend had the very next day found him an agent, whom he paid US$</w:t>
      </w:r>
      <w:r w:rsidR="00772317">
        <w:rPr>
          <w:rFonts w:ascii="Sylfaen" w:hAnsi="Sylfaen" w:cs="Arial"/>
        </w:rPr>
        <w:t>60</w:t>
      </w:r>
      <w:r w:rsidR="00135C24">
        <w:rPr>
          <w:rFonts w:ascii="Sylfaen" w:hAnsi="Sylfaen" w:cs="Arial"/>
        </w:rPr>
        <w:t xml:space="preserve">,000 in cash, </w:t>
      </w:r>
      <w:r w:rsidR="00772317">
        <w:rPr>
          <w:rFonts w:ascii="Sylfaen" w:hAnsi="Sylfaen" w:cs="Arial"/>
        </w:rPr>
        <w:t xml:space="preserve">$45,000 of </w:t>
      </w:r>
      <w:r w:rsidR="00135C24">
        <w:rPr>
          <w:rFonts w:ascii="Sylfaen" w:hAnsi="Sylfaen" w:cs="Arial"/>
        </w:rPr>
        <w:t>which he had managed to get by the sale of his business to the landlord, who had wanted to buy it for some time. That got him and his fam</w:t>
      </w:r>
      <w:r w:rsidR="00772317">
        <w:rPr>
          <w:rFonts w:ascii="Sylfaen" w:hAnsi="Sylfaen" w:cs="Arial"/>
        </w:rPr>
        <w:t xml:space="preserve">ily first overland transport, by way of Kabul, Kandahar and Herat to Iran. From there they were taken to a port in Iraq, where they were all put into a shipping container and brought to the United Kingdom, where they arrived on 6 August 2016. </w:t>
      </w:r>
    </w:p>
    <w:p w:rsidR="006F4888" w:rsidRDefault="00772317" w:rsidP="006F4888">
      <w:pPr>
        <w:numPr>
          <w:ilvl w:val="0"/>
          <w:numId w:val="1"/>
        </w:numPr>
        <w:tabs>
          <w:tab w:val="clear" w:pos="757"/>
        </w:tabs>
        <w:spacing w:after="120"/>
        <w:ind w:left="540" w:hanging="540"/>
        <w:jc w:val="both"/>
        <w:rPr>
          <w:rFonts w:ascii="Sylfaen" w:hAnsi="Sylfaen" w:cs="Arial"/>
        </w:rPr>
      </w:pPr>
      <w:r>
        <w:rPr>
          <w:rFonts w:ascii="Sylfaen" w:hAnsi="Sylfaen" w:cs="Arial"/>
        </w:rPr>
        <w:t xml:space="preserve">On 16 August the appellant and his family were all arrested at </w:t>
      </w:r>
      <w:r w:rsidRPr="00772317">
        <w:rPr>
          <w:rFonts w:ascii="Sylfaen" w:hAnsi="Sylfaen" w:cs="Arial"/>
        </w:rPr>
        <w:t>Belfast</w:t>
      </w:r>
      <w:r>
        <w:rPr>
          <w:rFonts w:ascii="Sylfaen" w:hAnsi="Sylfaen" w:cs="Arial"/>
        </w:rPr>
        <w:t xml:space="preserve"> City airport, where they had produced what turned out to be false Belgian ID cards, which they said had been given t</w:t>
      </w:r>
      <w:r w:rsidR="006F4888">
        <w:rPr>
          <w:rFonts w:ascii="Sylfaen" w:hAnsi="Sylfaen" w:cs="Arial"/>
        </w:rPr>
        <w:t xml:space="preserve">hem by their agent. The appellant told the arresting officer, through a </w:t>
      </w:r>
      <w:proofErr w:type="spellStart"/>
      <w:r w:rsidR="006F4888">
        <w:rPr>
          <w:rFonts w:ascii="Sylfaen" w:hAnsi="Sylfaen" w:cs="Arial"/>
        </w:rPr>
        <w:t>Pushtu</w:t>
      </w:r>
      <w:proofErr w:type="spellEnd"/>
      <w:r w:rsidR="006F4888">
        <w:rPr>
          <w:rFonts w:ascii="Sylfaen" w:hAnsi="Sylfaen" w:cs="Arial"/>
        </w:rPr>
        <w:t xml:space="preserve"> interpreter, that they had not been hidden in a container, but had travelled by road, train and ferry. </w:t>
      </w:r>
      <w:r>
        <w:rPr>
          <w:rFonts w:ascii="Sylfaen" w:hAnsi="Sylfaen" w:cs="Arial"/>
        </w:rPr>
        <w:t xml:space="preserve">The arrest was carried out as part of Operation Gull, which, as the judge says at paragraph 42, is an operation designed to block what he politely describes as an indirect route into the British mainland. On the </w:t>
      </w:r>
      <w:r w:rsidR="006F4888">
        <w:rPr>
          <w:rFonts w:ascii="Sylfaen" w:hAnsi="Sylfaen" w:cs="Arial"/>
        </w:rPr>
        <w:t>17</w:t>
      </w:r>
      <w:r w:rsidR="006F4888" w:rsidRPr="006F4888">
        <w:rPr>
          <w:rFonts w:ascii="Sylfaen" w:hAnsi="Sylfaen" w:cs="Arial"/>
          <w:vertAlign w:val="superscript"/>
        </w:rPr>
        <w:t>th</w:t>
      </w:r>
      <w:r w:rsidR="006F4888">
        <w:rPr>
          <w:rFonts w:ascii="Sylfaen" w:hAnsi="Sylfaen" w:cs="Arial"/>
        </w:rPr>
        <w:t xml:space="preserve"> the appellant claimed asylum, which was refused on 10 February 2017.</w:t>
      </w:r>
    </w:p>
    <w:p w:rsidR="006F4888" w:rsidRDefault="006F4888" w:rsidP="006F4888">
      <w:pPr>
        <w:numPr>
          <w:ilvl w:val="0"/>
          <w:numId w:val="1"/>
        </w:numPr>
        <w:tabs>
          <w:tab w:val="clear" w:pos="757"/>
        </w:tabs>
        <w:spacing w:after="120"/>
        <w:ind w:left="540" w:hanging="540"/>
        <w:jc w:val="both"/>
        <w:rPr>
          <w:rFonts w:ascii="Sylfaen" w:hAnsi="Sylfaen" w:cs="Arial"/>
        </w:rPr>
      </w:pPr>
      <w:r>
        <w:rPr>
          <w:rFonts w:ascii="Sylfaen" w:hAnsi="Sylfaen" w:cs="Arial"/>
        </w:rPr>
        <w:t xml:space="preserve">This account of events, </w:t>
      </w:r>
      <w:r w:rsidR="003A6EEC">
        <w:rPr>
          <w:rFonts w:ascii="Sylfaen" w:hAnsi="Sylfaen" w:cs="Arial"/>
        </w:rPr>
        <w:t>taking</w:t>
      </w:r>
      <w:r>
        <w:rPr>
          <w:rFonts w:ascii="Sylfaen" w:hAnsi="Sylfaen" w:cs="Arial"/>
        </w:rPr>
        <w:t xml:space="preserve"> the appellant’s case </w:t>
      </w:r>
      <w:r w:rsidR="003A6EEC">
        <w:rPr>
          <w:rFonts w:ascii="Sylfaen" w:hAnsi="Sylfaen" w:cs="Arial"/>
        </w:rPr>
        <w:t>on the facts together with his travel history</w:t>
      </w:r>
      <w:r>
        <w:rPr>
          <w:rFonts w:ascii="Sylfaen" w:hAnsi="Sylfaen" w:cs="Arial"/>
        </w:rPr>
        <w:t>, may not have been beyond all conjecture; but it certainly raised a number of puzzling questions, on which the judge was fully entitled to look for some acceptable explanation. At 43 – 47 he gives his reasons for disbelieving the appellant’s account: the others did not give evidence, which he discusses at 39.</w:t>
      </w:r>
    </w:p>
    <w:p w:rsidR="006F4888" w:rsidRPr="00EC1FD3" w:rsidRDefault="006F4888" w:rsidP="006F4888">
      <w:pPr>
        <w:numPr>
          <w:ilvl w:val="0"/>
          <w:numId w:val="1"/>
        </w:numPr>
        <w:tabs>
          <w:tab w:val="clear" w:pos="757"/>
        </w:tabs>
        <w:spacing w:after="120"/>
        <w:ind w:left="540" w:hanging="540"/>
        <w:jc w:val="both"/>
        <w:rPr>
          <w:rFonts w:ascii="Sylfaen" w:hAnsi="Sylfaen" w:cs="Arial"/>
        </w:rPr>
      </w:pPr>
      <w:r>
        <w:rPr>
          <w:rFonts w:ascii="Sylfaen" w:hAnsi="Sylfaen" w:cs="Arial"/>
        </w:rPr>
        <w:t xml:space="preserve">First, there was the conflicting account of the journey the appellant had given on arrest (which would have left him with a number of opportunities to claim asylum </w:t>
      </w:r>
      <w:proofErr w:type="spellStart"/>
      <w:r w:rsidRPr="006F4888">
        <w:rPr>
          <w:rFonts w:ascii="Sylfaen" w:hAnsi="Sylfaen" w:cs="Arial"/>
          <w:i/>
        </w:rPr>
        <w:t>en</w:t>
      </w:r>
      <w:proofErr w:type="spellEnd"/>
      <w:r w:rsidRPr="006F4888">
        <w:rPr>
          <w:rFonts w:ascii="Sylfaen" w:hAnsi="Sylfaen" w:cs="Arial"/>
          <w:i/>
        </w:rPr>
        <w:t xml:space="preserve"> route</w:t>
      </w:r>
      <w:r>
        <w:rPr>
          <w:rFonts w:ascii="Sylfaen" w:hAnsi="Sylfaen" w:cs="Arial"/>
        </w:rPr>
        <w:t xml:space="preserve">). </w:t>
      </w:r>
      <w:r w:rsidR="00EC1FD3">
        <w:rPr>
          <w:rFonts w:ascii="Sylfaen" w:hAnsi="Sylfaen" w:cs="Arial"/>
        </w:rPr>
        <w:t xml:space="preserve">Then the judge declined to believe that the appellant and his family were forced to hide out in a forest in </w:t>
      </w:r>
      <w:r w:rsidR="00EC1FD3" w:rsidRPr="00CF4DBC">
        <w:rPr>
          <w:rFonts w:ascii="Sylfaen" w:hAnsi="Sylfaen" w:cs="Arial"/>
          <w:szCs w:val="28"/>
        </w:rPr>
        <w:t xml:space="preserve">Northern Ireland, </w:t>
      </w:r>
      <w:r w:rsidR="00EC1FD3">
        <w:rPr>
          <w:rFonts w:ascii="Sylfaen" w:hAnsi="Sylfaen" w:cs="Arial"/>
          <w:color w:val="000000"/>
          <w:szCs w:val="28"/>
        </w:rPr>
        <w:t>or had their pictures taken on a mobile phone for the ID cards while they were there, or were given the cards at a taxi rank</w:t>
      </w:r>
      <w:r w:rsidR="00CF4DBC">
        <w:rPr>
          <w:rFonts w:ascii="Sylfaen" w:hAnsi="Sylfaen" w:cs="Arial"/>
          <w:color w:val="000000"/>
          <w:szCs w:val="28"/>
        </w:rPr>
        <w:t>, paying another $4000 for those (see the appellant’s statement at 12)</w:t>
      </w:r>
      <w:r w:rsidR="00EC1FD3">
        <w:rPr>
          <w:rFonts w:ascii="Sylfaen" w:hAnsi="Sylfaen" w:cs="Arial"/>
          <w:color w:val="000000"/>
          <w:szCs w:val="28"/>
        </w:rPr>
        <w:t>.</w:t>
      </w:r>
    </w:p>
    <w:p w:rsidR="00EC1FD3" w:rsidRPr="00EC1FD3" w:rsidRDefault="00EC1FD3" w:rsidP="006F4888">
      <w:pPr>
        <w:numPr>
          <w:ilvl w:val="0"/>
          <w:numId w:val="1"/>
        </w:numPr>
        <w:tabs>
          <w:tab w:val="clear" w:pos="757"/>
        </w:tabs>
        <w:spacing w:after="120"/>
        <w:ind w:left="540" w:hanging="540"/>
        <w:jc w:val="both"/>
        <w:rPr>
          <w:rFonts w:ascii="Sylfaen" w:hAnsi="Sylfaen" w:cs="Arial"/>
        </w:rPr>
      </w:pPr>
      <w:r>
        <w:rPr>
          <w:rFonts w:ascii="Sylfaen" w:hAnsi="Sylfaen" w:cs="Arial"/>
          <w:color w:val="000000"/>
          <w:szCs w:val="28"/>
        </w:rPr>
        <w:t>As the judge pointed out, the appellant had a cousin and a brother-in-law in London, while his wife had three sisters here. He concluded at 47</w:t>
      </w:r>
    </w:p>
    <w:p w:rsidR="00EC1FD3" w:rsidRPr="00EC1FD3" w:rsidRDefault="00EC1FD3" w:rsidP="00EC1FD3">
      <w:pPr>
        <w:spacing w:after="120"/>
        <w:ind w:left="851"/>
        <w:jc w:val="both"/>
        <w:rPr>
          <w:rFonts w:ascii="Sylfaen" w:hAnsi="Sylfaen" w:cs="Arial"/>
          <w:sz w:val="22"/>
          <w:szCs w:val="22"/>
        </w:rPr>
      </w:pPr>
      <w:r w:rsidRPr="00EC1FD3">
        <w:rPr>
          <w:rFonts w:ascii="Sylfaen" w:hAnsi="Sylfaen" w:cs="Arial"/>
          <w:sz w:val="22"/>
          <w:szCs w:val="22"/>
        </w:rPr>
        <w:t>The</w:t>
      </w:r>
      <w:r>
        <w:rPr>
          <w:rFonts w:ascii="Sylfaen" w:hAnsi="Sylfaen" w:cs="Arial"/>
          <w:sz w:val="22"/>
          <w:szCs w:val="22"/>
        </w:rPr>
        <w:t xml:space="preserve"> Appellant is clearly a resourceful and intelligent man who according to his account ran a successful business in </w:t>
      </w:r>
      <w:proofErr w:type="spellStart"/>
      <w:r>
        <w:rPr>
          <w:rFonts w:ascii="Sylfaen" w:hAnsi="Sylfaen" w:cs="Arial"/>
          <w:sz w:val="22"/>
          <w:szCs w:val="22"/>
        </w:rPr>
        <w:t>Khost</w:t>
      </w:r>
      <w:proofErr w:type="spellEnd"/>
      <w:r>
        <w:rPr>
          <w:rFonts w:ascii="Sylfaen" w:hAnsi="Sylfaen" w:cs="Arial"/>
          <w:sz w:val="22"/>
          <w:szCs w:val="22"/>
        </w:rPr>
        <w:t xml:space="preserve"> and his claim to being unaware of where he was in the world relative to his UK relatives is beyond the threshold of belief.</w:t>
      </w:r>
    </w:p>
    <w:p w:rsidR="00EC1FD3" w:rsidRPr="00335F77" w:rsidRDefault="00EC1FD3" w:rsidP="006F4888">
      <w:pPr>
        <w:numPr>
          <w:ilvl w:val="0"/>
          <w:numId w:val="1"/>
        </w:numPr>
        <w:tabs>
          <w:tab w:val="clear" w:pos="757"/>
        </w:tabs>
        <w:spacing w:after="120"/>
        <w:ind w:left="540" w:hanging="540"/>
        <w:jc w:val="both"/>
        <w:rPr>
          <w:rFonts w:ascii="Sylfaen" w:hAnsi="Sylfaen" w:cs="Arial"/>
        </w:rPr>
      </w:pPr>
      <w:r>
        <w:rPr>
          <w:rFonts w:ascii="Sylfaen" w:hAnsi="Sylfaen" w:cs="Arial"/>
        </w:rPr>
        <w:t>The judge did not end his consideratio</w:t>
      </w:r>
      <w:r w:rsidR="00817DB0">
        <w:rPr>
          <w:rFonts w:ascii="Sylfaen" w:hAnsi="Sylfaen" w:cs="Arial"/>
        </w:rPr>
        <w:t xml:space="preserve">n of the case there, </w:t>
      </w:r>
      <w:r w:rsidR="00725763">
        <w:rPr>
          <w:rFonts w:ascii="Sylfaen" w:hAnsi="Sylfaen" w:cs="Arial"/>
        </w:rPr>
        <w:t>which would have been wrong in the light of</w:t>
      </w:r>
      <w:r w:rsidR="003A6EEC">
        <w:rPr>
          <w:rFonts w:ascii="Sylfaen" w:hAnsi="Sylfaen" w:cs="Arial"/>
        </w:rPr>
        <w:t xml:space="preserve"> </w:t>
      </w:r>
      <w:hyperlink r:id="rId8" w:history="1">
        <w:r w:rsidR="003A6EEC" w:rsidRPr="003A6EEC">
          <w:rPr>
            <w:rStyle w:val="Hyperlink"/>
            <w:rFonts w:ascii="Sylfaen" w:hAnsi="Sylfaen" w:cs="Arial"/>
            <w:i/>
            <w:color w:val="auto"/>
            <w:u w:val="none"/>
          </w:rPr>
          <w:t>JT</w:t>
        </w:r>
        <w:r w:rsidR="003A6EEC" w:rsidRPr="003A6EEC">
          <w:rPr>
            <w:rStyle w:val="Hyperlink"/>
            <w:rFonts w:ascii="Sylfaen" w:hAnsi="Sylfaen" w:cs="Arial"/>
            <w:color w:val="auto"/>
            <w:u w:val="none"/>
          </w:rPr>
          <w:t xml:space="preserve"> (Cameroon) [2008] EWCA </w:t>
        </w:r>
        <w:proofErr w:type="spellStart"/>
        <w:r w:rsidR="003A6EEC" w:rsidRPr="003A6EEC">
          <w:rPr>
            <w:rStyle w:val="Hyperlink"/>
            <w:rFonts w:ascii="Sylfaen" w:hAnsi="Sylfaen" w:cs="Arial"/>
            <w:color w:val="auto"/>
            <w:u w:val="none"/>
          </w:rPr>
          <w:t>Civ</w:t>
        </w:r>
        <w:proofErr w:type="spellEnd"/>
        <w:r w:rsidR="003A6EEC" w:rsidRPr="003A6EEC">
          <w:rPr>
            <w:rStyle w:val="Hyperlink"/>
            <w:rFonts w:ascii="Sylfaen" w:hAnsi="Sylfaen" w:cs="Arial"/>
            <w:color w:val="auto"/>
            <w:u w:val="none"/>
          </w:rPr>
          <w:t xml:space="preserve"> 878</w:t>
        </w:r>
        <w:r w:rsidR="003A6EEC" w:rsidRPr="003A6EEC">
          <w:rPr>
            <w:rStyle w:val="Hyperlink"/>
            <w:rFonts w:ascii="Sylfaen" w:hAnsi="Sylfaen" w:cs="Arial"/>
          </w:rPr>
          <w:t xml:space="preserve"> </w:t>
        </w:r>
      </w:hyperlink>
      <w:r>
        <w:rPr>
          <w:rFonts w:ascii="Sylfaen" w:hAnsi="Sylfaen" w:cs="Arial"/>
        </w:rPr>
        <w:t xml:space="preserve">but went on to consider the other </w:t>
      </w:r>
      <w:r>
        <w:rPr>
          <w:rFonts w:ascii="Sylfaen" w:hAnsi="Sylfaen" w:cs="Arial"/>
        </w:rPr>
        <w:lastRenderedPageBreak/>
        <w:t xml:space="preserve">evidence before him, especially the </w:t>
      </w:r>
      <w:r w:rsidRPr="00EC1FD3">
        <w:rPr>
          <w:rFonts w:ascii="Sylfaen" w:hAnsi="Sylfaen" w:cs="Arial"/>
        </w:rPr>
        <w:t>‘country expert’</w:t>
      </w:r>
      <w:r>
        <w:rPr>
          <w:rFonts w:ascii="Sylfaen" w:hAnsi="Sylfaen" w:cs="Arial"/>
        </w:rPr>
        <w:t xml:space="preserve"> report by Dr Antonio </w:t>
      </w:r>
      <w:proofErr w:type="spellStart"/>
      <w:r>
        <w:rPr>
          <w:rFonts w:ascii="Sylfaen" w:hAnsi="Sylfaen" w:cs="Arial"/>
        </w:rPr>
        <w:t>Giustozzi</w:t>
      </w:r>
      <w:proofErr w:type="spellEnd"/>
      <w:r w:rsidR="007F350F">
        <w:rPr>
          <w:rFonts w:ascii="Sylfaen" w:hAnsi="Sylfaen" w:cs="Arial"/>
        </w:rPr>
        <w:t xml:space="preserve"> (7 June 2017)</w:t>
      </w:r>
      <w:r>
        <w:rPr>
          <w:rFonts w:ascii="Sylfaen" w:hAnsi="Sylfaen" w:cs="Arial"/>
        </w:rPr>
        <w:t xml:space="preserve">. </w:t>
      </w:r>
      <w:r w:rsidR="00E90885">
        <w:rPr>
          <w:rFonts w:ascii="Sylfaen" w:hAnsi="Sylfaen" w:cs="Arial"/>
        </w:rPr>
        <w:t xml:space="preserve">He did so in the light of the country guidance at the time, in </w:t>
      </w:r>
      <w:hyperlink r:id="rId9" w:history="1">
        <w:r w:rsidR="00E90885" w:rsidRPr="00E90885">
          <w:rPr>
            <w:rStyle w:val="Hyperlink"/>
            <w:rFonts w:ascii="Sylfaen" w:hAnsi="Sylfaen" w:cs="Arial"/>
            <w:i/>
            <w:color w:val="000000"/>
            <w:u w:val="none"/>
          </w:rPr>
          <w:t>TG and others</w:t>
        </w:r>
        <w:r w:rsidR="00E90885" w:rsidRPr="00E90885">
          <w:rPr>
            <w:rStyle w:val="Hyperlink"/>
            <w:rFonts w:ascii="Sylfaen" w:hAnsi="Sylfaen" w:cs="Arial"/>
            <w:color w:val="000000"/>
            <w:u w:val="none"/>
          </w:rPr>
          <w:t xml:space="preserve"> (Afghan Sikhs persecuted) (CG) [2015] UKUT 595 (IAC)</w:t>
        </w:r>
      </w:hyperlink>
      <w:r w:rsidR="00E90885">
        <w:rPr>
          <w:rFonts w:ascii="Sylfaen" w:hAnsi="Sylfaen" w:cs="Arial"/>
          <w:color w:val="000000"/>
        </w:rPr>
        <w:t xml:space="preserve">. This </w:t>
      </w:r>
      <w:r w:rsidR="00335F77">
        <w:rPr>
          <w:rFonts w:ascii="Sylfaen" w:hAnsi="Sylfaen" w:cs="Arial"/>
          <w:color w:val="000000"/>
        </w:rPr>
        <w:t>in general terms (see judicial head-note) was as follows:</w:t>
      </w:r>
    </w:p>
    <w:p w:rsidR="00335F77" w:rsidRPr="00335F77" w:rsidRDefault="00335F77" w:rsidP="00335F77">
      <w:pPr>
        <w:ind w:left="851"/>
        <w:jc w:val="both"/>
        <w:rPr>
          <w:rFonts w:ascii="Sylfaen" w:hAnsi="Sylfaen" w:cs="Arial"/>
          <w:sz w:val="22"/>
          <w:szCs w:val="22"/>
        </w:rPr>
      </w:pPr>
      <w:r w:rsidRPr="00335F77">
        <w:rPr>
          <w:rFonts w:ascii="Sylfaen" w:hAnsi="Sylfaen" w:cs="Arial"/>
          <w:sz w:val="22"/>
          <w:szCs w:val="22"/>
        </w:rPr>
        <w:t>(</w:t>
      </w:r>
      <w:proofErr w:type="spellStart"/>
      <w:r w:rsidRPr="00335F77">
        <w:rPr>
          <w:rFonts w:ascii="Sylfaen" w:hAnsi="Sylfaen" w:cs="Arial"/>
          <w:sz w:val="22"/>
          <w:szCs w:val="22"/>
        </w:rPr>
        <w:t>i</w:t>
      </w:r>
      <w:proofErr w:type="spellEnd"/>
      <w:r w:rsidRPr="00335F77">
        <w:rPr>
          <w:rFonts w:ascii="Sylfaen" w:hAnsi="Sylfaen" w:cs="Arial"/>
          <w:sz w:val="22"/>
          <w:szCs w:val="22"/>
        </w:rPr>
        <w:t>)</w:t>
      </w:r>
      <w:r w:rsidRPr="00335F77">
        <w:rPr>
          <w:rFonts w:ascii="Sylfaen" w:hAnsi="Sylfaen" w:cs="Arial"/>
          <w:sz w:val="22"/>
          <w:szCs w:val="22"/>
        </w:rPr>
        <w:tab/>
        <w:t xml:space="preserve">Some members of the Sikh and Hindu communities in Afghanistan continue to suffer harassment at the hands of Muslim zealots. </w:t>
      </w:r>
    </w:p>
    <w:p w:rsidR="00335F77" w:rsidRPr="00335F77" w:rsidRDefault="00335F77" w:rsidP="00335F77">
      <w:pPr>
        <w:spacing w:after="120"/>
        <w:ind w:left="851"/>
        <w:jc w:val="both"/>
        <w:rPr>
          <w:rFonts w:ascii="Sylfaen" w:hAnsi="Sylfaen" w:cs="Arial"/>
          <w:sz w:val="22"/>
          <w:szCs w:val="22"/>
        </w:rPr>
      </w:pPr>
      <w:r w:rsidRPr="00335F77">
        <w:rPr>
          <w:rFonts w:ascii="Sylfaen" w:hAnsi="Sylfaen" w:cs="Arial"/>
          <w:sz w:val="22"/>
          <w:szCs w:val="22"/>
        </w:rPr>
        <w:t>(ii</w:t>
      </w:r>
      <w:r w:rsidRPr="00335F77">
        <w:rPr>
          <w:rFonts w:ascii="Sylfaen" w:hAnsi="Sylfaen" w:cs="Arial"/>
          <w:sz w:val="22"/>
          <w:szCs w:val="22"/>
        </w:rPr>
        <w:tab/>
        <w:t>Members of the Sikh and Hindu communities in Afghanistan do not face a real risk of persecution or ill-treatment such as to entitle them to a grant of international protection on the basis of their ethnic or religious identity, per se. Neither can it be said that the cumulative impact of discrimination suffered by the Sikh and Hindu communities in general reaches the threshold of persecution.</w:t>
      </w:r>
    </w:p>
    <w:p w:rsidR="003A6EEC" w:rsidRPr="003A6EEC" w:rsidRDefault="00335F77">
      <w:pPr>
        <w:numPr>
          <w:ilvl w:val="0"/>
          <w:numId w:val="1"/>
        </w:numPr>
        <w:tabs>
          <w:tab w:val="clear" w:pos="757"/>
        </w:tabs>
        <w:spacing w:after="120"/>
        <w:ind w:left="540" w:hanging="540"/>
        <w:jc w:val="both"/>
        <w:rPr>
          <w:rFonts w:ascii="Sylfaen" w:hAnsi="Sylfaen" w:cs="Arial"/>
        </w:rPr>
      </w:pPr>
      <w:r>
        <w:rPr>
          <w:rFonts w:ascii="Sylfaen" w:hAnsi="Sylfaen" w:cs="Arial"/>
        </w:rPr>
        <w:t>The effect of that was that Afghan Sikhs might have a valid asylum claim</w:t>
      </w:r>
      <w:r w:rsidR="00817DB0">
        <w:rPr>
          <w:rFonts w:ascii="Sylfaen" w:hAnsi="Sylfaen" w:cs="Arial"/>
        </w:rPr>
        <w:t>, but would have to establish it on the facts of their own case. That means this appellant’s travel history</w:t>
      </w:r>
      <w:r w:rsidR="00941DC4">
        <w:rPr>
          <w:rFonts w:ascii="Sylfaen" w:hAnsi="Sylfaen" w:cs="Arial"/>
        </w:rPr>
        <w:t>, being very closely bound up with the recent facts on which he relied,</w:t>
      </w:r>
      <w:r w:rsidR="00817DB0">
        <w:rPr>
          <w:rFonts w:ascii="Sylfaen" w:hAnsi="Sylfaen" w:cs="Arial"/>
        </w:rPr>
        <w:t xml:space="preserve"> did not just raise a point on </w:t>
      </w:r>
      <w:r w:rsidR="00817DB0">
        <w:rPr>
          <w:rFonts w:ascii="Sylfaen" w:hAnsi="Sylfaen"/>
        </w:rPr>
        <w:t>s</w:t>
      </w:r>
      <w:r w:rsidR="00817DB0" w:rsidRPr="000E0309">
        <w:rPr>
          <w:rFonts w:ascii="Sylfaen" w:hAnsi="Sylfaen"/>
        </w:rPr>
        <w:t xml:space="preserve">. 8 of the </w:t>
      </w:r>
      <w:hyperlink r:id="rId10" w:history="1">
        <w:r w:rsidR="00817DB0" w:rsidRPr="000E0309">
          <w:rPr>
            <w:rFonts w:ascii="Sylfaen" w:hAnsi="Sylfaen"/>
            <w:color w:val="000000"/>
          </w:rPr>
          <w:t>Asylum and Immigration (Treatment of Claimants, etc.) Act 2004</w:t>
        </w:r>
      </w:hyperlink>
      <w:r w:rsidR="00941DC4">
        <w:rPr>
          <w:rFonts w:ascii="Sylfaen" w:hAnsi="Sylfaen"/>
        </w:rPr>
        <w:t>, but was essential to his case as a whole.</w:t>
      </w:r>
    </w:p>
    <w:p w:rsidR="00817DB0" w:rsidRPr="00A40C40" w:rsidRDefault="003A6EEC">
      <w:pPr>
        <w:numPr>
          <w:ilvl w:val="0"/>
          <w:numId w:val="1"/>
        </w:numPr>
        <w:tabs>
          <w:tab w:val="clear" w:pos="757"/>
        </w:tabs>
        <w:spacing w:after="120"/>
        <w:ind w:left="540" w:hanging="540"/>
        <w:jc w:val="both"/>
        <w:rPr>
          <w:rFonts w:ascii="Sylfaen" w:hAnsi="Sylfaen" w:cs="Arial"/>
        </w:rPr>
      </w:pPr>
      <w:r>
        <w:rPr>
          <w:rFonts w:ascii="Sylfaen" w:hAnsi="Sylfaen"/>
        </w:rPr>
        <w:t>S. 8</w:t>
      </w:r>
      <w:r w:rsidR="00817DB0" w:rsidRPr="000E0309">
        <w:rPr>
          <w:rFonts w:ascii="Sylfaen" w:hAnsi="Sylfaen"/>
        </w:rPr>
        <w:t>, so far as relevant</w:t>
      </w:r>
      <w:r w:rsidR="00941DC4">
        <w:rPr>
          <w:rFonts w:ascii="Sylfaen" w:hAnsi="Sylfaen"/>
        </w:rPr>
        <w:t xml:space="preserve"> to the points made in the refusal letter (paragraph</w:t>
      </w:r>
      <w:r w:rsidR="009F010E">
        <w:rPr>
          <w:rFonts w:ascii="Sylfaen" w:hAnsi="Sylfaen"/>
        </w:rPr>
        <w:t>s</w:t>
      </w:r>
      <w:r w:rsidR="00941DC4">
        <w:rPr>
          <w:rFonts w:ascii="Sylfaen" w:hAnsi="Sylfaen"/>
        </w:rPr>
        <w:t xml:space="preserve"> 25</w:t>
      </w:r>
      <w:r w:rsidR="009F010E">
        <w:rPr>
          <w:rFonts w:ascii="Sylfaen" w:hAnsi="Sylfaen"/>
        </w:rPr>
        <w:t xml:space="preserve"> and 27</w:t>
      </w:r>
      <w:r w:rsidR="00941DC4">
        <w:rPr>
          <w:rFonts w:ascii="Sylfaen" w:hAnsi="Sylfaen"/>
        </w:rPr>
        <w:t>) and by the judge,</w:t>
      </w:r>
      <w:r w:rsidR="00817DB0">
        <w:rPr>
          <w:rFonts w:ascii="Sylfaen" w:hAnsi="Sylfaen"/>
        </w:rPr>
        <w:t xml:space="preserve"> says this</w:t>
      </w:r>
    </w:p>
    <w:p w:rsidR="00941DC4" w:rsidRPr="00941DC4" w:rsidRDefault="00817DB0" w:rsidP="00196F7F">
      <w:pPr>
        <w:pStyle w:val="List1"/>
        <w:numPr>
          <w:ilvl w:val="0"/>
          <w:numId w:val="3"/>
        </w:numPr>
        <w:shd w:val="clear" w:color="auto" w:fill="FFFFFF"/>
        <w:spacing w:after="96"/>
        <w:rPr>
          <w:rStyle w:val="legdslegrhslegp2text"/>
          <w:color w:val="000000"/>
          <w:sz w:val="22"/>
          <w:szCs w:val="22"/>
        </w:rPr>
      </w:pPr>
      <w:r w:rsidRPr="00941DC4">
        <w:rPr>
          <w:rStyle w:val="legdslegrhslegp2text"/>
          <w:sz w:val="22"/>
          <w:szCs w:val="22"/>
        </w:rPr>
        <w:t>In determining whether to believe a statement made by or on behalf of a person who makes an asylum claim or a human rights claim, a deciding authority shall take account, as damaging the claimant’s credibility, of any behaviour to which this section applies. …</w:t>
      </w:r>
      <w:r w:rsidR="00941DC4" w:rsidRPr="00941DC4">
        <w:rPr>
          <w:rStyle w:val="legdslegrhslegp2text"/>
          <w:sz w:val="22"/>
          <w:szCs w:val="22"/>
        </w:rPr>
        <w:t xml:space="preserve"> </w:t>
      </w:r>
    </w:p>
    <w:p w:rsidR="00941DC4" w:rsidRPr="00941DC4" w:rsidRDefault="00941DC4" w:rsidP="00196F7F">
      <w:pPr>
        <w:pStyle w:val="List1"/>
        <w:numPr>
          <w:ilvl w:val="0"/>
          <w:numId w:val="3"/>
        </w:numPr>
        <w:shd w:val="clear" w:color="auto" w:fill="FFFFFF"/>
        <w:spacing w:after="96"/>
        <w:rPr>
          <w:rFonts w:ascii="Arial" w:hAnsi="Arial"/>
          <w:color w:val="000000"/>
          <w:sz w:val="19"/>
          <w:szCs w:val="19"/>
        </w:rPr>
      </w:pPr>
      <w:r w:rsidRPr="00941DC4">
        <w:rPr>
          <w:rStyle w:val="legds"/>
          <w:color w:val="000000"/>
          <w:sz w:val="22"/>
          <w:szCs w:val="22"/>
        </w:rPr>
        <w:t>This section applies to any behaviour by the claimant that the deciding authority thinks–</w:t>
      </w:r>
      <w:r w:rsidRPr="00941DC4">
        <w:rPr>
          <w:color w:val="000000"/>
          <w:sz w:val="22"/>
          <w:szCs w:val="22"/>
        </w:rPr>
        <w:t xml:space="preserve"> </w:t>
      </w:r>
    </w:p>
    <w:p w:rsidR="00941DC4" w:rsidRPr="00941DC4" w:rsidRDefault="00941DC4" w:rsidP="007F350F">
      <w:pPr>
        <w:pStyle w:val="legclearfix"/>
        <w:shd w:val="clear" w:color="auto" w:fill="FFFFFF"/>
        <w:spacing w:before="0" w:beforeAutospacing="0" w:after="0" w:afterAutospacing="0"/>
        <w:ind w:left="1213"/>
        <w:rPr>
          <w:rFonts w:ascii="Sylfaen" w:hAnsi="Sylfaen" w:cs="Arial"/>
          <w:color w:val="000000"/>
          <w:sz w:val="22"/>
          <w:szCs w:val="22"/>
        </w:rPr>
      </w:pPr>
      <w:r w:rsidRPr="00941DC4">
        <w:rPr>
          <w:rStyle w:val="legds"/>
          <w:rFonts w:ascii="Sylfaen" w:hAnsi="Sylfaen" w:cs="Arial"/>
          <w:color w:val="000000"/>
          <w:sz w:val="22"/>
          <w:szCs w:val="22"/>
        </w:rPr>
        <w:t>(a)</w:t>
      </w:r>
      <w:r w:rsidRPr="00941DC4">
        <w:rPr>
          <w:rFonts w:ascii="Sylfaen" w:hAnsi="Sylfaen" w:cs="Arial"/>
          <w:color w:val="000000"/>
          <w:sz w:val="22"/>
          <w:szCs w:val="22"/>
        </w:rPr>
        <w:t xml:space="preserve"> </w:t>
      </w:r>
      <w:r w:rsidRPr="00941DC4">
        <w:rPr>
          <w:rStyle w:val="legds"/>
          <w:rFonts w:ascii="Sylfaen" w:hAnsi="Sylfaen" w:cs="Arial"/>
          <w:color w:val="000000"/>
          <w:sz w:val="22"/>
          <w:szCs w:val="22"/>
        </w:rPr>
        <w:t>is designed or likely to conceal information,</w:t>
      </w:r>
      <w:r w:rsidRPr="00941DC4">
        <w:rPr>
          <w:rFonts w:ascii="Sylfaen" w:hAnsi="Sylfaen" w:cs="Arial"/>
          <w:color w:val="000000"/>
          <w:sz w:val="22"/>
          <w:szCs w:val="22"/>
        </w:rPr>
        <w:t xml:space="preserve"> </w:t>
      </w:r>
    </w:p>
    <w:p w:rsidR="00941DC4" w:rsidRPr="00941DC4" w:rsidRDefault="00941DC4" w:rsidP="007F350F">
      <w:pPr>
        <w:pStyle w:val="legclearfix"/>
        <w:shd w:val="clear" w:color="auto" w:fill="FFFFFF"/>
        <w:spacing w:before="0" w:beforeAutospacing="0" w:after="0" w:afterAutospacing="0"/>
        <w:ind w:left="1213"/>
        <w:rPr>
          <w:rFonts w:ascii="Sylfaen" w:hAnsi="Sylfaen" w:cs="Arial"/>
          <w:color w:val="000000"/>
          <w:sz w:val="22"/>
          <w:szCs w:val="22"/>
        </w:rPr>
      </w:pPr>
      <w:r w:rsidRPr="00941DC4">
        <w:rPr>
          <w:rStyle w:val="legds"/>
          <w:rFonts w:ascii="Sylfaen" w:hAnsi="Sylfaen" w:cs="Arial"/>
          <w:color w:val="000000"/>
          <w:sz w:val="22"/>
          <w:szCs w:val="22"/>
        </w:rPr>
        <w:t>(b)</w:t>
      </w:r>
      <w:r w:rsidRPr="00941DC4">
        <w:rPr>
          <w:rFonts w:ascii="Sylfaen" w:hAnsi="Sylfaen" w:cs="Arial"/>
          <w:color w:val="000000"/>
          <w:sz w:val="22"/>
          <w:szCs w:val="22"/>
        </w:rPr>
        <w:t xml:space="preserve"> </w:t>
      </w:r>
      <w:r w:rsidRPr="00941DC4">
        <w:rPr>
          <w:rStyle w:val="legds"/>
          <w:rFonts w:ascii="Sylfaen" w:hAnsi="Sylfaen" w:cs="Arial"/>
          <w:color w:val="000000"/>
          <w:sz w:val="22"/>
          <w:szCs w:val="22"/>
        </w:rPr>
        <w:t>is designed or likely to mislead, or</w:t>
      </w:r>
      <w:r w:rsidRPr="00941DC4">
        <w:rPr>
          <w:rFonts w:ascii="Sylfaen" w:hAnsi="Sylfaen" w:cs="Arial"/>
          <w:color w:val="000000"/>
          <w:sz w:val="22"/>
          <w:szCs w:val="22"/>
        </w:rPr>
        <w:t xml:space="preserve"> </w:t>
      </w:r>
    </w:p>
    <w:p w:rsidR="00941DC4" w:rsidRDefault="00941DC4" w:rsidP="007F350F">
      <w:pPr>
        <w:pStyle w:val="legclearfix"/>
        <w:shd w:val="clear" w:color="auto" w:fill="FFFFFF"/>
        <w:spacing w:before="0" w:beforeAutospacing="0" w:after="0" w:afterAutospacing="0"/>
        <w:ind w:left="1213"/>
        <w:rPr>
          <w:rFonts w:ascii="Arial" w:hAnsi="Arial" w:cs="Arial"/>
          <w:color w:val="000000"/>
          <w:sz w:val="19"/>
          <w:szCs w:val="19"/>
        </w:rPr>
      </w:pPr>
      <w:r w:rsidRPr="00941DC4">
        <w:rPr>
          <w:rStyle w:val="legds"/>
          <w:rFonts w:ascii="Sylfaen" w:hAnsi="Sylfaen" w:cs="Arial"/>
          <w:color w:val="000000"/>
          <w:sz w:val="22"/>
          <w:szCs w:val="22"/>
        </w:rPr>
        <w:t>(c)</w:t>
      </w:r>
      <w:r w:rsidRPr="00941DC4">
        <w:rPr>
          <w:rFonts w:ascii="Sylfaen" w:hAnsi="Sylfaen" w:cs="Arial"/>
          <w:color w:val="000000"/>
          <w:sz w:val="22"/>
          <w:szCs w:val="22"/>
        </w:rPr>
        <w:t xml:space="preserve"> </w:t>
      </w:r>
      <w:r w:rsidRPr="00941DC4">
        <w:rPr>
          <w:rStyle w:val="legds"/>
          <w:rFonts w:ascii="Sylfaen" w:hAnsi="Sylfaen" w:cs="Arial"/>
          <w:color w:val="000000"/>
          <w:sz w:val="22"/>
          <w:szCs w:val="22"/>
        </w:rPr>
        <w:t>is designed or likely to obstruct or delay the handling or resolution of the claim or the taking of a decision in relation to the claimant.</w:t>
      </w:r>
    </w:p>
    <w:p w:rsidR="00817DB0" w:rsidRPr="00A40C40" w:rsidRDefault="00817DB0" w:rsidP="003A6EEC">
      <w:pPr>
        <w:pStyle w:val="List1"/>
        <w:numPr>
          <w:ilvl w:val="0"/>
          <w:numId w:val="0"/>
        </w:numPr>
        <w:ind w:left="1276" w:hanging="425"/>
        <w:rPr>
          <w:sz w:val="22"/>
          <w:szCs w:val="22"/>
        </w:rPr>
      </w:pPr>
      <w:r w:rsidRPr="00A40C40">
        <w:rPr>
          <w:rStyle w:val="legdsleglhslegp2no"/>
          <w:sz w:val="22"/>
          <w:szCs w:val="22"/>
        </w:rPr>
        <w:t>(4)</w:t>
      </w:r>
      <w:r w:rsidRPr="00A40C40">
        <w:rPr>
          <w:sz w:val="22"/>
          <w:szCs w:val="22"/>
        </w:rPr>
        <w:t xml:space="preserve"> </w:t>
      </w:r>
      <w:r w:rsidRPr="00A40C40">
        <w:rPr>
          <w:rStyle w:val="legdslegrhslegp2text"/>
          <w:sz w:val="22"/>
          <w:szCs w:val="22"/>
        </w:rPr>
        <w:t>This section also applies to failure by the claimant to ta</w:t>
      </w:r>
      <w:r w:rsidR="003A6EEC">
        <w:rPr>
          <w:rStyle w:val="legdslegrhslegp2text"/>
          <w:sz w:val="22"/>
          <w:szCs w:val="22"/>
        </w:rPr>
        <w:t xml:space="preserve">ke advantage of a reasonable </w:t>
      </w:r>
      <w:r w:rsidRPr="00A40C40">
        <w:rPr>
          <w:rStyle w:val="legdslegrhslegp2text"/>
          <w:sz w:val="22"/>
          <w:szCs w:val="22"/>
        </w:rPr>
        <w:t>opportunity to make an asylum claim or human rights claim while in a safe country.</w:t>
      </w:r>
    </w:p>
    <w:p w:rsidR="00335F77" w:rsidRDefault="003A6EEC" w:rsidP="006F4888">
      <w:pPr>
        <w:numPr>
          <w:ilvl w:val="0"/>
          <w:numId w:val="1"/>
        </w:numPr>
        <w:tabs>
          <w:tab w:val="clear" w:pos="757"/>
        </w:tabs>
        <w:spacing w:after="120"/>
        <w:ind w:left="540" w:hanging="540"/>
        <w:jc w:val="both"/>
        <w:rPr>
          <w:rFonts w:ascii="Sylfaen" w:hAnsi="Sylfaen" w:cs="Arial"/>
        </w:rPr>
      </w:pPr>
      <w:r>
        <w:rPr>
          <w:rFonts w:ascii="Sylfaen" w:hAnsi="Sylfaen" w:cs="Arial"/>
        </w:rPr>
        <w:t xml:space="preserve">I can now turn to the points made by </w:t>
      </w:r>
      <w:r w:rsidRPr="003A6EEC">
        <w:rPr>
          <w:rFonts w:ascii="Sylfaen" w:hAnsi="Sylfaen" w:cs="Arial"/>
        </w:rPr>
        <w:t xml:space="preserve">Mr </w:t>
      </w:r>
      <w:proofErr w:type="spellStart"/>
      <w:r w:rsidRPr="003A6EEC">
        <w:rPr>
          <w:rFonts w:ascii="Sylfaen" w:hAnsi="Sylfaen" w:cs="Arial"/>
        </w:rPr>
        <w:t>Lungley</w:t>
      </w:r>
      <w:proofErr w:type="spellEnd"/>
      <w:r>
        <w:rPr>
          <w:rFonts w:ascii="Sylfaen" w:hAnsi="Sylfaen" w:cs="Arial"/>
        </w:rPr>
        <w:t xml:space="preserve">. </w:t>
      </w:r>
      <w:proofErr w:type="gramStart"/>
      <w:r w:rsidR="00DE6805">
        <w:rPr>
          <w:rFonts w:ascii="Sylfaen" w:hAnsi="Sylfaen" w:cs="Arial"/>
        </w:rPr>
        <w:t>First</w:t>
      </w:r>
      <w:proofErr w:type="gramEnd"/>
      <w:r w:rsidR="00DE6805">
        <w:rPr>
          <w:rFonts w:ascii="Sylfaen" w:hAnsi="Sylfaen" w:cs="Arial"/>
        </w:rPr>
        <w:t xml:space="preserve"> he referred to </w:t>
      </w:r>
      <w:r w:rsidR="00DE6805" w:rsidRPr="00DE6805">
        <w:rPr>
          <w:rFonts w:ascii="Sylfaen" w:hAnsi="Sylfaen" w:cs="Arial"/>
        </w:rPr>
        <w:t xml:space="preserve">Dr </w:t>
      </w:r>
      <w:proofErr w:type="spellStart"/>
      <w:r w:rsidR="00DE6805" w:rsidRPr="00DE6805">
        <w:rPr>
          <w:rFonts w:ascii="Sylfaen" w:hAnsi="Sylfaen" w:cs="Arial"/>
        </w:rPr>
        <w:t>Giustozzi</w:t>
      </w:r>
      <w:r w:rsidR="00DE6805">
        <w:rPr>
          <w:rFonts w:ascii="Sylfaen" w:hAnsi="Sylfaen" w:cs="Arial"/>
        </w:rPr>
        <w:t>’s</w:t>
      </w:r>
      <w:proofErr w:type="spellEnd"/>
      <w:r w:rsidR="00DE6805">
        <w:rPr>
          <w:rFonts w:ascii="Sylfaen" w:hAnsi="Sylfaen" w:cs="Arial"/>
        </w:rPr>
        <w:t xml:space="preserve"> report at paragraph 9. </w:t>
      </w:r>
      <w:r w:rsidR="00DE6805" w:rsidRPr="00DE6805">
        <w:rPr>
          <w:rFonts w:ascii="Sylfaen" w:hAnsi="Sylfaen" w:cs="Arial"/>
        </w:rPr>
        <w:t xml:space="preserve">Dr </w:t>
      </w:r>
      <w:proofErr w:type="spellStart"/>
      <w:r w:rsidR="00DE6805" w:rsidRPr="00DE6805">
        <w:rPr>
          <w:rFonts w:ascii="Sylfaen" w:hAnsi="Sylfaen" w:cs="Arial"/>
        </w:rPr>
        <w:t>Giustozzi</w:t>
      </w:r>
      <w:proofErr w:type="spellEnd"/>
      <w:r w:rsidR="00DE6805">
        <w:rPr>
          <w:rFonts w:ascii="Sylfaen" w:hAnsi="Sylfaen" w:cs="Arial"/>
        </w:rPr>
        <w:t xml:space="preserve"> refers to the appellant’s 2002 account of trouble with the Taleban in </w:t>
      </w:r>
      <w:proofErr w:type="spellStart"/>
      <w:r w:rsidR="00DE6805">
        <w:rPr>
          <w:rFonts w:ascii="Sylfaen" w:hAnsi="Sylfaen" w:cs="Arial"/>
        </w:rPr>
        <w:t>Khost</w:t>
      </w:r>
      <w:proofErr w:type="spellEnd"/>
      <w:r w:rsidR="00DE6805">
        <w:rPr>
          <w:rFonts w:ascii="Sylfaen" w:hAnsi="Sylfaen" w:cs="Arial"/>
        </w:rPr>
        <w:t xml:space="preserve">: in </w:t>
      </w:r>
      <w:proofErr w:type="gramStart"/>
      <w:r w:rsidR="00DE6805">
        <w:rPr>
          <w:rFonts w:ascii="Sylfaen" w:hAnsi="Sylfaen" w:cs="Arial"/>
        </w:rPr>
        <w:t>fact</w:t>
      </w:r>
      <w:proofErr w:type="gramEnd"/>
      <w:r w:rsidR="00DE6805">
        <w:rPr>
          <w:rFonts w:ascii="Sylfaen" w:hAnsi="Sylfaen" w:cs="Arial"/>
        </w:rPr>
        <w:t xml:space="preserve"> that was in Kabul, as shown in paragraph 10 of his statement of 15 June 2017. He goes on </w:t>
      </w:r>
    </w:p>
    <w:p w:rsidR="00DE6805" w:rsidRPr="00DE6805" w:rsidRDefault="00DE6805" w:rsidP="00DE6805">
      <w:pPr>
        <w:spacing w:after="120"/>
        <w:ind w:left="851"/>
        <w:jc w:val="both"/>
        <w:rPr>
          <w:rFonts w:ascii="Sylfaen" w:hAnsi="Sylfaen" w:cs="Arial"/>
          <w:sz w:val="22"/>
          <w:szCs w:val="22"/>
        </w:rPr>
      </w:pPr>
      <w:r>
        <w:rPr>
          <w:rFonts w:ascii="Sylfaen" w:hAnsi="Sylfaen" w:cs="Arial"/>
          <w:sz w:val="22"/>
          <w:szCs w:val="22"/>
        </w:rPr>
        <w:t>It is more plausible that in 2016 the Taliban could have asked [the appellant] to store military equipment in his shop, as they often do ask people to keep equipment in their homes and shops.</w:t>
      </w:r>
    </w:p>
    <w:p w:rsidR="00DE6805" w:rsidRDefault="007F350F" w:rsidP="006F4888">
      <w:pPr>
        <w:numPr>
          <w:ilvl w:val="0"/>
          <w:numId w:val="1"/>
        </w:numPr>
        <w:tabs>
          <w:tab w:val="clear" w:pos="757"/>
        </w:tabs>
        <w:spacing w:after="120"/>
        <w:ind w:left="540" w:hanging="540"/>
        <w:jc w:val="both"/>
        <w:rPr>
          <w:rFonts w:ascii="Sylfaen" w:hAnsi="Sylfaen" w:cs="Arial"/>
        </w:rPr>
      </w:pPr>
      <w:r>
        <w:rPr>
          <w:rFonts w:ascii="Sylfaen" w:hAnsi="Sylfaen" w:cs="Arial"/>
        </w:rPr>
        <w:t xml:space="preserve">While it is true that the judge did not refer to this passage, in my view it does not take the appellant’s credibility </w:t>
      </w:r>
      <w:r w:rsidRPr="007F350F">
        <w:rPr>
          <w:rFonts w:ascii="Sylfaen" w:hAnsi="Sylfaen" w:cs="Arial"/>
        </w:rPr>
        <w:t>significant</w:t>
      </w:r>
      <w:r>
        <w:rPr>
          <w:rFonts w:ascii="Sylfaen" w:hAnsi="Sylfaen" w:cs="Arial"/>
        </w:rPr>
        <w:t>ly further, and it has nothing to do with the reasons for which the judge did disbelieve his account.</w:t>
      </w:r>
    </w:p>
    <w:p w:rsidR="007F350F" w:rsidRDefault="007F350F" w:rsidP="006F4888">
      <w:pPr>
        <w:numPr>
          <w:ilvl w:val="0"/>
          <w:numId w:val="1"/>
        </w:numPr>
        <w:tabs>
          <w:tab w:val="clear" w:pos="757"/>
        </w:tabs>
        <w:spacing w:after="120"/>
        <w:ind w:left="540" w:hanging="540"/>
        <w:jc w:val="both"/>
        <w:rPr>
          <w:rFonts w:ascii="Sylfaen" w:hAnsi="Sylfaen" w:cs="Arial"/>
        </w:rPr>
      </w:pPr>
      <w:r>
        <w:rPr>
          <w:rFonts w:ascii="Sylfaen" w:hAnsi="Sylfaen" w:cs="Arial"/>
        </w:rPr>
        <w:t xml:space="preserve">Turning to </w:t>
      </w:r>
      <w:r w:rsidRPr="007F350F">
        <w:rPr>
          <w:rFonts w:ascii="Sylfaen" w:hAnsi="Sylfaen" w:cs="Arial"/>
        </w:rPr>
        <w:t xml:space="preserve">Dr </w:t>
      </w:r>
      <w:proofErr w:type="spellStart"/>
      <w:r w:rsidRPr="007F350F">
        <w:rPr>
          <w:rFonts w:ascii="Sylfaen" w:hAnsi="Sylfaen" w:cs="Arial"/>
        </w:rPr>
        <w:t>Giustozzi</w:t>
      </w:r>
      <w:r>
        <w:rPr>
          <w:rFonts w:ascii="Sylfaen" w:hAnsi="Sylfaen" w:cs="Arial"/>
        </w:rPr>
        <w:t>’s</w:t>
      </w:r>
      <w:proofErr w:type="spellEnd"/>
      <w:r>
        <w:rPr>
          <w:rFonts w:ascii="Sylfaen" w:hAnsi="Sylfaen" w:cs="Arial"/>
        </w:rPr>
        <w:t xml:space="preserve"> evidence about the situation of Afghan Sikhs generally, at paragraph 10, without referring specifically to </w:t>
      </w:r>
      <w:proofErr w:type="spellStart"/>
      <w:r>
        <w:rPr>
          <w:rFonts w:ascii="Sylfaen" w:hAnsi="Sylfaen" w:cs="Arial"/>
        </w:rPr>
        <w:t>Khost</w:t>
      </w:r>
      <w:proofErr w:type="spellEnd"/>
      <w:r>
        <w:rPr>
          <w:rFonts w:ascii="Sylfaen" w:hAnsi="Sylfaen" w:cs="Arial"/>
        </w:rPr>
        <w:t>, he says this</w:t>
      </w:r>
    </w:p>
    <w:p w:rsidR="007F350F" w:rsidRPr="007F350F" w:rsidRDefault="007F350F" w:rsidP="007F350F">
      <w:pPr>
        <w:spacing w:after="120"/>
        <w:ind w:left="851"/>
        <w:jc w:val="both"/>
        <w:rPr>
          <w:rFonts w:ascii="Sylfaen" w:hAnsi="Sylfaen" w:cs="Arial"/>
          <w:sz w:val="22"/>
          <w:szCs w:val="22"/>
        </w:rPr>
      </w:pPr>
      <w:r>
        <w:rPr>
          <w:rFonts w:ascii="Sylfaen" w:hAnsi="Sylfaen" w:cs="Arial"/>
          <w:sz w:val="22"/>
          <w:szCs w:val="22"/>
        </w:rPr>
        <w:lastRenderedPageBreak/>
        <w:t>On top of the main gangs, which are well connected politically, there are also hundreds of small gangs who prey on small traders like Sikhs usually are: they use the threat of forced conversion as an intimidation tool, but their real aim is extortion.</w:t>
      </w:r>
    </w:p>
    <w:p w:rsidR="007F350F" w:rsidRDefault="007F350F" w:rsidP="007F350F">
      <w:pPr>
        <w:numPr>
          <w:ilvl w:val="0"/>
          <w:numId w:val="1"/>
        </w:numPr>
        <w:tabs>
          <w:tab w:val="clear" w:pos="757"/>
        </w:tabs>
        <w:spacing w:after="120"/>
        <w:ind w:left="540" w:hanging="540"/>
        <w:jc w:val="both"/>
        <w:rPr>
          <w:rFonts w:ascii="Sylfaen" w:hAnsi="Sylfaen" w:cs="Arial"/>
        </w:rPr>
      </w:pPr>
      <w:proofErr w:type="gramStart"/>
      <w:r>
        <w:rPr>
          <w:rFonts w:ascii="Sylfaen" w:hAnsi="Sylfaen" w:cs="Arial"/>
        </w:rPr>
        <w:t>Again</w:t>
      </w:r>
      <w:proofErr w:type="gramEnd"/>
      <w:r>
        <w:rPr>
          <w:rFonts w:ascii="Sylfaen" w:hAnsi="Sylfaen" w:cs="Arial"/>
        </w:rPr>
        <w:t xml:space="preserve"> the judge did not refer to this; but once again it does not add anything </w:t>
      </w:r>
      <w:r w:rsidRPr="007F350F">
        <w:rPr>
          <w:rFonts w:ascii="Sylfaen" w:hAnsi="Sylfaen" w:cs="Arial"/>
        </w:rPr>
        <w:t>significant</w:t>
      </w:r>
      <w:r>
        <w:rPr>
          <w:rFonts w:ascii="Sylfaen" w:hAnsi="Sylfaen" w:cs="Arial"/>
        </w:rPr>
        <w:t xml:space="preserve"> to the credibility of the appellant’s account, or detract from the judge’s reasons for disbelieving it. </w:t>
      </w:r>
    </w:p>
    <w:p w:rsidR="008D1B5E" w:rsidRDefault="007F350F" w:rsidP="007F350F">
      <w:pPr>
        <w:numPr>
          <w:ilvl w:val="0"/>
          <w:numId w:val="1"/>
        </w:numPr>
        <w:tabs>
          <w:tab w:val="clear" w:pos="757"/>
        </w:tabs>
        <w:spacing w:after="120"/>
        <w:ind w:left="540" w:hanging="540"/>
        <w:jc w:val="both"/>
        <w:rPr>
          <w:rFonts w:ascii="Sylfaen" w:hAnsi="Sylfaen" w:cs="Arial"/>
        </w:rPr>
      </w:pPr>
      <w:r>
        <w:rPr>
          <w:rFonts w:ascii="Sylfaen" w:hAnsi="Sylfaen" w:cs="Arial"/>
        </w:rPr>
        <w:t xml:space="preserve">Mr </w:t>
      </w:r>
      <w:proofErr w:type="spellStart"/>
      <w:r>
        <w:rPr>
          <w:rFonts w:ascii="Sylfaen" w:hAnsi="Sylfaen" w:cs="Arial"/>
        </w:rPr>
        <w:t>Lungley</w:t>
      </w:r>
      <w:proofErr w:type="spellEnd"/>
      <w:r>
        <w:rPr>
          <w:rFonts w:ascii="Sylfaen" w:hAnsi="Sylfaen" w:cs="Arial"/>
        </w:rPr>
        <w:t xml:space="preserve"> next referred to </w:t>
      </w:r>
      <w:r w:rsidRPr="007F350F">
        <w:rPr>
          <w:rFonts w:ascii="Sylfaen" w:hAnsi="Sylfaen" w:cs="Arial"/>
        </w:rPr>
        <w:t xml:space="preserve">Dr </w:t>
      </w:r>
      <w:proofErr w:type="spellStart"/>
      <w:r w:rsidRPr="007F350F">
        <w:rPr>
          <w:rFonts w:ascii="Sylfaen" w:hAnsi="Sylfaen" w:cs="Arial"/>
        </w:rPr>
        <w:t>Giustozzi</w:t>
      </w:r>
      <w:r>
        <w:rPr>
          <w:rFonts w:ascii="Sylfaen" w:hAnsi="Sylfaen" w:cs="Arial"/>
        </w:rPr>
        <w:t>’s</w:t>
      </w:r>
      <w:proofErr w:type="spellEnd"/>
      <w:r>
        <w:rPr>
          <w:rFonts w:ascii="Sylfaen" w:hAnsi="Sylfaen" w:cs="Arial"/>
        </w:rPr>
        <w:t xml:space="preserve"> evidence about the </w:t>
      </w:r>
      <w:r w:rsidR="008D1B5E">
        <w:rPr>
          <w:rFonts w:ascii="Sylfaen" w:hAnsi="Sylfaen" w:cs="Arial"/>
        </w:rPr>
        <w:t xml:space="preserve">possibility of internal relocation for the appellant and his family, citing paragraph 34 of his report. However, this deals with the safety for Sikhs of places outside Kabul, which is where the judge found they could go, in his alternative findings on internal relocation. </w:t>
      </w:r>
    </w:p>
    <w:p w:rsidR="00BB5D9E" w:rsidRDefault="008D1B5E" w:rsidP="007F350F">
      <w:pPr>
        <w:numPr>
          <w:ilvl w:val="0"/>
          <w:numId w:val="1"/>
        </w:numPr>
        <w:tabs>
          <w:tab w:val="clear" w:pos="757"/>
        </w:tabs>
        <w:spacing w:after="120"/>
        <w:ind w:left="540" w:hanging="540"/>
        <w:jc w:val="both"/>
        <w:rPr>
          <w:rFonts w:ascii="Sylfaen" w:hAnsi="Sylfaen" w:cs="Arial"/>
        </w:rPr>
      </w:pPr>
      <w:r>
        <w:rPr>
          <w:rFonts w:ascii="Sylfaen" w:hAnsi="Sylfaen" w:cs="Arial"/>
        </w:rPr>
        <w:t>As the judge points out at 55, the appellant and his family have relations in Kabul who have been living there for a number of years, and could join them there. I</w:t>
      </w:r>
      <w:r w:rsidR="00BB5D9E">
        <w:rPr>
          <w:rFonts w:ascii="Sylfaen" w:hAnsi="Sylfaen" w:cs="Arial"/>
        </w:rPr>
        <w:t xml:space="preserve"> drew</w:t>
      </w:r>
      <w:r>
        <w:rPr>
          <w:rFonts w:ascii="Sylfaen" w:hAnsi="Sylfaen" w:cs="Arial"/>
        </w:rPr>
        <w:t xml:space="preserve"> </w:t>
      </w:r>
      <w:r w:rsidRPr="008D1B5E">
        <w:rPr>
          <w:rFonts w:ascii="Sylfaen" w:hAnsi="Sylfaen" w:cs="Arial"/>
        </w:rPr>
        <w:t xml:space="preserve">Mr </w:t>
      </w:r>
      <w:proofErr w:type="spellStart"/>
      <w:r w:rsidRPr="008D1B5E">
        <w:rPr>
          <w:rFonts w:ascii="Sylfaen" w:hAnsi="Sylfaen" w:cs="Arial"/>
        </w:rPr>
        <w:t>Lungley</w:t>
      </w:r>
      <w:r w:rsidR="00BB5D9E">
        <w:rPr>
          <w:rFonts w:ascii="Sylfaen" w:hAnsi="Sylfaen" w:cs="Arial"/>
        </w:rPr>
        <w:t>’s</w:t>
      </w:r>
      <w:proofErr w:type="spellEnd"/>
      <w:r w:rsidR="00BB5D9E">
        <w:rPr>
          <w:rFonts w:ascii="Sylfaen" w:hAnsi="Sylfaen" w:cs="Arial"/>
        </w:rPr>
        <w:t xml:space="preserve"> attention</w:t>
      </w:r>
      <w:r>
        <w:rPr>
          <w:rFonts w:ascii="Sylfaen" w:hAnsi="Sylfaen" w:cs="Arial"/>
        </w:rPr>
        <w:t xml:space="preserve"> to </w:t>
      </w:r>
      <w:hyperlink r:id="rId11" w:history="1">
        <w:r w:rsidRPr="008D1B5E">
          <w:rPr>
            <w:rStyle w:val="Hyperlink"/>
            <w:rFonts w:ascii="Sylfaen" w:hAnsi="Sylfaen" w:cs="Arial"/>
            <w:i/>
            <w:color w:val="auto"/>
            <w:u w:val="none"/>
          </w:rPr>
          <w:t>AS</w:t>
        </w:r>
        <w:r w:rsidRPr="008D1B5E">
          <w:rPr>
            <w:rStyle w:val="Hyperlink"/>
            <w:rFonts w:ascii="Sylfaen" w:hAnsi="Sylfaen" w:cs="Arial"/>
            <w:color w:val="auto"/>
            <w:u w:val="none"/>
          </w:rPr>
          <w:t xml:space="preserve"> (Safety of Kabul) Afghanistan CG [2018] UKUT 118 (IAC)</w:t>
        </w:r>
      </w:hyperlink>
      <w:r>
        <w:rPr>
          <w:rFonts w:ascii="Sylfaen" w:hAnsi="Sylfaen" w:cs="Arial"/>
        </w:rPr>
        <w:t xml:space="preserve">, where </w:t>
      </w:r>
      <w:r w:rsidRPr="008D1B5E">
        <w:rPr>
          <w:rFonts w:ascii="Sylfaen" w:hAnsi="Sylfaen" w:cs="Arial"/>
        </w:rPr>
        <w:t xml:space="preserve">Dr </w:t>
      </w:r>
      <w:proofErr w:type="spellStart"/>
      <w:r w:rsidRPr="008D1B5E">
        <w:rPr>
          <w:rFonts w:ascii="Sylfaen" w:hAnsi="Sylfaen" w:cs="Arial"/>
        </w:rPr>
        <w:t>Giustozzi</w:t>
      </w:r>
      <w:r>
        <w:rPr>
          <w:rFonts w:ascii="Sylfaen" w:hAnsi="Sylfaen" w:cs="Arial"/>
        </w:rPr>
        <w:t>’s</w:t>
      </w:r>
      <w:proofErr w:type="spellEnd"/>
      <w:r>
        <w:rPr>
          <w:rFonts w:ascii="Sylfaen" w:hAnsi="Sylfaen" w:cs="Arial"/>
        </w:rPr>
        <w:t xml:space="preserve"> </w:t>
      </w:r>
      <w:r w:rsidR="00BB5D9E">
        <w:rPr>
          <w:rFonts w:ascii="Sylfaen" w:hAnsi="Sylfaen" w:cs="Arial"/>
        </w:rPr>
        <w:t xml:space="preserve">evidence was reviewed by the panel at some length, but where they reached the conclusion (see judicial head-note) that </w:t>
      </w:r>
    </w:p>
    <w:p w:rsidR="00BB5D9E" w:rsidRPr="00BB5D9E" w:rsidRDefault="00BB5D9E" w:rsidP="00BB5D9E">
      <w:pPr>
        <w:spacing w:after="120"/>
        <w:ind w:left="851"/>
        <w:jc w:val="both"/>
        <w:rPr>
          <w:rFonts w:ascii="Sylfaen" w:hAnsi="Sylfaen" w:cs="Arial"/>
          <w:sz w:val="22"/>
          <w:szCs w:val="22"/>
        </w:rPr>
      </w:pPr>
      <w:r w:rsidRPr="00BB5D9E">
        <w:rPr>
          <w:rFonts w:ascii="Sylfaen" w:hAnsi="Sylfaen" w:cs="Arial"/>
          <w:sz w:val="22"/>
          <w:szCs w:val="22"/>
        </w:rPr>
        <w:t>(iv) A person with a support network or specific connections in Kabul is likely to be in a more advantageous position on return, which may counter a particular vulnerability of an individual on return.</w:t>
      </w:r>
    </w:p>
    <w:p w:rsidR="007F350F" w:rsidRDefault="00BB5D9E" w:rsidP="009C6AD3">
      <w:pPr>
        <w:spacing w:after="120"/>
        <w:ind w:left="567"/>
        <w:jc w:val="both"/>
        <w:rPr>
          <w:rFonts w:ascii="Sylfaen" w:hAnsi="Sylfaen" w:cs="Arial"/>
        </w:rPr>
      </w:pPr>
      <w:r>
        <w:rPr>
          <w:rFonts w:ascii="Sylfaen" w:hAnsi="Sylfaen" w:cs="Arial"/>
        </w:rPr>
        <w:t xml:space="preserve">There is however no need to dwell on this point, which has nothing to do with the appellant’s credibility, but only to the </w:t>
      </w:r>
      <w:r w:rsidR="009C6AD3">
        <w:rPr>
          <w:rFonts w:ascii="Sylfaen" w:hAnsi="Sylfaen" w:cs="Arial"/>
        </w:rPr>
        <w:t>judge’s alternative findings on internal relocation.</w:t>
      </w:r>
    </w:p>
    <w:p w:rsidR="009C6AD3" w:rsidRDefault="009C6AD3" w:rsidP="007F350F">
      <w:pPr>
        <w:numPr>
          <w:ilvl w:val="0"/>
          <w:numId w:val="1"/>
        </w:numPr>
        <w:tabs>
          <w:tab w:val="clear" w:pos="757"/>
        </w:tabs>
        <w:spacing w:after="120"/>
        <w:ind w:left="540" w:hanging="540"/>
        <w:jc w:val="both"/>
        <w:rPr>
          <w:rFonts w:ascii="Sylfaen" w:hAnsi="Sylfaen" w:cs="Arial"/>
        </w:rPr>
      </w:pPr>
      <w:r>
        <w:rPr>
          <w:rFonts w:ascii="Sylfaen" w:hAnsi="Sylfaen" w:cs="Arial"/>
        </w:rPr>
        <w:t xml:space="preserve">Finally, on the credibility issue, </w:t>
      </w:r>
      <w:r w:rsidRPr="009C6AD3">
        <w:rPr>
          <w:rFonts w:ascii="Sylfaen" w:hAnsi="Sylfaen" w:cs="Arial"/>
        </w:rPr>
        <w:t xml:space="preserve">Mr </w:t>
      </w:r>
      <w:proofErr w:type="spellStart"/>
      <w:r w:rsidRPr="009C6AD3">
        <w:rPr>
          <w:rFonts w:ascii="Sylfaen" w:hAnsi="Sylfaen" w:cs="Arial"/>
        </w:rPr>
        <w:t>Lungley</w:t>
      </w:r>
      <w:proofErr w:type="spellEnd"/>
      <w:r>
        <w:rPr>
          <w:rFonts w:ascii="Sylfaen" w:hAnsi="Sylfaen" w:cs="Arial"/>
        </w:rPr>
        <w:t xml:space="preserve"> referred to what the judge said at 39 about the appellant’s wife and sons not giving evidence. His wife had explained it by having a headache, and her period. The second would of course have been an entirely acceptable cultural reason for not giving evidence on oath, sworn on a holy book; but, as </w:t>
      </w:r>
      <w:r w:rsidRPr="009C6AD3">
        <w:rPr>
          <w:rFonts w:ascii="Sylfaen" w:hAnsi="Sylfaen" w:cs="Arial"/>
        </w:rPr>
        <w:t xml:space="preserve">Mr </w:t>
      </w:r>
      <w:proofErr w:type="spellStart"/>
      <w:r w:rsidRPr="009C6AD3">
        <w:rPr>
          <w:rFonts w:ascii="Sylfaen" w:hAnsi="Sylfaen" w:cs="Arial"/>
        </w:rPr>
        <w:t>Lungley</w:t>
      </w:r>
      <w:proofErr w:type="spellEnd"/>
      <w:r>
        <w:rPr>
          <w:rFonts w:ascii="Sylfaen" w:hAnsi="Sylfaen" w:cs="Arial"/>
        </w:rPr>
        <w:t xml:space="preserve"> accepted, there was no question of the lady having to do that on an immigration appeal. As the judge pointed out, there was no medical evidence to show she was unfit to give her own; and there was no statement from her to suggest this was ever intended.</w:t>
      </w:r>
    </w:p>
    <w:p w:rsidR="009C6AD3" w:rsidRDefault="009C6AD3" w:rsidP="007F350F">
      <w:pPr>
        <w:numPr>
          <w:ilvl w:val="0"/>
          <w:numId w:val="1"/>
        </w:numPr>
        <w:tabs>
          <w:tab w:val="clear" w:pos="757"/>
        </w:tabs>
        <w:spacing w:after="120"/>
        <w:ind w:left="540" w:hanging="540"/>
        <w:jc w:val="both"/>
        <w:rPr>
          <w:rFonts w:ascii="Sylfaen" w:hAnsi="Sylfaen" w:cs="Arial"/>
        </w:rPr>
      </w:pPr>
      <w:r>
        <w:rPr>
          <w:rFonts w:ascii="Sylfaen" w:hAnsi="Sylfaen" w:cs="Arial"/>
        </w:rPr>
        <w:t>As the judge went on to say</w:t>
      </w:r>
    </w:p>
    <w:p w:rsidR="009C6AD3" w:rsidRPr="009C6AD3" w:rsidRDefault="009C6AD3" w:rsidP="009C6AD3">
      <w:pPr>
        <w:spacing w:after="120"/>
        <w:ind w:left="851"/>
        <w:jc w:val="both"/>
        <w:rPr>
          <w:rFonts w:ascii="Sylfaen" w:hAnsi="Sylfaen" w:cs="Arial"/>
          <w:sz w:val="22"/>
          <w:szCs w:val="22"/>
        </w:rPr>
      </w:pPr>
      <w:r>
        <w:rPr>
          <w:rFonts w:ascii="Sylfaen" w:hAnsi="Sylfaen" w:cs="Arial"/>
          <w:sz w:val="22"/>
          <w:szCs w:val="22"/>
        </w:rPr>
        <w:t xml:space="preserve">If [the appellant] and his family had a </w:t>
      </w:r>
      <w:r w:rsidRPr="009C6AD3">
        <w:rPr>
          <w:rFonts w:ascii="Sylfaen" w:hAnsi="Sylfaen" w:cs="Arial"/>
          <w:sz w:val="22"/>
        </w:rPr>
        <w:t>conviction</w:t>
      </w:r>
      <w:r>
        <w:rPr>
          <w:rFonts w:ascii="Sylfaen" w:hAnsi="Sylfaen" w:cs="Arial"/>
          <w:sz w:val="22"/>
        </w:rPr>
        <w:t xml:space="preserve"> about their story, then, as a mark of their earnestness, they would all have given evidence, allowing their accounts to be tested as between each other. This is a </w:t>
      </w:r>
      <w:r w:rsidRPr="009C6AD3">
        <w:rPr>
          <w:rFonts w:ascii="Sylfaen" w:hAnsi="Sylfaen" w:cs="Arial"/>
          <w:sz w:val="22"/>
        </w:rPr>
        <w:t>significant</w:t>
      </w:r>
      <w:r>
        <w:rPr>
          <w:rFonts w:ascii="Sylfaen" w:hAnsi="Sylfaen" w:cs="Arial"/>
          <w:sz w:val="22"/>
        </w:rPr>
        <w:t xml:space="preserve"> issue, as I observed them present and attentive throughout the hearing. They are all apparently affected by events in Afghanistan and I can see no justification for them not giving evidence.</w:t>
      </w:r>
    </w:p>
    <w:p w:rsidR="00CF4DBC" w:rsidRDefault="009C6AD3" w:rsidP="00D64282">
      <w:pPr>
        <w:numPr>
          <w:ilvl w:val="0"/>
          <w:numId w:val="1"/>
        </w:numPr>
        <w:tabs>
          <w:tab w:val="clear" w:pos="757"/>
        </w:tabs>
        <w:spacing w:after="120"/>
        <w:ind w:left="540" w:hanging="540"/>
        <w:jc w:val="both"/>
        <w:rPr>
          <w:rFonts w:ascii="Sylfaen" w:hAnsi="Sylfaen" w:cs="Arial"/>
        </w:rPr>
      </w:pPr>
      <w:r w:rsidRPr="00CF4DBC">
        <w:rPr>
          <w:rFonts w:ascii="Sylfaen" w:hAnsi="Sylfaen" w:cs="Arial"/>
        </w:rPr>
        <w:t xml:space="preserve">I asked Mr </w:t>
      </w:r>
      <w:proofErr w:type="spellStart"/>
      <w:r w:rsidRPr="00CF4DBC">
        <w:rPr>
          <w:rFonts w:ascii="Sylfaen" w:hAnsi="Sylfaen" w:cs="Arial"/>
        </w:rPr>
        <w:t>Lungley</w:t>
      </w:r>
      <w:proofErr w:type="spellEnd"/>
      <w:r w:rsidRPr="00CF4DBC">
        <w:rPr>
          <w:rFonts w:ascii="Sylfaen" w:hAnsi="Sylfaen" w:cs="Arial"/>
        </w:rPr>
        <w:t xml:space="preserve"> why the judge should not have made those comments, to which he replied that the question of the family members giving evidence had not been raised at the start of the hearing. </w:t>
      </w:r>
      <w:r w:rsidR="00CF4DBC" w:rsidRPr="00CF4DBC">
        <w:rPr>
          <w:rFonts w:ascii="Sylfaen" w:hAnsi="Sylfaen" w:cs="Arial"/>
        </w:rPr>
        <w:t xml:space="preserve">As he accepted however, young men, then 16 and 18, might in general reasonably have been expected to give evidence about what he also accepted was a very unusual journey. </w:t>
      </w:r>
    </w:p>
    <w:p w:rsidR="00CF4DBC" w:rsidRDefault="00CF4DBC" w:rsidP="00D64282">
      <w:pPr>
        <w:numPr>
          <w:ilvl w:val="0"/>
          <w:numId w:val="1"/>
        </w:numPr>
        <w:tabs>
          <w:tab w:val="clear" w:pos="757"/>
        </w:tabs>
        <w:spacing w:after="120"/>
        <w:ind w:left="540" w:hanging="540"/>
        <w:jc w:val="both"/>
        <w:rPr>
          <w:rFonts w:ascii="Sylfaen" w:hAnsi="Sylfaen" w:cs="Arial"/>
        </w:rPr>
      </w:pPr>
      <w:r w:rsidRPr="00CF4DBC">
        <w:rPr>
          <w:rFonts w:ascii="Sylfaen" w:hAnsi="Sylfaen" w:cs="Arial"/>
        </w:rPr>
        <w:t xml:space="preserve">This was all the </w:t>
      </w:r>
      <w:proofErr w:type="gramStart"/>
      <w:r w:rsidRPr="00CF4DBC">
        <w:rPr>
          <w:rFonts w:ascii="Sylfaen" w:hAnsi="Sylfaen" w:cs="Arial"/>
        </w:rPr>
        <w:t>more true</w:t>
      </w:r>
      <w:proofErr w:type="gramEnd"/>
      <w:r w:rsidRPr="00CF4DBC">
        <w:rPr>
          <w:rFonts w:ascii="Sylfaen" w:hAnsi="Sylfaen" w:cs="Arial"/>
        </w:rPr>
        <w:t xml:space="preserve"> when the appellant’s own evidence (see </w:t>
      </w:r>
      <w:r w:rsidRPr="00CF4DBC">
        <w:rPr>
          <w:rFonts w:ascii="Sylfaen" w:hAnsi="Sylfaen" w:cs="Arial"/>
          <w:b/>
        </w:rPr>
        <w:t>3</w:t>
      </w:r>
      <w:r w:rsidRPr="00CF4DBC">
        <w:rPr>
          <w:rFonts w:ascii="Sylfaen" w:hAnsi="Sylfaen" w:cs="Arial"/>
        </w:rPr>
        <w:t>) had included the statement that his wife and sons had witnessed his encounter with the Taleban</w:t>
      </w:r>
      <w:r w:rsidR="009F010E">
        <w:rPr>
          <w:rFonts w:ascii="Sylfaen" w:hAnsi="Sylfaen" w:cs="Arial"/>
        </w:rPr>
        <w:t xml:space="preserve">, and considering that he was represented throughout by solicitors, and by counsel at the hearing. </w:t>
      </w:r>
      <w:r w:rsidR="009F010E">
        <w:rPr>
          <w:rFonts w:ascii="Sylfaen" w:hAnsi="Sylfaen" w:cs="Arial"/>
        </w:rPr>
        <w:lastRenderedPageBreak/>
        <w:t xml:space="preserve">I see no reason why the judge should not have made the comments he did about the family members not giving evidence. </w:t>
      </w:r>
    </w:p>
    <w:p w:rsidR="009F5220" w:rsidRPr="009F010E" w:rsidRDefault="009F010E" w:rsidP="00D64282">
      <w:pPr>
        <w:numPr>
          <w:ilvl w:val="0"/>
          <w:numId w:val="1"/>
        </w:numPr>
        <w:tabs>
          <w:tab w:val="clear" w:pos="757"/>
        </w:tabs>
        <w:spacing w:after="120"/>
        <w:ind w:left="540" w:hanging="540"/>
        <w:jc w:val="both"/>
        <w:rPr>
          <w:rFonts w:ascii="Sylfaen" w:hAnsi="Sylfaen" w:cs="Arial"/>
        </w:rPr>
      </w:pPr>
      <w:r w:rsidRPr="009F010E">
        <w:rPr>
          <w:rFonts w:ascii="Sylfaen" w:hAnsi="Sylfaen" w:cs="Arial"/>
        </w:rPr>
        <w:t xml:space="preserve">It follows that, for the reasons given at </w:t>
      </w:r>
      <w:r w:rsidRPr="009F010E">
        <w:rPr>
          <w:rFonts w:ascii="Sylfaen" w:hAnsi="Sylfaen" w:cs="Arial"/>
          <w:b/>
        </w:rPr>
        <w:t xml:space="preserve">13, 15 </w:t>
      </w:r>
      <w:r w:rsidRPr="009F010E">
        <w:rPr>
          <w:rFonts w:ascii="Sylfaen" w:hAnsi="Sylfaen" w:cs="Arial"/>
        </w:rPr>
        <w:t xml:space="preserve">and </w:t>
      </w:r>
      <w:r w:rsidRPr="009F010E">
        <w:rPr>
          <w:rFonts w:ascii="Sylfaen" w:hAnsi="Sylfaen" w:cs="Arial"/>
          <w:b/>
        </w:rPr>
        <w:t>21</w:t>
      </w:r>
      <w:r w:rsidRPr="009F010E">
        <w:rPr>
          <w:rFonts w:ascii="Sylfaen" w:hAnsi="Sylfaen" w:cs="Arial"/>
        </w:rPr>
        <w:t xml:space="preserve">, the challenges to the judge’s credibility findings are not made out. This had been a most remarkable journey, whose details were very closely connected with the individual basis for the appellant’s claim (as opposed to the question of any general risk for Sikhs in </w:t>
      </w:r>
      <w:proofErr w:type="spellStart"/>
      <w:r w:rsidRPr="009F010E">
        <w:rPr>
          <w:rFonts w:ascii="Sylfaen" w:hAnsi="Sylfaen" w:cs="Arial"/>
        </w:rPr>
        <w:t>Khost</w:t>
      </w:r>
      <w:proofErr w:type="spellEnd"/>
      <w:r w:rsidRPr="009F010E">
        <w:rPr>
          <w:rFonts w:ascii="Sylfaen" w:hAnsi="Sylfaen" w:cs="Arial"/>
        </w:rPr>
        <w:t xml:space="preserve"> or Afghanistan generally, on which the judge was fully entitled to rely on the country guidance in </w:t>
      </w:r>
      <w:r w:rsidRPr="009F010E">
        <w:rPr>
          <w:rFonts w:ascii="Sylfaen" w:hAnsi="Sylfaen" w:cs="Arial"/>
          <w:i/>
        </w:rPr>
        <w:t>TG</w:t>
      </w:r>
      <w:r w:rsidRPr="009F010E">
        <w:rPr>
          <w:rFonts w:ascii="Sylfaen" w:hAnsi="Sylfaen" w:cs="Arial"/>
        </w:rPr>
        <w:t>. The judge was once again entitled to note and act on any significant failure to support it by evidence which might reasonably have been called.</w:t>
      </w:r>
    </w:p>
    <w:p w:rsidR="00515768" w:rsidRDefault="00515768" w:rsidP="00780F86">
      <w:pPr>
        <w:ind w:left="540" w:hanging="540"/>
        <w:jc w:val="both"/>
        <w:rPr>
          <w:rFonts w:ascii="Sylfaen" w:hAnsi="Sylfaen" w:cs="Arial"/>
          <w:b/>
        </w:rPr>
      </w:pPr>
    </w:p>
    <w:p w:rsidR="009F5220" w:rsidRPr="008F23F4" w:rsidRDefault="008F23F4" w:rsidP="00780F86">
      <w:pPr>
        <w:ind w:left="540" w:hanging="540"/>
        <w:jc w:val="both"/>
        <w:rPr>
          <w:rFonts w:ascii="Sylfaen" w:hAnsi="Sylfaen" w:cs="Arial"/>
          <w:b/>
        </w:rPr>
      </w:pPr>
      <w:r>
        <w:rPr>
          <w:rFonts w:ascii="Sylfaen" w:hAnsi="Sylfaen" w:cs="Arial"/>
          <w:b/>
        </w:rPr>
        <w:t xml:space="preserve">Appeal </w:t>
      </w:r>
      <w:bookmarkStart w:id="6" w:name="Dropdown3"/>
      <w:r>
        <w:rPr>
          <w:rFonts w:ascii="Sylfaen" w:hAnsi="Sylfaen" w:cs="Arial"/>
          <w:b/>
        </w:rPr>
        <w:fldChar w:fldCharType="begin">
          <w:ffData>
            <w:name w:val="Dropdown3"/>
            <w:enabled/>
            <w:calcOnExit w:val="0"/>
            <w:ddList>
              <w:listEntry w:val="dismissed"/>
              <w:listEntry w:val="allowed"/>
            </w:ddList>
          </w:ffData>
        </w:fldChar>
      </w:r>
      <w:r>
        <w:rPr>
          <w:rFonts w:ascii="Sylfaen" w:hAnsi="Sylfaen" w:cs="Arial"/>
          <w:b/>
        </w:rPr>
        <w:instrText xml:space="preserve"> FORMDROPDOWN </w:instrText>
      </w:r>
      <w:r w:rsidR="00AD42B8">
        <w:rPr>
          <w:rFonts w:ascii="Sylfaen" w:hAnsi="Sylfaen" w:cs="Arial"/>
          <w:b/>
        </w:rPr>
      </w:r>
      <w:r w:rsidR="00AD42B8">
        <w:rPr>
          <w:rFonts w:ascii="Sylfaen" w:hAnsi="Sylfaen" w:cs="Arial"/>
          <w:b/>
        </w:rPr>
        <w:fldChar w:fldCharType="separate"/>
      </w:r>
      <w:r>
        <w:rPr>
          <w:rFonts w:ascii="Sylfaen" w:hAnsi="Sylfaen" w:cs="Arial"/>
          <w:b/>
        </w:rPr>
        <w:fldChar w:fldCharType="end"/>
      </w:r>
      <w:bookmarkEnd w:id="6"/>
    </w:p>
    <w:p w:rsidR="00B95326" w:rsidRDefault="00BA0858" w:rsidP="00F07170">
      <w:pPr>
        <w:ind w:left="4508" w:hanging="539"/>
        <w:rPr>
          <w:rFonts w:ascii="Sylfaen" w:hAnsi="Sylfaen" w:cs="Arial"/>
          <w:color w:val="000000"/>
        </w:rPr>
      </w:pPr>
      <w:r w:rsidRPr="00A544A8">
        <w:rPr>
          <w:rFonts w:ascii="Sylfaen" w:hAnsi="Sylfaen" w:cs="Arial"/>
          <w:b/>
          <w:noProof/>
        </w:rPr>
        <w:drawing>
          <wp:inline distT="0" distB="0" distL="0" distR="0">
            <wp:extent cx="2139950" cy="104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950" cy="1041400"/>
                    </a:xfrm>
                    <a:prstGeom prst="rect">
                      <a:avLst/>
                    </a:prstGeom>
                    <a:noFill/>
                    <a:ln>
                      <a:noFill/>
                    </a:ln>
                  </pic:spPr>
                </pic:pic>
              </a:graphicData>
            </a:graphic>
          </wp:inline>
        </w:drawing>
      </w:r>
      <w:r w:rsidR="00A544A8">
        <w:rPr>
          <w:rFonts w:ascii="Sylfaen" w:hAnsi="Sylfaen" w:cs="Arial"/>
        </w:rPr>
        <w:t xml:space="preserve"> </w:t>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D9111A" w:rsidRPr="00A544A8">
        <w:rPr>
          <w:rFonts w:ascii="Sylfaen" w:hAnsi="Sylfaen" w:cs="Arial"/>
          <w:color w:val="000000"/>
        </w:rPr>
        <w:t xml:space="preserve"> </w:t>
      </w:r>
      <w:r w:rsidR="00A544A8">
        <w:rPr>
          <w:rFonts w:ascii="Sylfaen" w:hAnsi="Sylfaen" w:cs="Arial"/>
          <w:color w:val="000000"/>
        </w:rPr>
        <w:t xml:space="preserve">(a </w:t>
      </w:r>
      <w:r w:rsidR="00A544A8" w:rsidRPr="00A544A8">
        <w:rPr>
          <w:rFonts w:ascii="Sylfaen" w:hAnsi="Sylfaen" w:cs="Arial"/>
          <w:color w:val="000000"/>
        </w:rPr>
        <w:t xml:space="preserve">judge </w:t>
      </w:r>
      <w:r w:rsidR="00A544A8">
        <w:rPr>
          <w:rFonts w:ascii="Sylfaen" w:hAnsi="Sylfaen" w:cs="Arial"/>
          <w:color w:val="000000"/>
        </w:rPr>
        <w:t>of the Upper Tribunal)</w:t>
      </w:r>
    </w:p>
    <w:p w:rsidR="007B1F7A" w:rsidRDefault="007B1F7A" w:rsidP="00F07170">
      <w:pPr>
        <w:ind w:left="4508" w:hanging="539"/>
        <w:rPr>
          <w:rFonts w:ascii="Sylfaen" w:hAnsi="Sylfaen" w:cs="Arial"/>
        </w:rPr>
      </w:pPr>
    </w:p>
    <w:p w:rsidR="007B1F7A" w:rsidRPr="00A544A8" w:rsidRDefault="007B1F7A" w:rsidP="00F07170">
      <w:pPr>
        <w:ind w:left="4508" w:hanging="539"/>
        <w:rPr>
          <w:rFonts w:ascii="Sylfaen" w:hAnsi="Sylfaen" w:cs="Arial"/>
          <w:color w:val="000000"/>
        </w:rPr>
      </w:pPr>
      <w:r>
        <w:rPr>
          <w:rFonts w:ascii="Sylfaen" w:hAnsi="Sylfaen" w:cs="Arial"/>
        </w:rPr>
        <w:t xml:space="preserve">Dated </w:t>
      </w:r>
      <w:r w:rsidRPr="007B1F7A">
        <w:rPr>
          <w:rFonts w:ascii="Sylfaen" w:hAnsi="Sylfaen" w:cs="Arial"/>
        </w:rPr>
        <w:t>30 July 2018</w:t>
      </w:r>
    </w:p>
    <w:sectPr w:rsidR="007B1F7A" w:rsidRPr="00A544A8" w:rsidSect="00776E97">
      <w:headerReference w:type="default" r:id="rId13"/>
      <w:footerReference w:type="default" r:id="rId14"/>
      <w:footerReference w:type="first" r:id="rId15"/>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282" w:rsidRDefault="00D64282">
      <w:r>
        <w:separator/>
      </w:r>
    </w:p>
  </w:endnote>
  <w:endnote w:type="continuationSeparator" w:id="0">
    <w:p w:rsidR="00D64282" w:rsidRDefault="00D64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981" w:rsidRPr="00515768" w:rsidRDefault="00374981" w:rsidP="00593795">
    <w:pPr>
      <w:pStyle w:val="Footer"/>
      <w:jc w:val="center"/>
      <w:rPr>
        <w:rFonts w:ascii="Sylfaen" w:hAnsi="Sylfaen" w:cs="Arial"/>
        <w:sz w:val="20"/>
        <w:szCs w:val="22"/>
      </w:rPr>
    </w:pPr>
    <w:r w:rsidRPr="00515768">
      <w:rPr>
        <w:rStyle w:val="PageNumber"/>
        <w:rFonts w:ascii="Sylfaen" w:hAnsi="Sylfaen" w:cs="Arial"/>
        <w:sz w:val="20"/>
        <w:szCs w:val="22"/>
      </w:rPr>
      <w:fldChar w:fldCharType="begin"/>
    </w:r>
    <w:r w:rsidRPr="00515768">
      <w:rPr>
        <w:rStyle w:val="PageNumber"/>
        <w:rFonts w:ascii="Sylfaen" w:hAnsi="Sylfaen" w:cs="Arial"/>
        <w:sz w:val="20"/>
        <w:szCs w:val="22"/>
      </w:rPr>
      <w:instrText xml:space="preserve"> PAGE </w:instrText>
    </w:r>
    <w:r w:rsidRPr="00515768">
      <w:rPr>
        <w:rStyle w:val="PageNumber"/>
        <w:rFonts w:ascii="Sylfaen" w:hAnsi="Sylfaen" w:cs="Arial"/>
        <w:sz w:val="20"/>
        <w:szCs w:val="22"/>
      </w:rPr>
      <w:fldChar w:fldCharType="separate"/>
    </w:r>
    <w:r w:rsidR="00AD42B8">
      <w:rPr>
        <w:rStyle w:val="PageNumber"/>
        <w:rFonts w:ascii="Sylfaen" w:hAnsi="Sylfaen" w:cs="Arial"/>
        <w:noProof/>
        <w:sz w:val="20"/>
        <w:szCs w:val="22"/>
      </w:rPr>
      <w:t>5</w:t>
    </w:r>
    <w:r w:rsidRPr="00515768">
      <w:rPr>
        <w:rStyle w:val="PageNumber"/>
        <w:rFonts w:ascii="Sylfaen" w:hAnsi="Sylfaen" w:cs="Arial"/>
        <w:sz w:val="20"/>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496" w:rsidRPr="00686C0C" w:rsidRDefault="00C45496" w:rsidP="00FF5012">
    <w:pPr>
      <w:ind w:left="720" w:hanging="720"/>
      <w:jc w:val="both"/>
      <w:rPr>
        <w:rFonts w:ascii="Sylfaen" w:hAnsi="Sylfaen" w:cs="Arial"/>
        <w:i/>
        <w:spacing w:val="-6"/>
        <w:sz w:val="22"/>
        <w:szCs w:val="22"/>
      </w:rPr>
    </w:pPr>
    <w:r w:rsidRPr="00686C0C">
      <w:rPr>
        <w:rFonts w:ascii="Sylfaen" w:hAnsi="Sylfaen" w:cs="Arial"/>
        <w:i/>
        <w:spacing w:val="-6"/>
        <w:sz w:val="22"/>
        <w:szCs w:val="22"/>
        <w:u w:val="single"/>
      </w:rPr>
      <w:t>NOTE</w:t>
    </w:r>
    <w:r w:rsidRPr="00686C0C">
      <w:rPr>
        <w:rFonts w:ascii="Sylfaen" w:hAnsi="Sylfaen" w:cs="Arial"/>
        <w:i/>
        <w:spacing w:val="-6"/>
        <w:sz w:val="22"/>
        <w:szCs w:val="22"/>
      </w:rPr>
      <w:t xml:space="preserve">: </w:t>
    </w:r>
    <w:r w:rsidR="00D50A21">
      <w:rPr>
        <w:rFonts w:ascii="Sylfaen" w:hAnsi="Sylfaen" w:cs="Arial"/>
        <w:i/>
        <w:spacing w:val="-6"/>
        <w:sz w:val="22"/>
        <w:szCs w:val="22"/>
      </w:rPr>
      <w:tab/>
      <w:t>(1)</w:t>
    </w:r>
    <w:r w:rsidR="00D50A21">
      <w:rPr>
        <w:rFonts w:ascii="Sylfaen" w:hAnsi="Sylfaen" w:cs="Arial"/>
        <w:i/>
        <w:spacing w:val="-6"/>
        <w:sz w:val="22"/>
        <w:szCs w:val="22"/>
      </w:rPr>
      <w:tab/>
    </w:r>
    <w:r w:rsidRPr="00686C0C">
      <w:rPr>
        <w:rFonts w:ascii="Sylfaen" w:hAnsi="Sylfaen" w:cs="Arial"/>
        <w:i/>
        <w:spacing w:val="-6"/>
        <w:sz w:val="22"/>
        <w:szCs w:val="22"/>
      </w:rPr>
      <w:t xml:space="preserve">no anonymity direction made at first instance </w:t>
    </w:r>
    <w:r w:rsidR="007B67B0">
      <w:rPr>
        <w:rFonts w:ascii="Sylfaen" w:hAnsi="Sylfaen" w:cs="Arial"/>
        <w:i/>
        <w:spacing w:val="-6"/>
        <w:sz w:val="22"/>
        <w:szCs w:val="22"/>
      </w:rPr>
      <w:t xml:space="preserve">will continue, unless extended </w:t>
    </w:r>
    <w:r w:rsidR="00742454" w:rsidRPr="00686C0C">
      <w:rPr>
        <w:rFonts w:ascii="Sylfaen" w:hAnsi="Sylfaen" w:cs="Arial"/>
        <w:i/>
        <w:spacing w:val="-6"/>
        <w:sz w:val="22"/>
        <w:szCs w:val="22"/>
      </w:rPr>
      <w:t>by me</w:t>
    </w:r>
    <w:r w:rsidR="00FF5012" w:rsidRPr="00686C0C">
      <w:rPr>
        <w:rFonts w:ascii="Sylfaen" w:hAnsi="Sylfaen" w:cs="Arial"/>
        <w:i/>
        <w:spacing w:val="-6"/>
        <w:sz w:val="22"/>
        <w:szCs w:val="22"/>
      </w:rPr>
      <w:t>.</w:t>
    </w:r>
  </w:p>
  <w:p w:rsidR="00686C0C" w:rsidRPr="00686C0C" w:rsidRDefault="00D50A21" w:rsidP="00FF5012">
    <w:pPr>
      <w:ind w:left="720" w:hanging="720"/>
      <w:jc w:val="both"/>
      <w:rPr>
        <w:rFonts w:ascii="Sylfaen" w:hAnsi="Sylfaen" w:cs="Arial"/>
        <w:i/>
        <w:spacing w:val="-6"/>
        <w:sz w:val="22"/>
        <w:szCs w:val="22"/>
      </w:rPr>
    </w:pPr>
    <w:r>
      <w:rPr>
        <w:rFonts w:ascii="Sylfaen" w:hAnsi="Sylfaen" w:cs="Arial"/>
        <w:i/>
        <w:spacing w:val="-6"/>
        <w:sz w:val="22"/>
        <w:szCs w:val="22"/>
      </w:rPr>
      <w:tab/>
      <w:t>(2)</w:t>
    </w:r>
    <w:r>
      <w:rPr>
        <w:rFonts w:ascii="Sylfaen" w:hAnsi="Sylfaen" w:cs="Arial"/>
        <w:i/>
        <w:spacing w:val="-6"/>
        <w:sz w:val="22"/>
        <w:szCs w:val="22"/>
      </w:rPr>
      <w:tab/>
      <w:t>persons under 18 are referred to by initials, and must not be further identified.</w:t>
    </w:r>
  </w:p>
  <w:p w:rsidR="00C4677B" w:rsidRDefault="00C4677B" w:rsidP="00090CF9">
    <w:pPr>
      <w:jc w:val="center"/>
      <w:rPr>
        <w:rFonts w:ascii="Sylfaen" w:hAnsi="Sylfaen" w:cs="Arial"/>
        <w:i/>
        <w:spacing w:val="-6"/>
        <w:sz w:val="22"/>
        <w:szCs w:val="22"/>
      </w:rPr>
    </w:pPr>
  </w:p>
  <w:p w:rsidR="00374981" w:rsidRPr="00686C0C" w:rsidRDefault="00374981" w:rsidP="00090CF9">
    <w:pPr>
      <w:jc w:val="center"/>
      <w:rPr>
        <w:rFonts w:ascii="Sylfaen" w:hAnsi="Sylfaen" w:cs="Arial"/>
        <w:i/>
        <w:sz w:val="22"/>
        <w:szCs w:val="22"/>
      </w:rPr>
    </w:pPr>
    <w:r w:rsidRPr="00686C0C">
      <w:rPr>
        <w:rFonts w:ascii="Sylfaen" w:hAnsi="Sylfaen" w:cs="Arial"/>
        <w:i/>
        <w:spacing w:val="-6"/>
        <w:sz w:val="22"/>
        <w:szCs w:val="22"/>
      </w:rPr>
      <w:t>©</w:t>
    </w:r>
    <w:r w:rsidRPr="00686C0C">
      <w:rPr>
        <w:rFonts w:ascii="Sylfaen" w:hAnsi="Sylfaen" w:cs="Arial"/>
        <w:i/>
        <w:sz w:val="22"/>
        <w:szCs w:val="22"/>
      </w:rPr>
      <w:t xml:space="preserve"> CROWN COPYRIGHT 201</w:t>
    </w:r>
    <w:r w:rsidR="00990B37">
      <w:rPr>
        <w:rFonts w:ascii="Sylfaen" w:hAnsi="Sylfaen" w:cs="Arial"/>
        <w:i/>
        <w:sz w:val="22"/>
        <w:szCs w:val="22"/>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282" w:rsidRDefault="00D64282">
      <w:r>
        <w:separator/>
      </w:r>
    </w:p>
  </w:footnote>
  <w:footnote w:type="continuationSeparator" w:id="0">
    <w:p w:rsidR="00D64282" w:rsidRDefault="00D64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B37" w:rsidRPr="00515768" w:rsidRDefault="00C4677B" w:rsidP="00C4677B">
    <w:pPr>
      <w:pStyle w:val="Header"/>
      <w:jc w:val="right"/>
      <w:rPr>
        <w:rFonts w:ascii="Sylfaen" w:hAnsi="Sylfaen"/>
        <w:sz w:val="20"/>
        <w:szCs w:val="20"/>
      </w:rPr>
    </w:pPr>
    <w:r w:rsidRPr="00515768">
      <w:rPr>
        <w:rFonts w:ascii="Sylfaen" w:hAnsi="Sylfaen"/>
        <w:sz w:val="20"/>
        <w:szCs w:val="20"/>
      </w:rPr>
      <w:t>Appeal no: PA/</w:t>
    </w:r>
    <w:r w:rsidR="00BA0858" w:rsidRPr="00515768">
      <w:rPr>
        <w:rFonts w:ascii="Sylfaen" w:hAnsi="Sylfaen"/>
        <w:sz w:val="20"/>
        <w:szCs w:val="20"/>
      </w:rPr>
      <w:t>02117</w:t>
    </w:r>
    <w:r w:rsidRPr="00515768">
      <w:rPr>
        <w:rFonts w:ascii="Sylfaen" w:hAnsi="Sylfaen"/>
        <w:sz w:val="20"/>
        <w:szCs w:val="20"/>
      </w:rPr>
      <w:t>/</w:t>
    </w:r>
    <w:r w:rsidR="00BA0858" w:rsidRPr="00515768">
      <w:rPr>
        <w:rFonts w:ascii="Sylfaen" w:hAnsi="Sylfaen"/>
        <w:sz w:val="20"/>
        <w:szCs w:val="20"/>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82FF4"/>
    <w:multiLevelType w:val="hybridMultilevel"/>
    <w:tmpl w:val="A3FA1670"/>
    <w:lvl w:ilvl="0" w:tplc="D2662958">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 w15:restartNumberingAfterBreak="0">
    <w:nsid w:val="567C2D46"/>
    <w:multiLevelType w:val="hybridMultilevel"/>
    <w:tmpl w:val="8760021E"/>
    <w:lvl w:ilvl="0" w:tplc="0542F5A8">
      <w:start w:val="2"/>
      <w:numFmt w:val="decimal"/>
      <w:pStyle w:val="List1"/>
      <w:lvlText w:val="%1."/>
      <w:lvlJc w:val="left"/>
      <w:pPr>
        <w:tabs>
          <w:tab w:val="num" w:pos="757"/>
        </w:tabs>
        <w:ind w:left="757" w:hanging="397"/>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59252B96"/>
    <w:multiLevelType w:val="multilevel"/>
    <w:tmpl w:val="49B4D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496"/>
    <w:rsid w:val="00000621"/>
    <w:rsid w:val="000036C2"/>
    <w:rsid w:val="00033D3D"/>
    <w:rsid w:val="00057601"/>
    <w:rsid w:val="00062F02"/>
    <w:rsid w:val="00071A7E"/>
    <w:rsid w:val="000746C0"/>
    <w:rsid w:val="00074D1D"/>
    <w:rsid w:val="000857AF"/>
    <w:rsid w:val="00090CF9"/>
    <w:rsid w:val="00092580"/>
    <w:rsid w:val="00093D4D"/>
    <w:rsid w:val="000A1210"/>
    <w:rsid w:val="000A3567"/>
    <w:rsid w:val="000B2183"/>
    <w:rsid w:val="000D5D94"/>
    <w:rsid w:val="000F1A0E"/>
    <w:rsid w:val="00102EBC"/>
    <w:rsid w:val="001165A7"/>
    <w:rsid w:val="00117FD8"/>
    <w:rsid w:val="00135C24"/>
    <w:rsid w:val="001435AF"/>
    <w:rsid w:val="00167D3A"/>
    <w:rsid w:val="00194E6E"/>
    <w:rsid w:val="00196F7F"/>
    <w:rsid w:val="001A3082"/>
    <w:rsid w:val="001A5D86"/>
    <w:rsid w:val="001B186A"/>
    <w:rsid w:val="001B2F75"/>
    <w:rsid w:val="001E6DE8"/>
    <w:rsid w:val="001F114E"/>
    <w:rsid w:val="001F2716"/>
    <w:rsid w:val="00206F6B"/>
    <w:rsid w:val="00207617"/>
    <w:rsid w:val="0023134B"/>
    <w:rsid w:val="0026015E"/>
    <w:rsid w:val="002667BE"/>
    <w:rsid w:val="00270E13"/>
    <w:rsid w:val="00282496"/>
    <w:rsid w:val="00283659"/>
    <w:rsid w:val="002B5149"/>
    <w:rsid w:val="002C6BD4"/>
    <w:rsid w:val="002D68BF"/>
    <w:rsid w:val="002F6B98"/>
    <w:rsid w:val="00310B90"/>
    <w:rsid w:val="00335F77"/>
    <w:rsid w:val="00336CBF"/>
    <w:rsid w:val="00343FE3"/>
    <w:rsid w:val="003546C8"/>
    <w:rsid w:val="00374981"/>
    <w:rsid w:val="003860CF"/>
    <w:rsid w:val="003A3DA7"/>
    <w:rsid w:val="003A6EEC"/>
    <w:rsid w:val="003A7CF2"/>
    <w:rsid w:val="003C5CE5"/>
    <w:rsid w:val="003E267B"/>
    <w:rsid w:val="003E5773"/>
    <w:rsid w:val="003E7CD1"/>
    <w:rsid w:val="003F2E3F"/>
    <w:rsid w:val="00402B9E"/>
    <w:rsid w:val="00420643"/>
    <w:rsid w:val="004249CB"/>
    <w:rsid w:val="0044127D"/>
    <w:rsid w:val="004448DB"/>
    <w:rsid w:val="00446C9A"/>
    <w:rsid w:val="00452F2B"/>
    <w:rsid w:val="004617F0"/>
    <w:rsid w:val="00473EEA"/>
    <w:rsid w:val="00477193"/>
    <w:rsid w:val="00480D87"/>
    <w:rsid w:val="004A1848"/>
    <w:rsid w:val="004A6F4A"/>
    <w:rsid w:val="004C5C63"/>
    <w:rsid w:val="004E4717"/>
    <w:rsid w:val="005035E7"/>
    <w:rsid w:val="00507FEC"/>
    <w:rsid w:val="00510F0E"/>
    <w:rsid w:val="00515768"/>
    <w:rsid w:val="00531929"/>
    <w:rsid w:val="005479E1"/>
    <w:rsid w:val="00553E0A"/>
    <w:rsid w:val="005570FD"/>
    <w:rsid w:val="005575EA"/>
    <w:rsid w:val="00574E42"/>
    <w:rsid w:val="0057790C"/>
    <w:rsid w:val="005829AB"/>
    <w:rsid w:val="00593795"/>
    <w:rsid w:val="00593821"/>
    <w:rsid w:val="00597008"/>
    <w:rsid w:val="005A549B"/>
    <w:rsid w:val="005A75FF"/>
    <w:rsid w:val="005D10AB"/>
    <w:rsid w:val="005D721A"/>
    <w:rsid w:val="005F1F19"/>
    <w:rsid w:val="00601D8F"/>
    <w:rsid w:val="00611011"/>
    <w:rsid w:val="00653E97"/>
    <w:rsid w:val="00676204"/>
    <w:rsid w:val="00684A74"/>
    <w:rsid w:val="00686C0C"/>
    <w:rsid w:val="00690B8A"/>
    <w:rsid w:val="0069160E"/>
    <w:rsid w:val="00696018"/>
    <w:rsid w:val="00696D3B"/>
    <w:rsid w:val="006B058B"/>
    <w:rsid w:val="006F2CF1"/>
    <w:rsid w:val="006F4888"/>
    <w:rsid w:val="007038ED"/>
    <w:rsid w:val="00703BC3"/>
    <w:rsid w:val="00704B61"/>
    <w:rsid w:val="00725763"/>
    <w:rsid w:val="007334B3"/>
    <w:rsid w:val="00741157"/>
    <w:rsid w:val="007420F1"/>
    <w:rsid w:val="00742454"/>
    <w:rsid w:val="00750745"/>
    <w:rsid w:val="007552A9"/>
    <w:rsid w:val="00761858"/>
    <w:rsid w:val="00767D59"/>
    <w:rsid w:val="00772317"/>
    <w:rsid w:val="00776E97"/>
    <w:rsid w:val="00780F86"/>
    <w:rsid w:val="007912AD"/>
    <w:rsid w:val="007A37E8"/>
    <w:rsid w:val="007A7CEE"/>
    <w:rsid w:val="007B0824"/>
    <w:rsid w:val="007B1F7A"/>
    <w:rsid w:val="007B5D3C"/>
    <w:rsid w:val="007B67B0"/>
    <w:rsid w:val="007F350F"/>
    <w:rsid w:val="00817DB0"/>
    <w:rsid w:val="00821B72"/>
    <w:rsid w:val="00823EF2"/>
    <w:rsid w:val="008303B8"/>
    <w:rsid w:val="00833DCE"/>
    <w:rsid w:val="00871D34"/>
    <w:rsid w:val="008A414E"/>
    <w:rsid w:val="008B270C"/>
    <w:rsid w:val="008B382D"/>
    <w:rsid w:val="008B5078"/>
    <w:rsid w:val="008C3D3D"/>
    <w:rsid w:val="008D1B5E"/>
    <w:rsid w:val="008D2C2F"/>
    <w:rsid w:val="008D4131"/>
    <w:rsid w:val="008F0697"/>
    <w:rsid w:val="008F1932"/>
    <w:rsid w:val="008F23F4"/>
    <w:rsid w:val="00921062"/>
    <w:rsid w:val="00923B15"/>
    <w:rsid w:val="00925AB2"/>
    <w:rsid w:val="00941DC4"/>
    <w:rsid w:val="009722BC"/>
    <w:rsid w:val="009727A3"/>
    <w:rsid w:val="00977EB3"/>
    <w:rsid w:val="00987774"/>
    <w:rsid w:val="00990B37"/>
    <w:rsid w:val="00996FBB"/>
    <w:rsid w:val="009A11E8"/>
    <w:rsid w:val="009C5F92"/>
    <w:rsid w:val="009C6AD3"/>
    <w:rsid w:val="009E30EE"/>
    <w:rsid w:val="009F010E"/>
    <w:rsid w:val="009F3381"/>
    <w:rsid w:val="009F5220"/>
    <w:rsid w:val="00A11F19"/>
    <w:rsid w:val="00A15234"/>
    <w:rsid w:val="00A201AB"/>
    <w:rsid w:val="00A240AA"/>
    <w:rsid w:val="00A253BF"/>
    <w:rsid w:val="00A31C8B"/>
    <w:rsid w:val="00A45B76"/>
    <w:rsid w:val="00A509FA"/>
    <w:rsid w:val="00A544A8"/>
    <w:rsid w:val="00A845DC"/>
    <w:rsid w:val="00A8721C"/>
    <w:rsid w:val="00AD42B8"/>
    <w:rsid w:val="00AE226C"/>
    <w:rsid w:val="00B20636"/>
    <w:rsid w:val="00B26AA2"/>
    <w:rsid w:val="00B3524D"/>
    <w:rsid w:val="00B40F69"/>
    <w:rsid w:val="00B46616"/>
    <w:rsid w:val="00B7040A"/>
    <w:rsid w:val="00B83391"/>
    <w:rsid w:val="00B95326"/>
    <w:rsid w:val="00BA0858"/>
    <w:rsid w:val="00BA334F"/>
    <w:rsid w:val="00BB3FC4"/>
    <w:rsid w:val="00BB5D9E"/>
    <w:rsid w:val="00BB7997"/>
    <w:rsid w:val="00BC481C"/>
    <w:rsid w:val="00BC4DE5"/>
    <w:rsid w:val="00BD2083"/>
    <w:rsid w:val="00BD3A9C"/>
    <w:rsid w:val="00BD4196"/>
    <w:rsid w:val="00BF22CA"/>
    <w:rsid w:val="00BF23BB"/>
    <w:rsid w:val="00C12F97"/>
    <w:rsid w:val="00C217AF"/>
    <w:rsid w:val="00C26032"/>
    <w:rsid w:val="00C345E1"/>
    <w:rsid w:val="00C43BFD"/>
    <w:rsid w:val="00C45496"/>
    <w:rsid w:val="00C4677B"/>
    <w:rsid w:val="00CA0748"/>
    <w:rsid w:val="00CB6E35"/>
    <w:rsid w:val="00CC0CC9"/>
    <w:rsid w:val="00CE1A46"/>
    <w:rsid w:val="00CF4DBC"/>
    <w:rsid w:val="00D20757"/>
    <w:rsid w:val="00D22636"/>
    <w:rsid w:val="00D40FD9"/>
    <w:rsid w:val="00D50A21"/>
    <w:rsid w:val="00D53769"/>
    <w:rsid w:val="00D64282"/>
    <w:rsid w:val="00D85C13"/>
    <w:rsid w:val="00D9111A"/>
    <w:rsid w:val="00D91BE3"/>
    <w:rsid w:val="00D94AFC"/>
    <w:rsid w:val="00DB1EA9"/>
    <w:rsid w:val="00DB70AE"/>
    <w:rsid w:val="00DD5071"/>
    <w:rsid w:val="00DD5C39"/>
    <w:rsid w:val="00DD6918"/>
    <w:rsid w:val="00DE20CE"/>
    <w:rsid w:val="00DE65C8"/>
    <w:rsid w:val="00DE6805"/>
    <w:rsid w:val="00DE7DB7"/>
    <w:rsid w:val="00DF2161"/>
    <w:rsid w:val="00DF392C"/>
    <w:rsid w:val="00E00A0A"/>
    <w:rsid w:val="00E066DE"/>
    <w:rsid w:val="00E07F57"/>
    <w:rsid w:val="00E30683"/>
    <w:rsid w:val="00E453D8"/>
    <w:rsid w:val="00E50BCE"/>
    <w:rsid w:val="00E574BF"/>
    <w:rsid w:val="00E61292"/>
    <w:rsid w:val="00E74B5A"/>
    <w:rsid w:val="00E77C4D"/>
    <w:rsid w:val="00E80AD9"/>
    <w:rsid w:val="00E81D01"/>
    <w:rsid w:val="00E862ED"/>
    <w:rsid w:val="00E90885"/>
    <w:rsid w:val="00EC1FD3"/>
    <w:rsid w:val="00EE43F3"/>
    <w:rsid w:val="00EE45D8"/>
    <w:rsid w:val="00F07170"/>
    <w:rsid w:val="00F118C6"/>
    <w:rsid w:val="00F22EDA"/>
    <w:rsid w:val="00F556F2"/>
    <w:rsid w:val="00F97703"/>
    <w:rsid w:val="00FA48DC"/>
    <w:rsid w:val="00FC5AE2"/>
    <w:rsid w:val="00FD79ED"/>
    <w:rsid w:val="00FE4D99"/>
    <w:rsid w:val="00FF0FAC"/>
    <w:rsid w:val="00FF5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ownfootnote">
    <w:name w:val="own footnote"/>
    <w:basedOn w:val="FootnoteText"/>
    <w:autoRedefine/>
    <w:rsid w:val="00DE65C8"/>
    <w:pPr>
      <w:ind w:left="540" w:hanging="540"/>
    </w:pPr>
    <w:rPr>
      <w:rFonts w:ascii="Sylfaen" w:hAnsi="Sylfaen"/>
      <w:sz w:val="22"/>
      <w:szCs w:val="22"/>
    </w:rPr>
  </w:style>
  <w:style w:type="paragraph" w:styleId="FootnoteText">
    <w:name w:val="footnote text"/>
    <w:basedOn w:val="Normal"/>
    <w:semiHidden/>
    <w:rsid w:val="00DE65C8"/>
    <w:rPr>
      <w:sz w:val="20"/>
      <w:szCs w:val="20"/>
    </w:rPr>
  </w:style>
  <w:style w:type="paragraph" w:customStyle="1" w:styleId="pedal">
    <w:name w:val="pedal"/>
    <w:basedOn w:val="Footer"/>
    <w:autoRedefine/>
    <w:rsid w:val="00E862ED"/>
    <w:pPr>
      <w:ind w:left="540" w:hanging="540"/>
    </w:pPr>
    <w:rPr>
      <w:rFonts w:ascii="Sylfaen" w:hAnsi="Sylfaen"/>
      <w:sz w:val="22"/>
      <w:szCs w:val="22"/>
    </w:rPr>
  </w:style>
  <w:style w:type="paragraph" w:customStyle="1" w:styleId="pedal1">
    <w:name w:val="pedal1"/>
    <w:basedOn w:val="pedal"/>
    <w:autoRedefine/>
    <w:rsid w:val="000B2183"/>
    <w:pPr>
      <w:ind w:left="539" w:hanging="539"/>
    </w:pPr>
  </w:style>
  <w:style w:type="paragraph" w:customStyle="1" w:styleId="pedal2">
    <w:name w:val="pedal2"/>
    <w:basedOn w:val="pedal"/>
    <w:autoRedefine/>
    <w:rsid w:val="000B2183"/>
    <w:pPr>
      <w:ind w:left="539" w:hanging="539"/>
      <w:jc w:val="both"/>
    </w:pPr>
  </w:style>
  <w:style w:type="paragraph" w:customStyle="1" w:styleId="foot-note">
    <w:name w:val="foot-note"/>
    <w:basedOn w:val="pedal2"/>
    <w:rsid w:val="003A3DA7"/>
  </w:style>
  <w:style w:type="character" w:styleId="FollowedHyperlink">
    <w:name w:val="FollowedHyperlink"/>
    <w:rsid w:val="00335F77"/>
    <w:rPr>
      <w:color w:val="954F72"/>
      <w:u w:val="single"/>
    </w:rPr>
  </w:style>
  <w:style w:type="paragraph" w:customStyle="1" w:styleId="List1">
    <w:name w:val="List1"/>
    <w:basedOn w:val="Normal"/>
    <w:rsid w:val="00817DB0"/>
    <w:pPr>
      <w:numPr>
        <w:numId w:val="1"/>
      </w:numPr>
      <w:spacing w:after="120"/>
      <w:jc w:val="both"/>
    </w:pPr>
    <w:rPr>
      <w:rFonts w:ascii="Sylfaen" w:hAnsi="Sylfaen" w:cs="Arial"/>
    </w:rPr>
  </w:style>
  <w:style w:type="character" w:customStyle="1" w:styleId="legdsleglhslegp2no">
    <w:name w:val="legds leglhs legp2no"/>
    <w:rsid w:val="00817DB0"/>
  </w:style>
  <w:style w:type="character" w:customStyle="1" w:styleId="legdslegrhslegp2text">
    <w:name w:val="legds legrhs legp2text"/>
    <w:rsid w:val="00817DB0"/>
  </w:style>
  <w:style w:type="paragraph" w:customStyle="1" w:styleId="legclearfix">
    <w:name w:val="legclearfix"/>
    <w:basedOn w:val="Normal"/>
    <w:rsid w:val="00941DC4"/>
    <w:pPr>
      <w:spacing w:before="100" w:beforeAutospacing="1" w:after="100" w:afterAutospacing="1"/>
    </w:pPr>
  </w:style>
  <w:style w:type="character" w:customStyle="1" w:styleId="legds">
    <w:name w:val="legds"/>
    <w:rsid w:val="00941DC4"/>
  </w:style>
  <w:style w:type="character" w:styleId="UnresolvedMention">
    <w:name w:val="Unresolved Mention"/>
    <w:uiPriority w:val="99"/>
    <w:semiHidden/>
    <w:unhideWhenUsed/>
    <w:rsid w:val="003A6E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26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cgi-bin/format.cgi?doc=/ew/cases/EWCA/Civ/2008/878.html&amp;query=(title:(+j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lii.org/cgi-bin/format.cgi?doc=/uk/cases/UKUT/IAC/2018/118.html&amp;query=(title:(+a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bailii.org/cgi-bin/markup.cgi?doc=/uk/legis/num_act/2004/ukpga_20040019_en_1.html&amp;query=Immigration&amp;method=boolean" TargetMode="External"/><Relationship Id="rId4" Type="http://schemas.openxmlformats.org/officeDocument/2006/relationships/webSettings" Target="webSettings.xml"/><Relationship Id="rId9" Type="http://schemas.openxmlformats.org/officeDocument/2006/relationships/hyperlink" Target="http://www.bailii.org/cgi-bin/format.cgi?doc=/uk/cases/UKUT/IAC/2015/595.html&amp;query=(title:(+T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1996</Words>
  <Characters>9818</Characters>
  <Application>Microsoft Office Word</Application>
  <DocSecurity>0</DocSecurity>
  <Lines>81</Lines>
  <Paragraphs>23</Paragraphs>
  <ScaleCrop>false</ScaleCrop>
  <Company/>
  <LinksUpToDate>false</LinksUpToDate>
  <CharactersWithSpaces>11791</CharactersWithSpaces>
  <SharedDoc>false</SharedDoc>
  <HLinks>
    <vt:vector size="24" baseType="variant">
      <vt:variant>
        <vt:i4>3997743</vt:i4>
      </vt:variant>
      <vt:variant>
        <vt:i4>21</vt:i4>
      </vt:variant>
      <vt:variant>
        <vt:i4>0</vt:i4>
      </vt:variant>
      <vt:variant>
        <vt:i4>5</vt:i4>
      </vt:variant>
      <vt:variant>
        <vt:lpwstr>http://www.bailii.org/cgi-bin/format.cgi?doc=/uk/cases/UKUT/IAC/2018/118.html&amp;query=(title:(+as+))</vt:lpwstr>
      </vt:variant>
      <vt:variant>
        <vt:lpwstr/>
      </vt:variant>
      <vt:variant>
        <vt:i4>5570651</vt:i4>
      </vt:variant>
      <vt:variant>
        <vt:i4>18</vt:i4>
      </vt:variant>
      <vt:variant>
        <vt:i4>0</vt:i4>
      </vt:variant>
      <vt:variant>
        <vt:i4>5</vt:i4>
      </vt:variant>
      <vt:variant>
        <vt:lpwstr>http://www.bailii.org/cgi-bin/markup.cgi?doc=/uk/legis/num_act/2004/ukpga_20040019_en_1.html&amp;query=Immigration&amp;method=boolean</vt:lpwstr>
      </vt:variant>
      <vt:variant>
        <vt:lpwstr/>
      </vt:variant>
      <vt:variant>
        <vt:i4>2883635</vt:i4>
      </vt:variant>
      <vt:variant>
        <vt:i4>15</vt:i4>
      </vt:variant>
      <vt:variant>
        <vt:i4>0</vt:i4>
      </vt:variant>
      <vt:variant>
        <vt:i4>5</vt:i4>
      </vt:variant>
      <vt:variant>
        <vt:lpwstr>http://www.bailii.org/cgi-bin/format.cgi?doc=/uk/cases/UKUT/IAC/2015/595.html&amp;query=(title:(+TG+))</vt:lpwstr>
      </vt:variant>
      <vt:variant>
        <vt:lpwstr/>
      </vt:variant>
      <vt:variant>
        <vt:i4>2949161</vt:i4>
      </vt:variant>
      <vt:variant>
        <vt:i4>12</vt:i4>
      </vt:variant>
      <vt:variant>
        <vt:i4>0</vt:i4>
      </vt:variant>
      <vt:variant>
        <vt:i4>5</vt:i4>
      </vt:variant>
      <vt:variant>
        <vt:lpwstr>http://www.bailii.org/cgi-bin/format.cgi?doc=/ew/cases/EWCA/Civ/2008/878.html&amp;query=(title:(+jt+))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2018-09-07T11:38:00Z</dcterms:created>
  <dcterms:modified xsi:type="dcterms:W3CDTF">2018-09-07T11:38:00Z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