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FF1" w:rsidRPr="00FB7FF1" w:rsidRDefault="00FB7FF1" w:rsidP="00FB7FF1">
      <w:pPr>
        <w:jc w:val="center"/>
        <w:rPr>
          <w:rFonts w:ascii="Book Antiqua" w:hAnsi="Book Antiqua" w:cs="Arial"/>
          <w:color w:val="000000"/>
        </w:rPr>
      </w:pPr>
      <w:r w:rsidRPr="00FB7FF1">
        <w:rPr>
          <w:rFonts w:ascii="Book Antiqua" w:hAnsi="Book Antiqua"/>
          <w:noProof/>
        </w:rPr>
        <w:drawing>
          <wp:inline distT="0" distB="0" distL="0" distR="0" wp14:anchorId="090834E8" wp14:editId="1AE25850">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FB7FF1" w:rsidRPr="00FB7FF1" w:rsidRDefault="00FB7FF1" w:rsidP="00FB7FF1">
      <w:pPr>
        <w:tabs>
          <w:tab w:val="right" w:pos="9720"/>
        </w:tabs>
        <w:ind w:right="-82"/>
        <w:rPr>
          <w:rFonts w:ascii="Book Antiqua" w:hAnsi="Book Antiqua" w:cs="Arial"/>
          <w:b/>
          <w:color w:val="000000"/>
        </w:rPr>
      </w:pPr>
      <w:r w:rsidRPr="00FB7FF1">
        <w:rPr>
          <w:rFonts w:ascii="Book Antiqua" w:hAnsi="Book Antiqua" w:cs="Arial"/>
          <w:b/>
          <w:color w:val="000000"/>
        </w:rPr>
        <w:t xml:space="preserve">Upper Tribunal </w:t>
      </w:r>
    </w:p>
    <w:p w:rsidR="00FB7FF1" w:rsidRPr="00FB7FF1" w:rsidRDefault="00FB7FF1" w:rsidP="00FB7FF1">
      <w:pPr>
        <w:tabs>
          <w:tab w:val="right" w:pos="9720"/>
        </w:tabs>
        <w:ind w:right="-82"/>
        <w:rPr>
          <w:rFonts w:ascii="Book Antiqua" w:hAnsi="Book Antiqua" w:cs="Arial"/>
          <w:color w:val="000000"/>
        </w:rPr>
      </w:pPr>
      <w:r w:rsidRPr="00FB7FF1">
        <w:rPr>
          <w:rFonts w:ascii="Book Antiqua" w:hAnsi="Book Antiqua" w:cs="Arial"/>
          <w:b/>
          <w:color w:val="000000"/>
        </w:rPr>
        <w:t>(Immigration and Asylum Chamber)</w:t>
      </w:r>
      <w:r w:rsidRPr="00FB7FF1">
        <w:rPr>
          <w:rFonts w:ascii="Book Antiqua" w:hAnsi="Book Antiqua" w:cs="Arial"/>
          <w:b/>
          <w:color w:val="000000"/>
        </w:rPr>
        <w:tab/>
      </w:r>
      <w:r w:rsidRPr="00FB7FF1">
        <w:rPr>
          <w:rFonts w:ascii="Book Antiqua" w:hAnsi="Book Antiqua" w:cs="Arial"/>
          <w:color w:val="000000"/>
        </w:rPr>
        <w:t>Appeal Number: PA/02130</w:t>
      </w:r>
      <w:r>
        <w:rPr>
          <w:rFonts w:ascii="Book Antiqua" w:hAnsi="Book Antiqua" w:cs="Arial"/>
          <w:color w:val="000000"/>
        </w:rPr>
        <w:t>/2018</w:t>
      </w:r>
    </w:p>
    <w:p w:rsidR="00FB7FF1" w:rsidRDefault="00FB7FF1" w:rsidP="00FB7FF1">
      <w:pPr>
        <w:jc w:val="center"/>
        <w:rPr>
          <w:rFonts w:ascii="Book Antiqua" w:hAnsi="Book Antiqua" w:cs="Arial"/>
          <w:color w:val="000000"/>
        </w:rPr>
      </w:pPr>
    </w:p>
    <w:p w:rsidR="006D12D1" w:rsidRPr="00FB7FF1" w:rsidRDefault="006D12D1" w:rsidP="00FB7FF1">
      <w:pPr>
        <w:jc w:val="center"/>
        <w:rPr>
          <w:rFonts w:ascii="Book Antiqua" w:hAnsi="Book Antiqua" w:cs="Arial"/>
          <w:color w:val="000000"/>
        </w:rPr>
      </w:pPr>
    </w:p>
    <w:p w:rsidR="00FB7FF1" w:rsidRPr="00FB7FF1" w:rsidRDefault="00FB7FF1" w:rsidP="00FB7FF1">
      <w:pPr>
        <w:jc w:val="center"/>
        <w:rPr>
          <w:rFonts w:ascii="Book Antiqua" w:hAnsi="Book Antiqua" w:cs="Arial"/>
          <w:b/>
          <w:color w:val="000000"/>
          <w:u w:val="single"/>
        </w:rPr>
      </w:pPr>
      <w:r w:rsidRPr="00FB7FF1">
        <w:rPr>
          <w:rFonts w:ascii="Book Antiqua" w:hAnsi="Book Antiqua" w:cs="Arial"/>
          <w:b/>
          <w:color w:val="000000"/>
          <w:u w:val="single"/>
        </w:rPr>
        <w:t>THE IMMIGRATION ACTS</w:t>
      </w:r>
    </w:p>
    <w:p w:rsidR="00FB7FF1" w:rsidRDefault="00FB7FF1" w:rsidP="00FB7FF1">
      <w:pPr>
        <w:jc w:val="center"/>
        <w:rPr>
          <w:rFonts w:ascii="Book Antiqua" w:hAnsi="Book Antiqua" w:cs="Arial"/>
          <w:b/>
          <w:u w:val="single"/>
        </w:rPr>
      </w:pPr>
    </w:p>
    <w:tbl>
      <w:tblPr>
        <w:tblpPr w:leftFromText="180" w:rightFromText="180" w:vertAnchor="text" w:horzAnchor="margin" w:tblpY="174"/>
        <w:tblW w:w="0" w:type="auto"/>
        <w:tblLook w:val="01E0" w:firstRow="1" w:lastRow="1" w:firstColumn="1" w:lastColumn="1" w:noHBand="0" w:noVBand="0"/>
      </w:tblPr>
      <w:tblGrid>
        <w:gridCol w:w="5524"/>
        <w:gridCol w:w="4104"/>
      </w:tblGrid>
      <w:tr w:rsidR="00230A44" w:rsidRPr="00FB7FF1" w:rsidTr="00230A44">
        <w:trPr>
          <w:trHeight w:val="355"/>
        </w:trPr>
        <w:tc>
          <w:tcPr>
            <w:tcW w:w="5524" w:type="dxa"/>
            <w:shd w:val="clear" w:color="auto" w:fill="auto"/>
          </w:tcPr>
          <w:p w:rsidR="00230A44" w:rsidRPr="00FB7FF1" w:rsidRDefault="00230A44" w:rsidP="00230A44">
            <w:pPr>
              <w:jc w:val="both"/>
              <w:rPr>
                <w:rFonts w:ascii="Book Antiqua" w:hAnsi="Book Antiqua" w:cs="Arial"/>
                <w:b/>
              </w:rPr>
            </w:pPr>
            <w:r w:rsidRPr="00FB7FF1">
              <w:rPr>
                <w:rFonts w:ascii="Book Antiqua" w:hAnsi="Book Antiqua" w:cs="Arial"/>
                <w:b/>
              </w:rPr>
              <w:t>Heard at Field House</w:t>
            </w:r>
          </w:p>
        </w:tc>
        <w:tc>
          <w:tcPr>
            <w:tcW w:w="4104" w:type="dxa"/>
            <w:shd w:val="clear" w:color="auto" w:fill="auto"/>
          </w:tcPr>
          <w:p w:rsidR="00230A44" w:rsidRPr="00FB7FF1" w:rsidRDefault="00230A44" w:rsidP="00230A44">
            <w:pPr>
              <w:jc w:val="both"/>
              <w:rPr>
                <w:rFonts w:ascii="Book Antiqua" w:hAnsi="Book Antiqua" w:cs="Arial"/>
                <w:b/>
                <w:color w:val="000000"/>
              </w:rPr>
            </w:pPr>
            <w:r>
              <w:rPr>
                <w:rFonts w:ascii="Book Antiqua" w:hAnsi="Book Antiqua" w:cs="Arial"/>
                <w:b/>
              </w:rPr>
              <w:t xml:space="preserve">Decision </w:t>
            </w:r>
            <w:r w:rsidRPr="00255D84">
              <w:rPr>
                <w:rFonts w:ascii="Book Antiqua" w:hAnsi="Book Antiqua" w:cs="Arial"/>
                <w:b/>
              </w:rPr>
              <w:t>&amp; Reasons Promulgated</w:t>
            </w:r>
          </w:p>
        </w:tc>
      </w:tr>
      <w:tr w:rsidR="00230A44" w:rsidRPr="00FB7FF1" w:rsidTr="00230A44">
        <w:tc>
          <w:tcPr>
            <w:tcW w:w="5524" w:type="dxa"/>
            <w:shd w:val="clear" w:color="auto" w:fill="auto"/>
          </w:tcPr>
          <w:p w:rsidR="00230A44" w:rsidRPr="00FB7FF1" w:rsidRDefault="00230A44" w:rsidP="00230A44">
            <w:pPr>
              <w:jc w:val="both"/>
              <w:rPr>
                <w:rFonts w:ascii="Book Antiqua" w:hAnsi="Book Antiqua" w:cs="Arial"/>
                <w:b/>
              </w:rPr>
            </w:pPr>
            <w:r w:rsidRPr="00FB7FF1">
              <w:rPr>
                <w:rFonts w:ascii="Book Antiqua" w:hAnsi="Book Antiqua" w:cs="Arial"/>
                <w:b/>
              </w:rPr>
              <w:t>On 5 June 2018</w:t>
            </w:r>
          </w:p>
        </w:tc>
        <w:tc>
          <w:tcPr>
            <w:tcW w:w="4104" w:type="dxa"/>
            <w:shd w:val="clear" w:color="auto" w:fill="auto"/>
          </w:tcPr>
          <w:p w:rsidR="00230A44" w:rsidRPr="00FB7FF1" w:rsidRDefault="00230A44" w:rsidP="00230A44">
            <w:pPr>
              <w:jc w:val="both"/>
              <w:rPr>
                <w:rFonts w:ascii="Book Antiqua" w:hAnsi="Book Antiqua" w:cs="Arial"/>
                <w:b/>
              </w:rPr>
            </w:pPr>
            <w:r>
              <w:rPr>
                <w:rFonts w:ascii="Book Antiqua" w:hAnsi="Book Antiqua" w:cs="Arial"/>
                <w:b/>
              </w:rPr>
              <w:t xml:space="preserve">On 19 June 2018 </w:t>
            </w:r>
          </w:p>
        </w:tc>
      </w:tr>
      <w:tr w:rsidR="00230A44" w:rsidRPr="00FB7FF1" w:rsidTr="00230A44">
        <w:tc>
          <w:tcPr>
            <w:tcW w:w="5524" w:type="dxa"/>
            <w:shd w:val="clear" w:color="auto" w:fill="auto"/>
          </w:tcPr>
          <w:p w:rsidR="00230A44" w:rsidRPr="00FB7FF1" w:rsidRDefault="00230A44" w:rsidP="00230A44">
            <w:pPr>
              <w:jc w:val="both"/>
              <w:rPr>
                <w:rFonts w:ascii="Book Antiqua" w:hAnsi="Book Antiqua" w:cs="Arial"/>
                <w:b/>
              </w:rPr>
            </w:pPr>
          </w:p>
        </w:tc>
        <w:tc>
          <w:tcPr>
            <w:tcW w:w="4104" w:type="dxa"/>
            <w:shd w:val="clear" w:color="auto" w:fill="auto"/>
          </w:tcPr>
          <w:p w:rsidR="00230A44" w:rsidRPr="00FB7FF1" w:rsidRDefault="00230A44" w:rsidP="00230A44">
            <w:pPr>
              <w:jc w:val="both"/>
              <w:rPr>
                <w:rFonts w:ascii="Book Antiqua" w:hAnsi="Book Antiqua" w:cs="Arial"/>
                <w:b/>
              </w:rPr>
            </w:pPr>
          </w:p>
        </w:tc>
      </w:tr>
    </w:tbl>
    <w:p w:rsidR="006D12D1" w:rsidRPr="00FB7FF1" w:rsidRDefault="006D12D1" w:rsidP="00FB7FF1">
      <w:pPr>
        <w:jc w:val="center"/>
        <w:rPr>
          <w:rFonts w:ascii="Book Antiqua" w:hAnsi="Book Antiqua" w:cs="Arial"/>
        </w:rPr>
      </w:pPr>
    </w:p>
    <w:p w:rsidR="00FB7FF1" w:rsidRPr="00FB7FF1" w:rsidRDefault="00FB7FF1" w:rsidP="00FB7FF1">
      <w:pPr>
        <w:jc w:val="center"/>
        <w:rPr>
          <w:rFonts w:ascii="Book Antiqua" w:hAnsi="Book Antiqua" w:cs="Arial"/>
          <w:b/>
        </w:rPr>
      </w:pPr>
      <w:r w:rsidRPr="00FB7FF1">
        <w:rPr>
          <w:rFonts w:ascii="Book Antiqua" w:hAnsi="Book Antiqua" w:cs="Arial"/>
          <w:b/>
        </w:rPr>
        <w:t>Before</w:t>
      </w:r>
    </w:p>
    <w:p w:rsidR="00FB7FF1" w:rsidRPr="00FB7FF1" w:rsidRDefault="00FB7FF1" w:rsidP="00FB7FF1">
      <w:pPr>
        <w:jc w:val="center"/>
        <w:rPr>
          <w:rFonts w:ascii="Book Antiqua" w:hAnsi="Book Antiqua" w:cs="Arial"/>
          <w:b/>
        </w:rPr>
      </w:pPr>
    </w:p>
    <w:p w:rsidR="00FB7FF1" w:rsidRPr="00FB7FF1" w:rsidRDefault="00FB7FF1" w:rsidP="00FB7FF1">
      <w:pPr>
        <w:jc w:val="center"/>
        <w:rPr>
          <w:rFonts w:ascii="Book Antiqua" w:hAnsi="Book Antiqua" w:cs="Arial"/>
          <w:b/>
          <w:color w:val="000000"/>
        </w:rPr>
      </w:pPr>
      <w:r w:rsidRPr="00FB7FF1">
        <w:rPr>
          <w:rFonts w:ascii="Book Antiqua" w:hAnsi="Book Antiqua" w:cs="Arial"/>
          <w:b/>
          <w:color w:val="000000"/>
        </w:rPr>
        <w:t>DEPUTY UPPER TRIBUNAL JUDGE SYMES</w:t>
      </w:r>
    </w:p>
    <w:p w:rsidR="00FB7FF1" w:rsidRPr="00FB7FF1" w:rsidRDefault="00FB7FF1" w:rsidP="00FB7FF1">
      <w:pPr>
        <w:jc w:val="center"/>
        <w:rPr>
          <w:rFonts w:ascii="Book Antiqua" w:hAnsi="Book Antiqua" w:cs="Arial"/>
          <w:b/>
        </w:rPr>
      </w:pPr>
    </w:p>
    <w:p w:rsidR="004A3A02" w:rsidRDefault="004A3A02" w:rsidP="00FB7FF1">
      <w:pPr>
        <w:jc w:val="center"/>
        <w:rPr>
          <w:rFonts w:ascii="Book Antiqua" w:hAnsi="Book Antiqua" w:cs="Arial"/>
          <w:b/>
        </w:rPr>
      </w:pPr>
    </w:p>
    <w:p w:rsidR="00FB7FF1" w:rsidRPr="00FB7FF1" w:rsidRDefault="00FB7FF1" w:rsidP="00FB7FF1">
      <w:pPr>
        <w:jc w:val="center"/>
        <w:rPr>
          <w:rFonts w:ascii="Book Antiqua" w:hAnsi="Book Antiqua" w:cs="Arial"/>
          <w:b/>
        </w:rPr>
      </w:pPr>
      <w:r w:rsidRPr="00FB7FF1">
        <w:rPr>
          <w:rFonts w:ascii="Book Antiqua" w:hAnsi="Book Antiqua" w:cs="Arial"/>
          <w:b/>
        </w:rPr>
        <w:t>Between</w:t>
      </w:r>
    </w:p>
    <w:p w:rsidR="00FB7FF1" w:rsidRPr="00FB7FF1" w:rsidRDefault="00FB7FF1" w:rsidP="00FB7FF1">
      <w:pPr>
        <w:jc w:val="center"/>
        <w:rPr>
          <w:rFonts w:ascii="Book Antiqua" w:hAnsi="Book Antiqua" w:cs="Arial"/>
          <w:b/>
        </w:rPr>
      </w:pPr>
    </w:p>
    <w:p w:rsidR="000D1C44" w:rsidRPr="000D1C44" w:rsidRDefault="004A3A02" w:rsidP="00FB7FF1">
      <w:pPr>
        <w:jc w:val="center"/>
        <w:rPr>
          <w:rFonts w:ascii="Book Antiqua" w:hAnsi="Book Antiqua" w:cs="Arial"/>
          <w:b/>
        </w:rPr>
      </w:pPr>
      <w:r>
        <w:rPr>
          <w:rFonts w:ascii="Book Antiqua" w:hAnsi="Book Antiqua" w:cs="Arial"/>
          <w:b/>
        </w:rPr>
        <w:t>[</w:t>
      </w:r>
      <w:r w:rsidR="000D1C44" w:rsidRPr="000D1C44">
        <w:rPr>
          <w:rFonts w:ascii="Book Antiqua" w:hAnsi="Book Antiqua" w:cs="Arial"/>
          <w:b/>
        </w:rPr>
        <w:t>S</w:t>
      </w:r>
      <w:r>
        <w:rPr>
          <w:rFonts w:ascii="Book Antiqua" w:hAnsi="Book Antiqua" w:cs="Arial"/>
          <w:b/>
        </w:rPr>
        <w:t xml:space="preserve"> </w:t>
      </w:r>
      <w:r w:rsidR="000D1C44" w:rsidRPr="000D1C44">
        <w:rPr>
          <w:rFonts w:ascii="Book Antiqua" w:hAnsi="Book Antiqua" w:cs="Arial"/>
          <w:b/>
        </w:rPr>
        <w:t>I</w:t>
      </w:r>
      <w:r>
        <w:rPr>
          <w:rFonts w:ascii="Book Antiqua" w:hAnsi="Book Antiqua" w:cs="Arial"/>
          <w:b/>
        </w:rPr>
        <w:t>]</w:t>
      </w:r>
      <w:r w:rsidR="000D1C44" w:rsidRPr="000D1C44">
        <w:rPr>
          <w:rFonts w:ascii="Book Antiqua" w:hAnsi="Book Antiqua" w:cs="Arial"/>
          <w:b/>
        </w:rPr>
        <w:t xml:space="preserve"> </w:t>
      </w:r>
    </w:p>
    <w:p w:rsidR="00FB7FF1" w:rsidRPr="004A3A02" w:rsidRDefault="00FB7FF1" w:rsidP="00FB7FF1">
      <w:pPr>
        <w:jc w:val="center"/>
        <w:rPr>
          <w:rFonts w:ascii="Book Antiqua" w:hAnsi="Book Antiqua" w:cs="Arial"/>
          <w:b/>
          <w:strike/>
          <w:sz w:val="22"/>
          <w:szCs w:val="20"/>
        </w:rPr>
      </w:pPr>
      <w:r w:rsidRPr="004A3A02">
        <w:rPr>
          <w:rFonts w:ascii="Book Antiqua" w:hAnsi="Book Antiqua" w:cs="Arial"/>
          <w:b/>
          <w:strike/>
          <w:sz w:val="22"/>
          <w:szCs w:val="20"/>
        </w:rPr>
        <w:t xml:space="preserve">(ANONYMITY ORDER </w:t>
      </w:r>
      <w:r w:rsidR="000D1C44" w:rsidRPr="004A3A02">
        <w:rPr>
          <w:rFonts w:ascii="Book Antiqua" w:hAnsi="Book Antiqua" w:cs="Arial"/>
          <w:b/>
          <w:strike/>
          <w:sz w:val="22"/>
          <w:szCs w:val="20"/>
        </w:rPr>
        <w:t xml:space="preserve">NOT </w:t>
      </w:r>
      <w:r w:rsidRPr="004A3A02">
        <w:rPr>
          <w:rFonts w:ascii="Book Antiqua" w:hAnsi="Book Antiqua" w:cs="Arial"/>
          <w:b/>
          <w:strike/>
          <w:sz w:val="22"/>
          <w:szCs w:val="20"/>
        </w:rPr>
        <w:t>MADE)</w:t>
      </w:r>
    </w:p>
    <w:p w:rsidR="00FB7FF1" w:rsidRPr="00FB7FF1" w:rsidRDefault="00FB7FF1" w:rsidP="00FB7FF1">
      <w:pPr>
        <w:jc w:val="right"/>
        <w:rPr>
          <w:rFonts w:ascii="Book Antiqua" w:hAnsi="Book Antiqua" w:cs="Arial"/>
          <w:u w:val="single"/>
        </w:rPr>
      </w:pPr>
      <w:r w:rsidRPr="00FB7FF1">
        <w:rPr>
          <w:rFonts w:ascii="Book Antiqua" w:hAnsi="Book Antiqua" w:cs="Arial"/>
          <w:u w:val="single"/>
        </w:rPr>
        <w:t>Appellant</w:t>
      </w:r>
    </w:p>
    <w:p w:rsidR="00FB7FF1" w:rsidRPr="00FB7FF1" w:rsidRDefault="00FB7FF1" w:rsidP="00FB7FF1">
      <w:pPr>
        <w:jc w:val="center"/>
        <w:rPr>
          <w:rFonts w:ascii="Book Antiqua" w:hAnsi="Book Antiqua" w:cs="Arial"/>
          <w:b/>
        </w:rPr>
      </w:pPr>
      <w:r w:rsidRPr="00FB7FF1">
        <w:rPr>
          <w:rFonts w:ascii="Book Antiqua" w:hAnsi="Book Antiqua" w:cs="Arial"/>
          <w:b/>
        </w:rPr>
        <w:t>and</w:t>
      </w:r>
    </w:p>
    <w:p w:rsidR="00FB7FF1" w:rsidRPr="00FB7FF1" w:rsidRDefault="00FB7FF1" w:rsidP="00FB7FF1">
      <w:pPr>
        <w:jc w:val="center"/>
        <w:rPr>
          <w:rFonts w:ascii="Book Antiqua" w:hAnsi="Book Antiqua" w:cs="Arial"/>
          <w:b/>
        </w:rPr>
      </w:pPr>
    </w:p>
    <w:p w:rsidR="00FB7FF1" w:rsidRPr="00FB7FF1" w:rsidRDefault="00FB7FF1" w:rsidP="00FB7FF1">
      <w:pPr>
        <w:jc w:val="center"/>
        <w:rPr>
          <w:rFonts w:ascii="Book Antiqua" w:hAnsi="Book Antiqua" w:cs="Arial"/>
          <w:b/>
        </w:rPr>
      </w:pPr>
      <w:r w:rsidRPr="00FB7FF1">
        <w:rPr>
          <w:rFonts w:ascii="Book Antiqua" w:hAnsi="Book Antiqua" w:cs="Arial"/>
          <w:b/>
        </w:rPr>
        <w:t>THE SECRETARY OF STATE FOR THE HOME DEPARTMENT</w:t>
      </w:r>
    </w:p>
    <w:p w:rsidR="00FB7FF1" w:rsidRPr="00FB7FF1" w:rsidRDefault="00FB7FF1" w:rsidP="00FB7FF1">
      <w:pPr>
        <w:jc w:val="right"/>
        <w:rPr>
          <w:rFonts w:ascii="Book Antiqua" w:hAnsi="Book Antiqua" w:cs="Arial"/>
          <w:u w:val="single"/>
        </w:rPr>
      </w:pPr>
      <w:r w:rsidRPr="00FB7FF1">
        <w:rPr>
          <w:rFonts w:ascii="Book Antiqua" w:hAnsi="Book Antiqua" w:cs="Arial"/>
          <w:u w:val="single"/>
        </w:rPr>
        <w:t>Respondent</w:t>
      </w:r>
    </w:p>
    <w:p w:rsidR="004A3A02" w:rsidRDefault="004A3A02" w:rsidP="00FB7FF1">
      <w:pPr>
        <w:tabs>
          <w:tab w:val="left" w:pos="2520"/>
        </w:tabs>
        <w:rPr>
          <w:rFonts w:ascii="Book Antiqua" w:hAnsi="Book Antiqua" w:cs="Arial"/>
        </w:rPr>
      </w:pPr>
    </w:p>
    <w:p w:rsidR="004A3A02" w:rsidRDefault="004A3A02" w:rsidP="00FB7FF1">
      <w:pPr>
        <w:tabs>
          <w:tab w:val="left" w:pos="2520"/>
        </w:tabs>
        <w:rPr>
          <w:rFonts w:ascii="Book Antiqua" w:hAnsi="Book Antiqua" w:cs="Arial"/>
        </w:rPr>
      </w:pPr>
    </w:p>
    <w:p w:rsidR="00FB7FF1" w:rsidRPr="00FB7FF1" w:rsidRDefault="00FB7FF1" w:rsidP="00FB7FF1">
      <w:pPr>
        <w:tabs>
          <w:tab w:val="left" w:pos="2520"/>
        </w:tabs>
        <w:rPr>
          <w:rFonts w:ascii="Book Antiqua" w:hAnsi="Book Antiqua" w:cs="Arial"/>
        </w:rPr>
      </w:pPr>
      <w:r w:rsidRPr="00FB7FF1">
        <w:rPr>
          <w:rFonts w:ascii="Book Antiqua" w:hAnsi="Book Antiqua" w:cs="Arial"/>
        </w:rPr>
        <w:t xml:space="preserve">For the Appellant: </w:t>
      </w:r>
      <w:r w:rsidRPr="00FB7FF1">
        <w:rPr>
          <w:rFonts w:ascii="Book Antiqua" w:hAnsi="Book Antiqua" w:cs="Arial"/>
        </w:rPr>
        <w:tab/>
      </w:r>
      <w:r>
        <w:rPr>
          <w:rFonts w:ascii="Book Antiqua" w:hAnsi="Book Antiqua"/>
        </w:rPr>
        <w:t>No appearance</w:t>
      </w:r>
      <w:r w:rsidRPr="00FB7FF1">
        <w:rPr>
          <w:rFonts w:ascii="Book Antiqua" w:hAnsi="Book Antiqua"/>
        </w:rPr>
        <w:t xml:space="preserve"> </w:t>
      </w:r>
    </w:p>
    <w:p w:rsidR="00FB7FF1" w:rsidRPr="00FB7FF1" w:rsidRDefault="00FB7FF1" w:rsidP="00FB7FF1">
      <w:pPr>
        <w:tabs>
          <w:tab w:val="left" w:pos="2520"/>
        </w:tabs>
        <w:rPr>
          <w:rFonts w:ascii="Book Antiqua" w:hAnsi="Book Antiqua" w:cs="Arial"/>
        </w:rPr>
      </w:pPr>
      <w:r w:rsidRPr="00FB7FF1">
        <w:rPr>
          <w:rFonts w:ascii="Book Antiqua" w:hAnsi="Book Antiqua" w:cs="Arial"/>
        </w:rPr>
        <w:t>For the Respondent:</w:t>
      </w:r>
      <w:r w:rsidRPr="00FB7FF1">
        <w:rPr>
          <w:rFonts w:ascii="Book Antiqua" w:hAnsi="Book Antiqua" w:cs="Arial"/>
        </w:rPr>
        <w:tab/>
        <w:t>Ms A Everett (Home Office Senior Presenting Officer)</w:t>
      </w:r>
    </w:p>
    <w:p w:rsidR="004A3A02" w:rsidRPr="00FB7FF1" w:rsidRDefault="004A3A02" w:rsidP="004A3A02">
      <w:pPr>
        <w:rPr>
          <w:rFonts w:ascii="Book Antiqua" w:hAnsi="Book Antiqua" w:cs="Arial"/>
          <w:b/>
          <w:u w:val="single"/>
        </w:rPr>
      </w:pPr>
    </w:p>
    <w:p w:rsidR="004A3A02" w:rsidRDefault="004A3A02" w:rsidP="004A3A02">
      <w:pPr>
        <w:tabs>
          <w:tab w:val="left" w:pos="2520"/>
        </w:tabs>
        <w:jc w:val="center"/>
        <w:rPr>
          <w:rFonts w:ascii="Book Antiqua" w:hAnsi="Book Antiqua" w:cs="Arial"/>
          <w:b/>
          <w:u w:val="single"/>
        </w:rPr>
      </w:pPr>
    </w:p>
    <w:p w:rsidR="004A3A02" w:rsidRPr="00FB7FF1" w:rsidRDefault="004A3A02" w:rsidP="004A3A02">
      <w:pPr>
        <w:tabs>
          <w:tab w:val="left" w:pos="2520"/>
        </w:tabs>
        <w:jc w:val="center"/>
        <w:rPr>
          <w:rFonts w:ascii="Book Antiqua" w:hAnsi="Book Antiqua" w:cs="Arial"/>
          <w:b/>
          <w:u w:val="single"/>
        </w:rPr>
      </w:pPr>
      <w:r w:rsidRPr="00FB7FF1">
        <w:rPr>
          <w:rFonts w:ascii="Book Antiqua" w:hAnsi="Book Antiqua" w:cs="Arial"/>
          <w:b/>
          <w:u w:val="single"/>
        </w:rPr>
        <w:t>DECISION AND REASONS</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rPr>
        <w:t>This</w:t>
      </w:r>
      <w:r w:rsidRPr="00FB7FF1">
        <w:rPr>
          <w:rFonts w:ascii="Book Antiqua" w:hAnsi="Book Antiqua" w:cs="Arial"/>
        </w:rPr>
        <w:t xml:space="preserve"> is the appeal of </w:t>
      </w:r>
      <w:r w:rsidR="004A3A02">
        <w:rPr>
          <w:rFonts w:ascii="Book Antiqua" w:hAnsi="Book Antiqua" w:cs="Arial"/>
        </w:rPr>
        <w:t>[</w:t>
      </w:r>
      <w:r w:rsidRPr="00FB7FF1">
        <w:rPr>
          <w:rFonts w:ascii="Book Antiqua" w:hAnsi="Book Antiqua" w:cs="Arial"/>
        </w:rPr>
        <w:t>SI</w:t>
      </w:r>
      <w:r w:rsidR="004A3A02">
        <w:rPr>
          <w:rFonts w:ascii="Book Antiqua" w:hAnsi="Book Antiqua" w:cs="Arial"/>
        </w:rPr>
        <w:t>]</w:t>
      </w:r>
      <w:r w:rsidRPr="00FB7FF1">
        <w:rPr>
          <w:rFonts w:ascii="Book Antiqua" w:hAnsi="Book Antiqua" w:cs="Arial"/>
        </w:rPr>
        <w:t xml:space="preserve">, a citizen of Bangladesh, to the Upper Tribunal, against the decision of the First-tier Tribunal of 21 March 2018 dismissing his appeal against the refusal of his asylum claim (of 29 January 2018).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 xml:space="preserve">The Appellant arrived in the UK on 15 September 2009, apparently as a student. He was granted leave in that capacity up to 28 August 2015; an application on compassionate grounds was refused with no right of appeal on 13 November 2015, and one on EEA </w:t>
      </w:r>
      <w:r w:rsidRPr="00FB7FF1">
        <w:rPr>
          <w:rFonts w:ascii="Book Antiqua" w:hAnsi="Book Antiqua" w:cs="Arial"/>
          <w:i/>
        </w:rPr>
        <w:t xml:space="preserve">Zambrano </w:t>
      </w:r>
      <w:r w:rsidRPr="00FB7FF1">
        <w:rPr>
          <w:rFonts w:ascii="Book Antiqua" w:hAnsi="Book Antiqua" w:cs="Arial"/>
        </w:rPr>
        <w:t xml:space="preserve">grounds was refused on 27 January 2016; on 14 March 2016 he was arrested and detained as an overstayer, and held until 6 May 2016. </w:t>
      </w:r>
    </w:p>
    <w:p w:rsidR="000D6B4F" w:rsidRPr="000D6B4F"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lastRenderedPageBreak/>
        <w:t xml:space="preserve">The Appellant's asylum claim was based on his membership of the BNP in his country of origin, an organisation in whose student wing Chattradal he gained some prominence, becoming local General Secretary in 2004 and being the subject of sufficient animus from the Awami League that he had nine false charges registered against him for political reasons between 2008 and 2016. These cases involved allegations of extortion, murder and fighting, and involvement in land disputes. </w:t>
      </w:r>
      <w:r w:rsidR="000D6B4F" w:rsidRPr="000D6B4F">
        <w:rPr>
          <w:rFonts w:ascii="Book Antiqua" w:hAnsi="Book Antiqua" w:cs="Arial"/>
        </w:rPr>
        <w:t xml:space="preserve">In the course of 2013, and between 24 March to 7 May 2015, the Appellant returned to Bangladesh.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 xml:space="preserve">His claim was rejected by the Secretary of State because of perceived discrepancies and implausibilities arising within it.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The First-tier Tribunal considered his evidence, noting that the information he had given about the BNP and Chattradal was in the public domain. It identified material concerns regarding his credibility</w:t>
      </w:r>
    </w:p>
    <w:p w:rsidR="00FB7FF1" w:rsidRPr="00FB7FF1" w:rsidRDefault="00FB7FF1" w:rsidP="004A3A02">
      <w:pPr>
        <w:pStyle w:val="ListParagraph"/>
        <w:numPr>
          <w:ilvl w:val="0"/>
          <w:numId w:val="3"/>
        </w:numPr>
        <w:spacing w:before="120" w:after="120"/>
        <w:ind w:left="1418" w:hanging="567"/>
        <w:rPr>
          <w:rFonts w:ascii="Book Antiqua" w:hAnsi="Book Antiqua" w:cs="Arial"/>
        </w:rPr>
      </w:pPr>
      <w:r w:rsidRPr="00FB7FF1">
        <w:rPr>
          <w:rFonts w:ascii="Book Antiqua" w:hAnsi="Book Antiqua" w:cs="Arial"/>
        </w:rPr>
        <w:t xml:space="preserve">It was notable he was unable to state the 19 points of principle central to the BNP cause, which was implausible had he been as close involved with the Party as he claimed. </w:t>
      </w:r>
    </w:p>
    <w:p w:rsidR="00FB7FF1" w:rsidRPr="00FB7FF1" w:rsidRDefault="00FB7FF1" w:rsidP="004A3A02">
      <w:pPr>
        <w:pStyle w:val="ListParagraph"/>
        <w:numPr>
          <w:ilvl w:val="0"/>
          <w:numId w:val="3"/>
        </w:numPr>
        <w:spacing w:before="120" w:after="120"/>
        <w:ind w:left="1418" w:hanging="567"/>
        <w:rPr>
          <w:rFonts w:ascii="Book Antiqua" w:hAnsi="Book Antiqua" w:cs="Arial"/>
        </w:rPr>
      </w:pPr>
      <w:r w:rsidRPr="00FB7FF1">
        <w:rPr>
          <w:rFonts w:ascii="Book Antiqua" w:hAnsi="Book Antiqua" w:cs="Arial"/>
        </w:rPr>
        <w:t>He had given different dates for joining the Chattradal, variously 2001 and 2007-2008 and as to the office he had originally held with them; he had given misleading evidence in suggesting he had joined the BNP soon after his arrival here, when in fact he had joined only in 2016</w:t>
      </w:r>
      <w:r w:rsidR="000D6B4F">
        <w:rPr>
          <w:rFonts w:ascii="Book Antiqua" w:hAnsi="Book Antiqua" w:cs="Arial"/>
        </w:rPr>
        <w:t>. T</w:t>
      </w:r>
      <w:r w:rsidRPr="00FB7FF1">
        <w:rPr>
          <w:rFonts w:ascii="Book Antiqua" w:hAnsi="Book Antiqua" w:cs="Arial"/>
        </w:rPr>
        <w:t>he letters supposedly supporting his involvement gave different titles for his role, and there was no explanation for why</w:t>
      </w:r>
      <w:r w:rsidR="000D6B4F">
        <w:rPr>
          <w:rFonts w:ascii="Book Antiqua" w:hAnsi="Book Antiqua" w:cs="Arial"/>
        </w:rPr>
        <w:t xml:space="preserve">, whilst </w:t>
      </w:r>
      <w:r w:rsidR="000D6B4F" w:rsidRPr="00FB7FF1">
        <w:rPr>
          <w:rFonts w:ascii="Book Antiqua" w:hAnsi="Book Antiqua" w:cs="Arial"/>
        </w:rPr>
        <w:t>written in Bangladesh</w:t>
      </w:r>
      <w:r w:rsidR="000D6B4F">
        <w:rPr>
          <w:rFonts w:ascii="Book Antiqua" w:hAnsi="Book Antiqua" w:cs="Arial"/>
        </w:rPr>
        <w:t xml:space="preserve"> and </w:t>
      </w:r>
      <w:r w:rsidR="000D6B4F" w:rsidRPr="00FB7FF1">
        <w:rPr>
          <w:rFonts w:ascii="Book Antiqua" w:hAnsi="Book Antiqua" w:cs="Arial"/>
        </w:rPr>
        <w:t>dated March 2004</w:t>
      </w:r>
      <w:r w:rsidR="000D6B4F">
        <w:rPr>
          <w:rFonts w:ascii="Book Antiqua" w:hAnsi="Book Antiqua" w:cs="Arial"/>
        </w:rPr>
        <w:t>,</w:t>
      </w:r>
      <w:r w:rsidRPr="00FB7FF1">
        <w:rPr>
          <w:rFonts w:ascii="Book Antiqua" w:hAnsi="Book Antiqua" w:cs="Arial"/>
        </w:rPr>
        <w:t xml:space="preserve"> they were </w:t>
      </w:r>
      <w:r w:rsidR="000D6B4F">
        <w:rPr>
          <w:rFonts w:ascii="Book Antiqua" w:hAnsi="Book Antiqua" w:cs="Arial"/>
        </w:rPr>
        <w:t xml:space="preserve">nevertheless </w:t>
      </w:r>
      <w:r w:rsidRPr="00FB7FF1">
        <w:rPr>
          <w:rFonts w:ascii="Book Antiqua" w:hAnsi="Book Antiqua" w:cs="Arial"/>
        </w:rPr>
        <w:t xml:space="preserve">written in English, or of how it was that he had been able to obtain </w:t>
      </w:r>
      <w:r w:rsidR="000D6B4F">
        <w:rPr>
          <w:rFonts w:ascii="Book Antiqua" w:hAnsi="Book Antiqua" w:cs="Arial"/>
        </w:rPr>
        <w:t xml:space="preserve">such old </w:t>
      </w:r>
      <w:r w:rsidRPr="00FB7FF1">
        <w:rPr>
          <w:rFonts w:ascii="Book Antiqua" w:hAnsi="Book Antiqua" w:cs="Arial"/>
        </w:rPr>
        <w:t>documents only recently.</w:t>
      </w:r>
    </w:p>
    <w:p w:rsidR="00FB7FF1" w:rsidRPr="00FB7FF1" w:rsidRDefault="00FB7FF1" w:rsidP="004A3A02">
      <w:pPr>
        <w:pStyle w:val="ListParagraph"/>
        <w:numPr>
          <w:ilvl w:val="0"/>
          <w:numId w:val="3"/>
        </w:numPr>
        <w:spacing w:before="120" w:after="120"/>
        <w:ind w:left="1418" w:hanging="567"/>
        <w:rPr>
          <w:rFonts w:ascii="Book Antiqua" w:hAnsi="Book Antiqua" w:cs="Arial"/>
        </w:rPr>
      </w:pPr>
      <w:r w:rsidRPr="00FB7FF1">
        <w:rPr>
          <w:rFonts w:ascii="Book Antiqua" w:hAnsi="Book Antiqua" w:cs="Arial"/>
        </w:rPr>
        <w:t>He had variously stated his problems began in Bangladesh in 2015 but also that FIRs had been issued against him since 2008.</w:t>
      </w:r>
    </w:p>
    <w:p w:rsidR="00FB7FF1" w:rsidRPr="00FB7FF1" w:rsidRDefault="00FB7FF1" w:rsidP="004A3A02">
      <w:pPr>
        <w:pStyle w:val="ListParagraph"/>
        <w:numPr>
          <w:ilvl w:val="0"/>
          <w:numId w:val="3"/>
        </w:numPr>
        <w:spacing w:before="120" w:after="120"/>
        <w:ind w:left="1418" w:hanging="567"/>
        <w:rPr>
          <w:rFonts w:ascii="Book Antiqua" w:hAnsi="Book Antiqua" w:cs="Arial"/>
        </w:rPr>
      </w:pPr>
      <w:r w:rsidRPr="00FB7FF1">
        <w:rPr>
          <w:rFonts w:ascii="Book Antiqua" w:hAnsi="Book Antiqua" w:cs="Arial"/>
        </w:rPr>
        <w:t xml:space="preserve">The Document Verification Report from the Respondent, from an Immigration Liaison Assistant who could reasonably be assumed to be familiar with their task and the importance of its faithful performance, counted against the genuineness of the FIR that had been checked under reference number 06/168. That DVR recorded that the Officer in Charge at the relevant police station returned to physically locate the register and manually search the records, and confirmed that the record matching that reference number was for a different matter altogether. The Tribunal acknowledged that there might be scope for confusion given the number of dates involved, and noted that the statement’s maker, being based abroad, was inevitably not available for cross examination. However there were nevertheless other concerns regarding the documents, for example the mistakes as to the Appellant's age, that undermined the proposition that it was part of a genuinely sustained animus against him: those details would have been carefully checked by anyone genuinely wishing him to be successfully prosecuted. Overall the FIRs were considered unreliable. </w:t>
      </w:r>
    </w:p>
    <w:p w:rsidR="00FB7FF1" w:rsidRPr="00FB7FF1" w:rsidRDefault="00FB7FF1" w:rsidP="004A3A02">
      <w:pPr>
        <w:pStyle w:val="ListParagraph"/>
        <w:numPr>
          <w:ilvl w:val="0"/>
          <w:numId w:val="3"/>
        </w:numPr>
        <w:spacing w:before="120" w:after="120"/>
        <w:ind w:left="1418" w:hanging="567"/>
        <w:rPr>
          <w:rFonts w:ascii="Book Antiqua" w:hAnsi="Book Antiqua" w:cs="Arial"/>
        </w:rPr>
      </w:pPr>
      <w:r w:rsidRPr="00FB7FF1">
        <w:rPr>
          <w:rFonts w:ascii="Book Antiqua" w:hAnsi="Book Antiqua" w:cs="Arial"/>
        </w:rPr>
        <w:lastRenderedPageBreak/>
        <w:t>No original version of the Bengali document from February 2004 had been provided; a letter from the President of the District Chhatraleague Pirojpur was not signed or dated, and a further letter written in a threatening tone it was not addressed to anybody and thus received little evidential weight; other supporting evidence was surprisingly brief.</w:t>
      </w:r>
    </w:p>
    <w:p w:rsidR="00FB7FF1" w:rsidRPr="00FB7FF1" w:rsidRDefault="00FB7FF1" w:rsidP="004A3A02">
      <w:pPr>
        <w:pStyle w:val="ListParagraph"/>
        <w:numPr>
          <w:ilvl w:val="0"/>
          <w:numId w:val="3"/>
        </w:numPr>
        <w:spacing w:before="120" w:after="120"/>
        <w:ind w:left="1418" w:hanging="567"/>
        <w:rPr>
          <w:rFonts w:ascii="Book Antiqua" w:hAnsi="Book Antiqua" w:cs="Arial"/>
        </w:rPr>
      </w:pPr>
      <w:r w:rsidRPr="00FB7FF1">
        <w:rPr>
          <w:rFonts w:ascii="Book Antiqua" w:hAnsi="Book Antiqua" w:cs="Arial"/>
        </w:rPr>
        <w:t xml:space="preserve">It was not credible that the Appellant would claim asylum so late in the day if he had so many genuinely serious charges issued against him, and indeed the date of his signing up to the BNP in this country was more consistent with seeking to document an adventitious asylum claim than with any genuine history of political involvement. </w:t>
      </w:r>
    </w:p>
    <w:p w:rsidR="00FB7FF1" w:rsidRPr="00FB7FF1" w:rsidRDefault="00FB7FF1" w:rsidP="004A3A02">
      <w:pPr>
        <w:pStyle w:val="ListParagraph"/>
        <w:numPr>
          <w:ilvl w:val="0"/>
          <w:numId w:val="3"/>
        </w:numPr>
        <w:spacing w:before="120" w:after="120"/>
        <w:ind w:left="1418" w:hanging="567"/>
        <w:rPr>
          <w:rFonts w:ascii="Book Antiqua" w:hAnsi="Book Antiqua" w:cs="Arial"/>
        </w:rPr>
      </w:pPr>
      <w:r w:rsidRPr="00FB7FF1">
        <w:rPr>
          <w:rFonts w:ascii="Book Antiqua" w:hAnsi="Book Antiqua" w:cs="Arial"/>
        </w:rPr>
        <w:t xml:space="preserve">An email from Gazi Imran of 3 August was not translated and the address was not identifiable; the articles in the Daily Matrijagat and Weekly Desh containing photographs of the Appellant were untranslated and so did not confirm his identity.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Having regard to those considerations, the First-tier Tribunal found that the Appellant was not a credible witness regarding his claims of historic involvement with the Chattra</w:t>
      </w:r>
      <w:r w:rsidR="000D6B4F">
        <w:rPr>
          <w:rFonts w:ascii="Book Antiqua" w:hAnsi="Book Antiqua" w:cs="Arial"/>
        </w:rPr>
        <w:t>da</w:t>
      </w:r>
      <w:r w:rsidRPr="00FB7FF1">
        <w:rPr>
          <w:rFonts w:ascii="Book Antiqua" w:hAnsi="Book Antiqua" w:cs="Arial"/>
        </w:rPr>
        <w:t xml:space="preserve">l in Bangladesh. Moving on to his claim of involvement in UK activities for the BNP, one photograph published in the Daily Matrijagat in August 2016 appeared to have been photoshopped, and was also suspiciously close to the date of his asylum claim.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 xml:space="preserve">A newspaper published in Bengali relating to a meeting in Whitechapel in February 2018, and in relation to false cases against Khaleda Zia at London Metropolitan JASAS, identified the Appellant as “assistant organising secretary”. It was surprising that the listed attendees did not include Bodrul Islam, the President of the London Mohanagar JASAS who had written in support of the Appellant’s claim, given his status in the organisation. None of this material was sufficient to place the Appellant as a person of influence with a sufficiently significant role in the organisation to be at real risk of political persecution on a return to Bangladesh.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 xml:space="preserve">Grounds of appeal of 3 April 2018 argued that, contrary to the perception of the First-tier Tribunal, the email from Gazi Imran and the article from Weekly </w:t>
      </w:r>
      <w:r w:rsidR="004A3A02" w:rsidRPr="00FB7FF1">
        <w:rPr>
          <w:rFonts w:ascii="Book Antiqua" w:hAnsi="Book Antiqua" w:cs="Arial"/>
        </w:rPr>
        <w:t>Desh were</w:t>
      </w:r>
      <w:r w:rsidRPr="00FB7FF1">
        <w:rPr>
          <w:rFonts w:ascii="Book Antiqua" w:hAnsi="Book Antiqua" w:cs="Arial"/>
        </w:rPr>
        <w:t xml:space="preserve"> indeed provided in translation. This error amounted to an improper failure to consider relevant evidence, and in thus apportioning less weight to the documents in question than might otherwise have been the case, the Tribunal had failed to consider the claim “in the round”.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 xml:space="preserve">Permission to appeal was granted on 18 April 2018 on the basis that it was apparent that the First-tier Tribunal had indeed overlooked the relevant translations, which had been clearly identified in the Appellant’s bundle. However, the Judge granting permission noted that the outcome of the appeal might well have been the same had they been assessed. Nevertheless, that could not be taken for granted.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 xml:space="preserve">A letter from Tower Hamlets Law Centre of 4 June 0218 requested that more time be provided for them to confirm their client’s instructions. Ms Everett for the </w:t>
      </w:r>
      <w:r w:rsidRPr="00FB7FF1">
        <w:rPr>
          <w:rFonts w:ascii="Book Antiqua" w:hAnsi="Book Antiqua" w:cs="Arial"/>
        </w:rPr>
        <w:lastRenderedPageBreak/>
        <w:t xml:space="preserve">Respondent submitted that I should determine the appeal on the material before me, given that the nature of those instructions was not particularised and as the primary issue presently before the Tribunal was the question of “error of law”, as to which it was not obvious what further instructions could be necessary. </w:t>
      </w:r>
    </w:p>
    <w:p w:rsidR="00FB7FF1" w:rsidRPr="00FB7FF1" w:rsidRDefault="00FB7FF1" w:rsidP="004A3A02">
      <w:pPr>
        <w:tabs>
          <w:tab w:val="left" w:pos="284"/>
        </w:tabs>
        <w:spacing w:before="240"/>
        <w:jc w:val="both"/>
        <w:rPr>
          <w:rFonts w:ascii="Book Antiqua" w:hAnsi="Book Antiqua"/>
          <w:b/>
        </w:rPr>
      </w:pPr>
      <w:r w:rsidRPr="00FB7FF1">
        <w:rPr>
          <w:rFonts w:ascii="Book Antiqua" w:hAnsi="Book Antiqua"/>
          <w:b/>
        </w:rPr>
        <w:t xml:space="preserve">Findings and reasons </w:t>
      </w:r>
    </w:p>
    <w:p w:rsidR="00FB7FF1" w:rsidRPr="000D6B4F" w:rsidRDefault="00FB7FF1" w:rsidP="004A3A02">
      <w:pPr>
        <w:numPr>
          <w:ilvl w:val="0"/>
          <w:numId w:val="1"/>
        </w:numPr>
        <w:tabs>
          <w:tab w:val="clear" w:pos="927"/>
          <w:tab w:val="left" w:pos="284"/>
          <w:tab w:val="num" w:pos="851"/>
        </w:tabs>
        <w:spacing w:before="240"/>
        <w:ind w:left="851" w:hanging="643"/>
        <w:jc w:val="both"/>
        <w:rPr>
          <w:rFonts w:ascii="Book Antiqua" w:hAnsi="Book Antiqua"/>
        </w:rPr>
      </w:pPr>
      <w:r w:rsidRPr="00FB7FF1">
        <w:rPr>
          <w:rFonts w:ascii="Book Antiqua" w:hAnsi="Book Antiqua" w:cs="Arial"/>
        </w:rPr>
        <w:t xml:space="preserve">I accepted Ms Everett’s submissions that an adjournment would not be in the interests of justice. No detail is given as to what further instructions might be appropriate from the Appellant at this juncture in proceedings, and given the fact that today’s hearing would foreseeably concentrate on “error of law” issues, it is difficult to see what instructions could be pertinent. The grounds of appeal have been appropriately pleaded in writing and will of course be considered by me. This was already a case in which the Appellant's credibility has been held by both the Respondent and the First-tier Tribunal as damaged by the delay in putting forward his case. It seems to me that further delay would not serve the public interest and that there is no unfairness occasioned to the Appellant by completing the consideration of his appeal at the listed hearing. </w:t>
      </w:r>
    </w:p>
    <w:p w:rsidR="000D6B4F" w:rsidRPr="000D6B4F" w:rsidRDefault="000D6B4F" w:rsidP="004A3A02">
      <w:pPr>
        <w:numPr>
          <w:ilvl w:val="0"/>
          <w:numId w:val="1"/>
        </w:numPr>
        <w:tabs>
          <w:tab w:val="clear" w:pos="927"/>
          <w:tab w:val="left" w:pos="284"/>
          <w:tab w:val="num" w:pos="851"/>
        </w:tabs>
        <w:spacing w:before="240"/>
        <w:ind w:left="851" w:hanging="643"/>
        <w:jc w:val="both"/>
        <w:rPr>
          <w:rFonts w:ascii="Book Antiqua" w:hAnsi="Book Antiqua"/>
        </w:rPr>
      </w:pPr>
      <w:r>
        <w:rPr>
          <w:rFonts w:ascii="Book Antiqua" w:hAnsi="Book Antiqua" w:cs="Arial"/>
        </w:rPr>
        <w:t xml:space="preserve">No country evidence was cited in the grounds of appeal to the Upper Tribunal, but to take a relatively uncontroversial source, as it is published material from the Secretary of State often relied upon by asylum seekers from Bangladesh, from the </w:t>
      </w:r>
      <w:r w:rsidRPr="000D6B4F">
        <w:rPr>
          <w:rFonts w:ascii="Book Antiqua" w:hAnsi="Book Antiqua" w:cs="Arial"/>
        </w:rPr>
        <w:t xml:space="preserve">Country Policy and Information Note </w:t>
      </w:r>
      <w:r w:rsidRPr="000D6B4F">
        <w:rPr>
          <w:rFonts w:ascii="Book Antiqua" w:hAnsi="Book Antiqua" w:cs="Arial"/>
          <w:i/>
        </w:rPr>
        <w:t>Bangladesh: Opposition to the government</w:t>
      </w:r>
      <w:r w:rsidRPr="000D6B4F">
        <w:rPr>
          <w:rFonts w:ascii="Book Antiqua" w:hAnsi="Book Antiqua" w:cs="Arial"/>
        </w:rPr>
        <w:t xml:space="preserve"> (January 2018)</w:t>
      </w:r>
      <w:r>
        <w:rPr>
          <w:rFonts w:ascii="Book Antiqua" w:hAnsi="Book Antiqua" w:cs="Arial"/>
        </w:rPr>
        <w:t xml:space="preserve">: </w:t>
      </w:r>
    </w:p>
    <w:p w:rsidR="000D6B4F" w:rsidRPr="000D6B4F" w:rsidRDefault="000D6B4F" w:rsidP="004A3A02">
      <w:pPr>
        <w:pStyle w:val="ListParagraph"/>
        <w:spacing w:before="120" w:after="120"/>
        <w:ind w:left="1440"/>
        <w:rPr>
          <w:rFonts w:ascii="Book Antiqua" w:hAnsi="Book Antiqua" w:cs="Arial"/>
        </w:rPr>
      </w:pPr>
      <w:r>
        <w:rPr>
          <w:rFonts w:ascii="Book Antiqua" w:hAnsi="Book Antiqua" w:cs="Arial"/>
        </w:rPr>
        <w:t>“</w:t>
      </w:r>
      <w:r w:rsidRPr="000D6B4F">
        <w:rPr>
          <w:rFonts w:ascii="Book Antiqua" w:hAnsi="Book Antiqua" w:cs="Arial"/>
        </w:rPr>
        <w:t>6.1.1 Amnesty International reported in May 2017:</w:t>
      </w:r>
    </w:p>
    <w:p w:rsidR="000D6B4F" w:rsidRDefault="000D6B4F" w:rsidP="004A3A02">
      <w:pPr>
        <w:pStyle w:val="ListParagraph"/>
        <w:spacing w:before="120" w:after="120"/>
        <w:ind w:left="1440"/>
        <w:rPr>
          <w:rFonts w:ascii="Book Antiqua" w:hAnsi="Book Antiqua" w:cs="Arial"/>
        </w:rPr>
      </w:pPr>
      <w:r w:rsidRPr="000D6B4F">
        <w:rPr>
          <w:rFonts w:ascii="Book Antiqua" w:hAnsi="Book Antiqua" w:cs="Arial"/>
        </w:rPr>
        <w:t>'The years since the 2014 elections have been marked by an increasing tendency to penalize dissent. The ruling Awami League party in an apparent attempt to tighten its grip on power has arrested thousands of opposition members and supporters. Many key BNP leaders are either in prison, facing criminal charges or have been forced into exile.'</w:t>
      </w:r>
      <w:r>
        <w:rPr>
          <w:rFonts w:ascii="Book Antiqua" w:hAnsi="Book Antiqua" w:cs="Arial"/>
        </w:rPr>
        <w:t>”</w:t>
      </w:r>
    </w:p>
    <w:p w:rsidR="000D6B4F" w:rsidRPr="000D6B4F" w:rsidRDefault="000D6B4F" w:rsidP="004A3A02">
      <w:pPr>
        <w:numPr>
          <w:ilvl w:val="0"/>
          <w:numId w:val="1"/>
        </w:numPr>
        <w:tabs>
          <w:tab w:val="clear" w:pos="927"/>
          <w:tab w:val="left" w:pos="284"/>
          <w:tab w:val="num" w:pos="851"/>
        </w:tabs>
        <w:spacing w:before="240"/>
        <w:ind w:left="851" w:hanging="643"/>
        <w:jc w:val="both"/>
        <w:rPr>
          <w:rFonts w:ascii="Book Antiqua" w:hAnsi="Book Antiqua" w:cs="Arial"/>
        </w:rPr>
      </w:pPr>
      <w:r>
        <w:rPr>
          <w:rFonts w:ascii="Book Antiqua" w:hAnsi="Book Antiqua" w:cs="Arial"/>
        </w:rPr>
        <w:t xml:space="preserve">That citation is typical of the flavour of the material regularly seen in this Tribunal. It demonstrates that there has been political repression in Bangladesh and that those with a </w:t>
      </w:r>
      <w:r w:rsidR="006D12D1">
        <w:rPr>
          <w:rFonts w:ascii="Book Antiqua" w:hAnsi="Book Antiqua" w:cs="Arial"/>
        </w:rPr>
        <w:t xml:space="preserve">distinct political </w:t>
      </w:r>
      <w:r>
        <w:rPr>
          <w:rFonts w:ascii="Book Antiqua" w:hAnsi="Book Antiqua" w:cs="Arial"/>
        </w:rPr>
        <w:t>profile</w:t>
      </w:r>
      <w:r w:rsidR="006D12D1">
        <w:rPr>
          <w:rFonts w:ascii="Book Antiqua" w:hAnsi="Book Antiqua" w:cs="Arial"/>
        </w:rPr>
        <w:t>, and perhaps not a very high one,</w:t>
      </w:r>
      <w:r>
        <w:rPr>
          <w:rFonts w:ascii="Book Antiqua" w:hAnsi="Book Antiqua" w:cs="Arial"/>
        </w:rPr>
        <w:t xml:space="preserve"> might face arrest</w:t>
      </w:r>
      <w:r w:rsidR="006D12D1">
        <w:rPr>
          <w:rFonts w:ascii="Book Antiqua" w:hAnsi="Book Antiqua" w:cs="Arial"/>
        </w:rPr>
        <w:t xml:space="preserve"> and perhaps worse</w:t>
      </w:r>
      <w:r>
        <w:rPr>
          <w:rFonts w:ascii="Book Antiqua" w:hAnsi="Book Antiqua" w:cs="Arial"/>
        </w:rPr>
        <w:t>, though the Note goes on to cite (6.1.6) that sources indicate that “</w:t>
      </w:r>
      <w:r w:rsidRPr="000D6B4F">
        <w:rPr>
          <w:rFonts w:ascii="Book Antiqua" w:hAnsi="Book Antiqua" w:cs="Arial"/>
        </w:rPr>
        <w:t>Opposition party members claimed that security forces arrested approximately 2,000 of their members during mass arrests in early June [2016], although in general they were not charged or imprisoned; some were reportedly released after paying bribes.</w:t>
      </w:r>
      <w:r>
        <w:rPr>
          <w:rFonts w:ascii="Book Antiqua" w:hAnsi="Book Antiqua" w:cs="Arial"/>
        </w:rPr>
        <w:t>”</w:t>
      </w:r>
      <w:r w:rsidR="006D12D1">
        <w:rPr>
          <w:rFonts w:ascii="Book Antiqua" w:hAnsi="Book Antiqua" w:cs="Arial"/>
        </w:rPr>
        <w:t xml:space="preserve"> The question for the First-tier Tribunal was essentially whether the Appellant was a person of sufficient profile that he might fall into the class that could reasonably be said to be at risk.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cs="Arial"/>
        </w:rPr>
      </w:pPr>
      <w:r w:rsidRPr="00FB7FF1">
        <w:rPr>
          <w:rFonts w:ascii="Book Antiqua" w:hAnsi="Book Antiqua" w:cs="Arial"/>
        </w:rPr>
        <w:t xml:space="preserve">In my view, the oversight of the First-tier Tribunal, whilst an error of law by way of a material error of fact for which the Appellant was not responsible, was insignificant. It was perfectly clear what the reaction of the Tribunal would have been had it had regard to the translated material, given the approach it had taken to the other documents. The governing authority is of course </w:t>
      </w:r>
      <w:r w:rsidRPr="00FB7FF1">
        <w:rPr>
          <w:rFonts w:ascii="Book Antiqua" w:hAnsi="Book Antiqua" w:cs="Arial"/>
          <w:i/>
        </w:rPr>
        <w:t>Tanveer Ahmed</w:t>
      </w:r>
      <w:r w:rsidRPr="00FB7FF1">
        <w:rPr>
          <w:rFonts w:ascii="Book Antiqua" w:hAnsi="Book Antiqua" w:cs="Arial"/>
        </w:rPr>
        <w:t xml:space="preserve"> [2002] </w:t>
      </w:r>
      <w:r w:rsidRPr="00FB7FF1">
        <w:rPr>
          <w:rFonts w:ascii="Book Antiqua" w:hAnsi="Book Antiqua" w:cs="Arial"/>
        </w:rPr>
        <w:lastRenderedPageBreak/>
        <w:t xml:space="preserve">UKIAT 00439, which essentially holds that material of this nature stands and falls with the assessment of the evidence as a whole. The Appellant's case, in terms of how it generally held together, the plausibility of his witness statement and oral evidence, and the cogency of the documents in its support, was generally found wanting. </w:t>
      </w:r>
    </w:p>
    <w:p w:rsidR="00FB7FF1" w:rsidRPr="00FB7FF1" w:rsidRDefault="00FB7FF1" w:rsidP="004A3A02">
      <w:pPr>
        <w:numPr>
          <w:ilvl w:val="0"/>
          <w:numId w:val="1"/>
        </w:numPr>
        <w:tabs>
          <w:tab w:val="clear" w:pos="927"/>
          <w:tab w:val="left" w:pos="284"/>
          <w:tab w:val="num" w:pos="851"/>
        </w:tabs>
        <w:spacing w:before="240"/>
        <w:ind w:left="851" w:hanging="643"/>
        <w:jc w:val="both"/>
        <w:rPr>
          <w:rFonts w:ascii="Book Antiqua" w:hAnsi="Book Antiqua" w:cs="Arial"/>
        </w:rPr>
      </w:pPr>
      <w:r w:rsidRPr="00FB7FF1">
        <w:rPr>
          <w:rFonts w:ascii="Book Antiqua" w:hAnsi="Book Antiqua" w:cs="Arial"/>
        </w:rPr>
        <w:t xml:space="preserve">Of course, once material evidence has been overlooked, one should be careful before concluding that the material in question would have had no difference to the appeal’s outcome. As </w:t>
      </w:r>
      <w:r w:rsidRPr="00FB7FF1">
        <w:rPr>
          <w:rFonts w:ascii="Book Antiqua" w:hAnsi="Book Antiqua" w:cs="Arial"/>
          <w:iCs/>
          <w:color w:val="000000"/>
        </w:rPr>
        <w:t xml:space="preserve">Neuberger LJ stated in </w:t>
      </w:r>
      <w:r w:rsidRPr="00FB7FF1">
        <w:rPr>
          <w:rFonts w:ascii="Book Antiqua" w:hAnsi="Book Antiqua" w:cs="Arial"/>
          <w:i/>
          <w:iCs/>
          <w:color w:val="000000"/>
        </w:rPr>
        <w:t xml:space="preserve">HK </w:t>
      </w:r>
      <w:r w:rsidRPr="00FB7FF1">
        <w:rPr>
          <w:rFonts w:ascii="Book Antiqua" w:hAnsi="Book Antiqua" w:cs="Arial"/>
          <w:color w:val="000000"/>
        </w:rPr>
        <w:t xml:space="preserve">[2006] EWCA Civ 1037 §45, </w:t>
      </w:r>
      <w:r w:rsidRPr="00FB7FF1">
        <w:rPr>
          <w:rFonts w:ascii="Book Antiqua" w:hAnsi="Book Antiqua" w:cs="Arial"/>
          <w:lang w:val="en-US"/>
        </w:rPr>
        <w:t xml:space="preserve">once some findings have been identified as unlawful, a decision may only be upheld where the tribunal </w:t>
      </w:r>
      <w:r w:rsidRPr="00FB7FF1">
        <w:rPr>
          <w:rFonts w:ascii="Book Antiqua" w:hAnsi="Book Antiqua" w:cs="Arial"/>
          <w:color w:val="000000"/>
        </w:rPr>
        <w:t xml:space="preserve">is </w:t>
      </w:r>
      <w:r w:rsidR="006D12D1">
        <w:rPr>
          <w:rFonts w:ascii="Book Antiqua" w:hAnsi="Book Antiqua" w:cs="Arial"/>
          <w:color w:val="000000"/>
        </w:rPr>
        <w:t>“</w:t>
      </w:r>
      <w:r w:rsidRPr="00FB7FF1">
        <w:rPr>
          <w:rFonts w:ascii="Book Antiqua" w:hAnsi="Book Antiqua" w:cs="Arial"/>
        </w:rPr>
        <w:t>tolerably confident that the tribunal's decision would have been the same on the basis of the reasons w</w:t>
      </w:r>
      <w:r w:rsidR="006D12D1">
        <w:rPr>
          <w:rFonts w:ascii="Book Antiqua" w:hAnsi="Book Antiqua" w:cs="Arial"/>
        </w:rPr>
        <w:t>hich have survived its scrutiny”</w:t>
      </w:r>
      <w:r w:rsidRPr="00FB7FF1">
        <w:rPr>
          <w:rFonts w:ascii="Book Antiqua" w:hAnsi="Book Antiqua" w:cs="Arial"/>
        </w:rPr>
        <w:t xml:space="preserve">. I have no hesitation in saying that one can be extremely confident that the Tribunal’s fundamental thinking would not have been reversed had it had regard to the translations of the material in question. </w:t>
      </w:r>
    </w:p>
    <w:p w:rsidR="004A3A02" w:rsidRDefault="006D12D1" w:rsidP="004A3A02">
      <w:pPr>
        <w:numPr>
          <w:ilvl w:val="0"/>
          <w:numId w:val="1"/>
        </w:numPr>
        <w:tabs>
          <w:tab w:val="clear" w:pos="927"/>
          <w:tab w:val="left" w:pos="284"/>
          <w:tab w:val="num" w:pos="851"/>
        </w:tabs>
        <w:spacing w:before="240" w:line="259" w:lineRule="auto"/>
        <w:ind w:left="851" w:hanging="643"/>
        <w:jc w:val="both"/>
        <w:rPr>
          <w:rFonts w:ascii="Book Antiqua" w:hAnsi="Book Antiqua" w:cs="Arial"/>
        </w:rPr>
      </w:pPr>
      <w:r w:rsidRPr="006D12D1">
        <w:rPr>
          <w:rFonts w:ascii="Book Antiqua" w:hAnsi="Book Antiqua" w:cs="Arial"/>
        </w:rPr>
        <w:t>The concerns expressed by the First-tier Tribunal regarding the significant volume of documents with which it expressly engaged carry over to the two items of evidence which it wrongly overlooked. The email from Gazi Imran, given the problems already identified with other documents, could not justify the conclusion that the Appellant had a political profile that would place him at risk of persecution in Bangladesh. The newspaper photograph alone does not amount to cogent evidence demonstrating that the Appellant's depiction therein would carry a real risk of some imputation of a</w:t>
      </w:r>
      <w:r>
        <w:rPr>
          <w:rFonts w:ascii="Book Antiqua" w:hAnsi="Book Antiqua" w:cs="Arial"/>
        </w:rPr>
        <w:t xml:space="preserve">ny meaningful </w:t>
      </w:r>
      <w:r w:rsidRPr="006D12D1">
        <w:rPr>
          <w:rFonts w:ascii="Book Antiqua" w:hAnsi="Book Antiqua" w:cs="Arial"/>
        </w:rPr>
        <w:t xml:space="preserve">political profile to him by the Awami League.  </w:t>
      </w:r>
    </w:p>
    <w:p w:rsidR="006D12D1" w:rsidRPr="00FB7FF1" w:rsidRDefault="006D12D1" w:rsidP="004A3A02">
      <w:pPr>
        <w:numPr>
          <w:ilvl w:val="0"/>
          <w:numId w:val="1"/>
        </w:numPr>
        <w:tabs>
          <w:tab w:val="clear" w:pos="927"/>
          <w:tab w:val="left" w:pos="284"/>
          <w:tab w:val="num" w:pos="851"/>
        </w:tabs>
        <w:spacing w:before="240"/>
        <w:ind w:left="851" w:hanging="643"/>
        <w:jc w:val="both"/>
        <w:rPr>
          <w:rFonts w:ascii="Book Antiqua" w:hAnsi="Book Antiqua" w:cs="Arial"/>
        </w:rPr>
      </w:pPr>
      <w:r>
        <w:rPr>
          <w:rFonts w:ascii="Book Antiqua" w:hAnsi="Book Antiqua" w:cs="Arial"/>
        </w:rPr>
        <w:t xml:space="preserve">I accordingly find that the First-tier Tribunal made no material error of law. Its decision stands. </w:t>
      </w:r>
    </w:p>
    <w:p w:rsidR="00FB7FF1" w:rsidRPr="00FB7FF1" w:rsidRDefault="00FB7FF1" w:rsidP="004A3A02">
      <w:pPr>
        <w:tabs>
          <w:tab w:val="left" w:pos="567"/>
        </w:tabs>
        <w:spacing w:before="240"/>
        <w:jc w:val="both"/>
        <w:rPr>
          <w:rFonts w:ascii="Book Antiqua" w:hAnsi="Book Antiqua" w:cs="Arial"/>
          <w:u w:val="single"/>
        </w:rPr>
      </w:pPr>
      <w:r w:rsidRPr="00FB7FF1">
        <w:rPr>
          <w:rFonts w:ascii="Book Antiqua" w:hAnsi="Book Antiqua" w:cs="Arial"/>
        </w:rPr>
        <w:tab/>
      </w:r>
      <w:r w:rsidRPr="00FB7FF1">
        <w:rPr>
          <w:rFonts w:ascii="Book Antiqua" w:hAnsi="Book Antiqua" w:cs="Arial"/>
          <w:u w:val="single"/>
        </w:rPr>
        <w:t>Decision:</w:t>
      </w:r>
    </w:p>
    <w:p w:rsidR="00FB7FF1" w:rsidRPr="00FB7FF1" w:rsidRDefault="00FB7FF1" w:rsidP="004A3A02">
      <w:pPr>
        <w:tabs>
          <w:tab w:val="left" w:pos="567"/>
        </w:tabs>
        <w:spacing w:before="240"/>
        <w:ind w:left="567"/>
        <w:jc w:val="both"/>
        <w:rPr>
          <w:rFonts w:ascii="Book Antiqua" w:hAnsi="Book Antiqua" w:cs="Arial"/>
        </w:rPr>
      </w:pPr>
      <w:r w:rsidRPr="00FB7FF1">
        <w:rPr>
          <w:rFonts w:ascii="Book Antiqua" w:hAnsi="Book Antiqua" w:cs="Arial"/>
        </w:rPr>
        <w:t xml:space="preserve">The decision of the First-tier Tribunal </w:t>
      </w:r>
      <w:r w:rsidR="006D12D1">
        <w:rPr>
          <w:rFonts w:ascii="Book Antiqua" w:hAnsi="Book Antiqua" w:cs="Arial"/>
        </w:rPr>
        <w:t>was a lawful one</w:t>
      </w:r>
      <w:r w:rsidRPr="00FB7FF1">
        <w:rPr>
          <w:rFonts w:ascii="Book Antiqua" w:hAnsi="Book Antiqua" w:cs="Arial"/>
        </w:rPr>
        <w:t xml:space="preserve">. </w:t>
      </w:r>
    </w:p>
    <w:p w:rsidR="00FB7FF1" w:rsidRPr="00FB7FF1" w:rsidRDefault="00FB7FF1" w:rsidP="004A3A02">
      <w:pPr>
        <w:tabs>
          <w:tab w:val="left" w:pos="567"/>
        </w:tabs>
        <w:spacing w:before="240"/>
        <w:ind w:left="567"/>
        <w:jc w:val="both"/>
        <w:rPr>
          <w:rFonts w:ascii="Book Antiqua" w:hAnsi="Book Antiqua" w:cs="Arial"/>
        </w:rPr>
      </w:pPr>
      <w:r w:rsidRPr="00FB7FF1">
        <w:rPr>
          <w:rFonts w:ascii="Book Antiqua" w:hAnsi="Book Antiqua" w:cs="Arial"/>
        </w:rPr>
        <w:t xml:space="preserve">The appeal is </w:t>
      </w:r>
      <w:r w:rsidR="006D12D1">
        <w:rPr>
          <w:rFonts w:ascii="Book Antiqua" w:hAnsi="Book Antiqua" w:cs="Arial"/>
        </w:rPr>
        <w:t>dismissed</w:t>
      </w:r>
      <w:r w:rsidRPr="00FB7FF1">
        <w:rPr>
          <w:rFonts w:ascii="Book Antiqua" w:hAnsi="Book Antiqua" w:cs="Arial"/>
        </w:rPr>
        <w:t>.</w:t>
      </w:r>
    </w:p>
    <w:p w:rsidR="00FB7FF1" w:rsidRPr="00FB7FF1" w:rsidRDefault="00FB7FF1" w:rsidP="00FB7FF1">
      <w:pPr>
        <w:tabs>
          <w:tab w:val="left" w:pos="567"/>
        </w:tabs>
        <w:ind w:left="567"/>
        <w:jc w:val="both"/>
        <w:rPr>
          <w:rFonts w:ascii="Book Antiqua" w:hAnsi="Book Antiqua" w:cs="Arial"/>
        </w:rPr>
      </w:pPr>
    </w:p>
    <w:p w:rsidR="00FB7FF1" w:rsidRPr="00FB7FF1" w:rsidRDefault="00FB7FF1" w:rsidP="00FB7FF1">
      <w:pPr>
        <w:tabs>
          <w:tab w:val="left" w:pos="567"/>
        </w:tabs>
        <w:jc w:val="both"/>
        <w:rPr>
          <w:rFonts w:ascii="Book Antiqua" w:hAnsi="Book Antiqua" w:cs="Arial"/>
        </w:rPr>
      </w:pPr>
    </w:p>
    <w:p w:rsidR="00FB7FF1" w:rsidRPr="00FB7FF1" w:rsidRDefault="00FB7FF1" w:rsidP="00FB7FF1">
      <w:pPr>
        <w:tabs>
          <w:tab w:val="left" w:pos="567"/>
        </w:tabs>
        <w:jc w:val="both"/>
        <w:rPr>
          <w:rFonts w:ascii="Book Antiqua" w:hAnsi="Book Antiqua" w:cs="Arial"/>
        </w:rPr>
      </w:pPr>
      <w:r w:rsidRPr="00FB7FF1">
        <w:rPr>
          <w:rFonts w:ascii="Book Antiqua" w:hAnsi="Book Antiqua" w:cs="Arial"/>
        </w:rPr>
        <w:t xml:space="preserve">Signed: </w:t>
      </w:r>
      <w:r w:rsidRPr="00FB7FF1">
        <w:rPr>
          <w:rFonts w:ascii="Book Antiqua" w:hAnsi="Book Antiqua" w:cs="Arial"/>
        </w:rPr>
        <w:tab/>
      </w:r>
      <w:r w:rsidRPr="00FB7FF1">
        <w:rPr>
          <w:rFonts w:ascii="Book Antiqua" w:hAnsi="Book Antiqua" w:cs="Arial"/>
        </w:rPr>
        <w:tab/>
      </w:r>
      <w:r w:rsidRPr="00FB7FF1">
        <w:rPr>
          <w:rFonts w:ascii="Book Antiqua" w:hAnsi="Book Antiqua" w:cs="Arial"/>
        </w:rPr>
        <w:tab/>
      </w:r>
      <w:r w:rsidRPr="00FB7FF1">
        <w:rPr>
          <w:rFonts w:ascii="Book Antiqua" w:hAnsi="Book Antiqua" w:cs="Arial"/>
        </w:rPr>
        <w:tab/>
      </w:r>
      <w:r w:rsidRPr="00FB7FF1">
        <w:rPr>
          <w:rFonts w:ascii="Book Antiqua" w:hAnsi="Book Antiqua" w:cs="Arial"/>
        </w:rPr>
        <w:tab/>
      </w:r>
      <w:r w:rsidRPr="00FB7FF1">
        <w:rPr>
          <w:rFonts w:ascii="Book Antiqua" w:hAnsi="Book Antiqua" w:cs="Arial"/>
        </w:rPr>
        <w:tab/>
      </w:r>
      <w:r w:rsidRPr="00FB7FF1">
        <w:rPr>
          <w:rFonts w:ascii="Book Antiqua" w:hAnsi="Book Antiqua" w:cs="Arial"/>
        </w:rPr>
        <w:tab/>
      </w:r>
      <w:r w:rsidRPr="00FB7FF1">
        <w:rPr>
          <w:rFonts w:ascii="Book Antiqua" w:hAnsi="Book Antiqua" w:cs="Arial"/>
        </w:rPr>
        <w:tab/>
        <w:t>Date: 8 June 2018</w:t>
      </w:r>
    </w:p>
    <w:p w:rsidR="00FB7FF1" w:rsidRPr="00FB7FF1" w:rsidRDefault="00FB7FF1" w:rsidP="00FB7FF1">
      <w:pPr>
        <w:pStyle w:val="ListParagraph"/>
        <w:rPr>
          <w:rFonts w:ascii="Book Antiqua" w:hAnsi="Book Antiqua" w:cs="Arial"/>
        </w:rPr>
      </w:pPr>
    </w:p>
    <w:p w:rsidR="00FB7FF1" w:rsidRPr="00FB7FF1" w:rsidRDefault="00FB7FF1" w:rsidP="00FB7FF1">
      <w:pPr>
        <w:tabs>
          <w:tab w:val="left" w:pos="567"/>
        </w:tabs>
        <w:jc w:val="both"/>
        <w:rPr>
          <w:rFonts w:ascii="Book Antiqua" w:hAnsi="Book Antiqua" w:cs="Arial"/>
        </w:rPr>
      </w:pPr>
      <w:r w:rsidRPr="00FB7FF1">
        <w:rPr>
          <w:rFonts w:ascii="Book Antiqua" w:hAnsi="Book Antiqua" w:cs="Arial"/>
          <w:noProof/>
        </w:rPr>
        <w:drawing>
          <wp:inline distT="0" distB="0" distL="0" distR="0" wp14:anchorId="7862B918" wp14:editId="7E63CB38">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FB7FF1" w:rsidRPr="00FB7FF1" w:rsidRDefault="00FB7FF1" w:rsidP="00FB7FF1">
      <w:pPr>
        <w:tabs>
          <w:tab w:val="left" w:pos="567"/>
        </w:tabs>
        <w:jc w:val="both"/>
        <w:rPr>
          <w:rFonts w:ascii="Book Antiqua" w:hAnsi="Book Antiqua" w:cs="Arial"/>
        </w:rPr>
      </w:pPr>
      <w:r w:rsidRPr="00FB7FF1">
        <w:rPr>
          <w:rFonts w:ascii="Book Antiqua" w:hAnsi="Book Antiqua" w:cs="Arial"/>
        </w:rPr>
        <w:t>Deputy Upper Tribunal Judge Symes</w:t>
      </w:r>
      <w:bookmarkStart w:id="0" w:name="_GoBack"/>
      <w:bookmarkEnd w:id="0"/>
    </w:p>
    <w:sectPr w:rsidR="00FB7FF1" w:rsidRPr="00FB7FF1" w:rsidSect="00116665">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620" w:rsidRDefault="00FD1620" w:rsidP="00FB7FF1">
      <w:r>
        <w:separator/>
      </w:r>
    </w:p>
  </w:endnote>
  <w:endnote w:type="continuationSeparator" w:id="0">
    <w:p w:rsidR="00FD1620" w:rsidRDefault="00FD1620" w:rsidP="00FB7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593795" w:rsidRDefault="000D1C44" w:rsidP="0011666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972AE">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090CF9" w:rsidRDefault="000D1C44" w:rsidP="00116665">
    <w:pPr>
      <w:jc w:val="center"/>
      <w:rPr>
        <w:rFonts w:ascii="Arial" w:hAnsi="Arial" w:cs="Arial"/>
        <w:b/>
      </w:rPr>
    </w:pPr>
    <w:r w:rsidRPr="00090CF9">
      <w:rPr>
        <w:rFonts w:ascii="Arial" w:hAnsi="Arial" w:cs="Arial"/>
        <w:b/>
        <w:spacing w:val="-6"/>
      </w:rPr>
      <w:t>©</w:t>
    </w:r>
    <w:r w:rsidR="00A33F22">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620" w:rsidRDefault="00FD1620" w:rsidP="00FB7FF1">
      <w:r>
        <w:separator/>
      </w:r>
    </w:p>
  </w:footnote>
  <w:footnote w:type="continuationSeparator" w:id="0">
    <w:p w:rsidR="00FD1620" w:rsidRDefault="00FD1620" w:rsidP="00FB7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3C5CE5" w:rsidRDefault="000D1C44" w:rsidP="00116665">
    <w:pPr>
      <w:pStyle w:val="Header"/>
      <w:jc w:val="right"/>
      <w:rPr>
        <w:rFonts w:ascii="Arial" w:hAnsi="Arial" w:cs="Arial"/>
        <w:sz w:val="16"/>
        <w:szCs w:val="16"/>
      </w:rPr>
    </w:pPr>
    <w:r>
      <w:rPr>
        <w:rFonts w:ascii="Arial" w:hAnsi="Arial" w:cs="Arial"/>
        <w:sz w:val="16"/>
        <w:szCs w:val="16"/>
      </w:rPr>
      <w:t xml:space="preserve">Appeal Number: </w:t>
    </w:r>
    <w:r w:rsidR="00FB7FF1" w:rsidRPr="00FB7FF1">
      <w:rPr>
        <w:sz w:val="18"/>
        <w:szCs w:val="18"/>
      </w:rPr>
      <w:t>PA/02130/2018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C0F1A"/>
    <w:multiLevelType w:val="hybridMultilevel"/>
    <w:tmpl w:val="C8B209EA"/>
    <w:lvl w:ilvl="0" w:tplc="47B8DD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77B11"/>
    <w:multiLevelType w:val="hybridMultilevel"/>
    <w:tmpl w:val="812A9F80"/>
    <w:lvl w:ilvl="0" w:tplc="C6BEDF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F1"/>
    <w:rsid w:val="000D1C44"/>
    <w:rsid w:val="000D6B4F"/>
    <w:rsid w:val="00230A44"/>
    <w:rsid w:val="00453F94"/>
    <w:rsid w:val="004A3A02"/>
    <w:rsid w:val="004D0558"/>
    <w:rsid w:val="00646945"/>
    <w:rsid w:val="006D12D1"/>
    <w:rsid w:val="008972AE"/>
    <w:rsid w:val="00A33F22"/>
    <w:rsid w:val="00BB1700"/>
    <w:rsid w:val="00FB7FF1"/>
    <w:rsid w:val="00FD1620"/>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A78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FF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B7FF1"/>
    <w:pPr>
      <w:tabs>
        <w:tab w:val="center" w:pos="4153"/>
        <w:tab w:val="right" w:pos="8306"/>
      </w:tabs>
    </w:pPr>
  </w:style>
  <w:style w:type="character" w:customStyle="1" w:styleId="HeaderChar">
    <w:name w:val="Header Char"/>
    <w:basedOn w:val="DefaultParagraphFont"/>
    <w:link w:val="Header"/>
    <w:uiPriority w:val="99"/>
    <w:rsid w:val="00FB7FF1"/>
    <w:rPr>
      <w:rFonts w:ascii="Times New Roman" w:eastAsia="Times New Roman" w:hAnsi="Times New Roman" w:cs="Times New Roman"/>
      <w:sz w:val="24"/>
      <w:szCs w:val="24"/>
      <w:lang w:eastAsia="en-GB"/>
    </w:rPr>
  </w:style>
  <w:style w:type="paragraph" w:styleId="Footer">
    <w:name w:val="footer"/>
    <w:basedOn w:val="Normal"/>
    <w:link w:val="FooterChar"/>
    <w:rsid w:val="00FB7FF1"/>
    <w:pPr>
      <w:tabs>
        <w:tab w:val="center" w:pos="4153"/>
        <w:tab w:val="right" w:pos="8306"/>
      </w:tabs>
    </w:pPr>
  </w:style>
  <w:style w:type="character" w:customStyle="1" w:styleId="FooterChar">
    <w:name w:val="Footer Char"/>
    <w:basedOn w:val="DefaultParagraphFont"/>
    <w:link w:val="Footer"/>
    <w:rsid w:val="00FB7FF1"/>
    <w:rPr>
      <w:rFonts w:ascii="Times New Roman" w:eastAsia="Times New Roman" w:hAnsi="Times New Roman" w:cs="Times New Roman"/>
      <w:sz w:val="24"/>
      <w:szCs w:val="24"/>
      <w:lang w:eastAsia="en-GB"/>
    </w:rPr>
  </w:style>
  <w:style w:type="character" w:styleId="PageNumber">
    <w:name w:val="page number"/>
    <w:basedOn w:val="DefaultParagraphFont"/>
    <w:rsid w:val="00FB7FF1"/>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FB7FF1"/>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FB7FF1"/>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B17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700"/>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2018-07-13T10:51:00Z</dcterms:created>
  <dcterms:modified xsi:type="dcterms:W3CDTF">2018-07-13T10:51:00Z</dcterms:modified>
</cp:coreProperties>
</file>